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D4B5E" w14:textId="77777777" w:rsidR="00F319B0" w:rsidRPr="00412A06" w:rsidRDefault="00F319B0" w:rsidP="00F319B0">
      <w:pPr>
        <w:rPr>
          <w:rFonts w:cstheme="minorHAnsi"/>
          <w:b/>
          <w:bCs/>
          <w:u w:val="single"/>
          <w:lang w:val="cy-GB"/>
        </w:rPr>
      </w:pPr>
      <w:r w:rsidRPr="00412A06">
        <w:rPr>
          <w:rFonts w:cstheme="minorHAnsi"/>
          <w:b/>
          <w:bCs/>
          <w:u w:val="single"/>
          <w:lang w:val="cy-GB"/>
        </w:rPr>
        <w:t>Targedau:</w:t>
      </w:r>
    </w:p>
    <w:p w14:paraId="42D12D0A" w14:textId="77777777" w:rsidR="00F319B0" w:rsidRPr="00412A06" w:rsidRDefault="00F319B0" w:rsidP="00F319B0">
      <w:pPr>
        <w:rPr>
          <w:rFonts w:cstheme="minorHAnsi"/>
          <w:b/>
          <w:bCs/>
          <w:u w:val="single"/>
          <w:lang w:val="cy-GB"/>
        </w:rPr>
      </w:pPr>
    </w:p>
    <w:p w14:paraId="6DB9B4F1" w14:textId="77777777" w:rsidR="00F319B0" w:rsidRPr="00412A06" w:rsidRDefault="00F319B0" w:rsidP="00F319B0">
      <w:pPr>
        <w:rPr>
          <w:rFonts w:cstheme="minorHAnsi"/>
          <w:lang w:val="cy-GB"/>
        </w:rPr>
      </w:pPr>
      <w:r w:rsidRPr="00412A06">
        <w:rPr>
          <w:rFonts w:cstheme="minorHAnsi"/>
          <w:lang w:val="cy-GB"/>
        </w:rPr>
        <w:t>1. Gwiria dy iaith yn ofalus cyn i ti gyflwyno dy waith. Byddai defnydd o Cysill a gofyn, efallai, i ffrind ddarllen dros dy waith er mwyn sicrhau bod eglurder yn dy fynegiant yn dy helpu wrth i ti anelu at gywirdeb.</w:t>
      </w:r>
    </w:p>
    <w:p w14:paraId="40D07687" w14:textId="77777777" w:rsidR="00F319B0" w:rsidRPr="00412A06" w:rsidRDefault="00F319B0" w:rsidP="00F319B0">
      <w:pPr>
        <w:rPr>
          <w:rFonts w:cstheme="minorHAnsi"/>
          <w:lang w:val="cy-GB"/>
        </w:rPr>
      </w:pPr>
    </w:p>
    <w:p w14:paraId="185FDF8E" w14:textId="77777777" w:rsidR="00F319B0" w:rsidRPr="00412A06" w:rsidRDefault="00F319B0" w:rsidP="00F319B0">
      <w:pPr>
        <w:rPr>
          <w:rFonts w:cstheme="minorHAnsi"/>
          <w:lang w:val="cy-GB"/>
        </w:rPr>
      </w:pPr>
      <w:r w:rsidRPr="00412A06">
        <w:rPr>
          <w:rFonts w:cstheme="minorHAnsi"/>
          <w:lang w:val="cy-GB"/>
        </w:rPr>
        <w:t>2. Sicrha dy fod yn cynnwys yr atodiadau perthnasol i dy waith a cyfeirio atynt lle bo'n briodol.</w:t>
      </w:r>
    </w:p>
    <w:p w14:paraId="3B2AB5B3" w14:textId="77777777" w:rsidR="00F319B0" w:rsidRPr="00412A06" w:rsidRDefault="00F319B0" w:rsidP="00F319B0">
      <w:pPr>
        <w:rPr>
          <w:rFonts w:cstheme="minorHAnsi"/>
          <w:lang w:val="cy-GB"/>
        </w:rPr>
      </w:pPr>
    </w:p>
    <w:p w14:paraId="70897A01" w14:textId="77777777" w:rsidR="00F319B0" w:rsidRPr="00412A06" w:rsidRDefault="00F319B0" w:rsidP="00F319B0">
      <w:pPr>
        <w:rPr>
          <w:rFonts w:cstheme="minorHAnsi"/>
          <w:lang w:val="cy-GB"/>
        </w:rPr>
      </w:pPr>
      <w:r w:rsidRPr="00412A06">
        <w:rPr>
          <w:rFonts w:cstheme="minorHAnsi"/>
          <w:lang w:val="cy-GB"/>
        </w:rPr>
        <w:t>3. Gwna gysylltiadau gyda'r Safonau Proffesiynol (SAC) i gryfhau dy ddiweddglo.</w:t>
      </w:r>
    </w:p>
    <w:p w14:paraId="659BF785" w14:textId="77777777" w:rsidR="00F319B0" w:rsidRPr="00412A06" w:rsidRDefault="00F319B0" w:rsidP="00FE102D">
      <w:pPr>
        <w:rPr>
          <w:rFonts w:cstheme="minorHAnsi"/>
          <w:b/>
          <w:bCs/>
          <w:u w:val="single"/>
          <w:lang w:val="cy-GB"/>
        </w:rPr>
      </w:pPr>
    </w:p>
    <w:p w14:paraId="3522DFEB" w14:textId="2216F404" w:rsidR="00F319B0" w:rsidRPr="00412A06" w:rsidRDefault="00F319B0" w:rsidP="00FE102D">
      <w:pPr>
        <w:rPr>
          <w:rFonts w:cstheme="minorHAnsi"/>
          <w:b/>
          <w:bCs/>
          <w:u w:val="single"/>
          <w:lang w:val="cy-GB"/>
        </w:rPr>
      </w:pPr>
      <w:r w:rsidRPr="00412A06">
        <w:rPr>
          <w:rFonts w:cstheme="minorHAnsi"/>
          <w:b/>
          <w:bCs/>
          <w:u w:val="single"/>
          <w:lang w:val="cy-GB"/>
        </w:rPr>
        <w:t>Dangoswch sut y gall addysgu a dysgu trawsgwricwlaidd ddylanwadu ar sgiliau a dealltwriaeth fanwl. Ategwch hyn gan gyfeirio at ymchwil berthnasol, cynllun gwers manwl a deunydd darpariaeth barhaus.</w:t>
      </w:r>
    </w:p>
    <w:p w14:paraId="7690C7BA" w14:textId="77777777" w:rsidR="00F319B0" w:rsidRPr="00412A06" w:rsidRDefault="00F319B0" w:rsidP="00FE102D">
      <w:pPr>
        <w:rPr>
          <w:rFonts w:cstheme="minorHAnsi"/>
          <w:lang w:val="cy-GB"/>
        </w:rPr>
      </w:pPr>
    </w:p>
    <w:p w14:paraId="2AE9C2D6" w14:textId="15F5176F" w:rsidR="00FE102D" w:rsidRPr="00412A06" w:rsidRDefault="009E58E7" w:rsidP="00FE102D">
      <w:pPr>
        <w:rPr>
          <w:rFonts w:cstheme="minorHAnsi"/>
          <w:lang w:val="cy-GB"/>
        </w:rPr>
      </w:pPr>
      <w:r w:rsidRPr="00412A06">
        <w:rPr>
          <w:rFonts w:cstheme="minorHAnsi"/>
          <w:lang w:val="cy-GB"/>
        </w:rPr>
        <w:t xml:space="preserve">Bydd myfyrwyr yn elwa'n fawr o ddysgu trawsgwricwlaidd mewn ysgolion. Trwy integreiddio pynciau, mae myfyrwyr yn darganfod perthnasedd a dyfnder yn eu hastudiaethau, yn ogystal â chydgysylltiad gwybodaeth. Trwy hyrwyddo meddwl beirniadol, creadigrwydd, a galluoedd datrys problemau ar draws ffiniau disgyblaethol, mae'r dull hwn yn adeiladu datblygiad cyfannol. Er mwyn paratoi myfyrwyr yn well ar gyfer cymhlethdodau'r byd go iawn, mae dysgu trawsgwricwlaidd hefyd yn eu hannog i gymhwyso eu gwybodaeth a'u sgiliau mewn senarios byd go iawn. Mae myfyrwyr yn cael eu cymell yn fwy gan amrywiaeth o brofiadau dysgu, yn cymryd rhan weithredol yn y broses, ac yn cael eu harfogi i ymchwilio i bynciau yn fwy trylwyr trwy brosiectau a gweithgareddau trawsgwricwlaidd. </w:t>
      </w:r>
      <w:r w:rsidR="009F5DBC" w:rsidRPr="00412A06">
        <w:rPr>
          <w:rFonts w:cstheme="minorHAnsi"/>
          <w:lang w:val="cy-GB"/>
        </w:rPr>
        <w:t xml:space="preserve">(Historical Association, 2023). </w:t>
      </w:r>
      <w:r w:rsidRPr="00412A06">
        <w:rPr>
          <w:rFonts w:cstheme="minorHAnsi"/>
          <w:lang w:val="cy-GB"/>
        </w:rPr>
        <w:t xml:space="preserve">Anogir cyfnewid arferion gorau a gwaith tîm ymhlith athrawon hefyd, sy'n gwella'r amgylchedd dysgu yn ei gyfanrwydd. </w:t>
      </w:r>
      <w:r w:rsidR="009F5DBC" w:rsidRPr="00412A06">
        <w:rPr>
          <w:rFonts w:cstheme="minorHAnsi"/>
          <w:lang w:val="cy-GB"/>
        </w:rPr>
        <w:t xml:space="preserve">(Price, 2010) Er gwaethaf ei fanteision, mae gan ddysgu trawsgwricwlaidd rai anfanteision y dylai addysgwyr fod yn ymwybodol ohonynt. Un pryder mawr yw y gall cyfuno pynciau ei gwneud yn anoddach i fyfyrwyr gael dealltwriaeth drylwyr o bob pwnc. Gallai hyn ddangos nad ydyn nhw wir yn adnabod pob pwnc yn dda yn hytrach na ddim ond dealltwriaeth sylfaenol ohono sydd ganddyn nhw. Her arall yw y gall fod yn anodd i addysgwyr sicrhau bod yr holl bynciau yn llifo'n naturiol gyda'i gilydd. Gall myfyrwyr ei chael yn fwy dryslyd ac anodd dysgu o ganlyniad i hyn. Gall asesu gwybodaeth disgyblion o bynciau amrywiol hefyd fod yn heriol. Mae'n bosibl bod asesiadau safonol yn tan ddatgan gwir ddealltwriaeth myfyrwyr o'r deunydd. </w:t>
      </w:r>
      <w:r w:rsidR="00FE102D" w:rsidRPr="00412A06">
        <w:rPr>
          <w:rFonts w:cstheme="minorHAnsi"/>
          <w:lang w:val="cy-GB"/>
        </w:rPr>
        <w:t>(Kerry, T. 2015).</w:t>
      </w:r>
    </w:p>
    <w:p w14:paraId="16117123" w14:textId="6DCE3FD6" w:rsidR="001E2891" w:rsidRPr="00412A06" w:rsidRDefault="00FE102D">
      <w:pPr>
        <w:rPr>
          <w:rFonts w:cstheme="minorHAnsi"/>
          <w:lang w:val="cy-GB"/>
        </w:rPr>
      </w:pPr>
      <w:r w:rsidRPr="00412A06">
        <w:rPr>
          <w:rFonts w:cstheme="minorHAnsi"/>
          <w:lang w:val="cy-GB"/>
        </w:rPr>
        <w:t xml:space="preserve">Mae integreiddio pynciau neu ddisgyblaethau amrywiol i wella cyfleoedd dysgu a hyrwyddo dealltwriaeth gynhwysfawr yn ffocws dysgu trawsgwricwlaidd, sef ymagwedd addysgol. Amcan dysgu trawsgwricwlaidd yw helpu myfyrwyr i weld sut y gellir cymhwyso'r wybodaeth a'r sgiliau y maent yn eu hennill mewn un pwnc i feysydd eraill trwy wneud cysylltiadau rhwng gwahanol bynciau. Mae ymchwil addysg yn cefnogi'r cysyniad hwn, gan ddangos y gall dulliau rhyngddisgyblaethol wella dealltwriaeth a chyfranogiad myfyrwyr (Weller, 2021). Gall myfyrwyr gael dealltwriaeth fwy trylwyr o gysyniadau anodd a'u cymwysiadau ymarferol trwy integreiddio cyrsiau fel gwyddoniaeth, mathemateg a llenyddiaeth (Nebraska Department of Education, 2017). Yn ogystal, mae addysg drawsgwricwlaidd yn gyson ag egwyddorion adeiladol, sy'n amlygu gwerth dysgu ar sail ymholiad a dysgu gweithredol (Vygotsky, 1978). Anogir myfyrwyr i ymchwilio i bynciau o wahanol onglau trwy brosiectau a gweithgareddau rhyngddisgyblaethol, sy'n hybu meddwl beirniadol a chreadigedd. Mae hyn yn gyson â’m harsylwadau o gymryd rhan mewn </w:t>
      </w:r>
      <w:r w:rsidRPr="00412A06">
        <w:rPr>
          <w:rFonts w:cstheme="minorHAnsi"/>
          <w:lang w:val="cy-GB"/>
        </w:rPr>
        <w:lastRenderedPageBreak/>
        <w:t>rhaglenni pontio, lle gwelais sut y gall integreiddio astudiaethau cymdeithasol a chelfyddydau iaith helpu myfyrwyr i gael dealltwriaeth ddyfnach a lefel ymgysylltu. Yn ystod un o’m diwrnod pontio, sylwais ar weithgaredd trawsgwricwlaidd lle bu myfyrwyr yn ymchwilio i berson enwog ac yn ysgrifennu proffil amdanynt. Dewisasant ffigurau nodedig, cynnal ymchwil gan ddefnyddio adnoddau sy’n briodol i’w hoedran, a chasglu gwybodaeth am eu cefndir a’u cyflawniadau. Bu myfyrwyr yn ymarfer sgiliau llythrennedd trwy ddarllen a deall testunau gwybodaeth, yna ysgrifennu proffiliau yn ymgorffori manylion allweddol a ddysgwyd. Roedd y gweithgaredd hwn yn integreiddio llythrennedd, ymchwil, ac astudiaethau cymdeithasol, gan ddarparu profiad dysgu ystyrlon a oedd yn meithrin chwilfrydedd a gwerthfawrogiad o safbwyntiau amrywiol.</w:t>
      </w:r>
    </w:p>
    <w:p w14:paraId="5DF90440" w14:textId="77777777" w:rsidR="002828E5" w:rsidRPr="00412A06" w:rsidRDefault="002828E5">
      <w:pPr>
        <w:rPr>
          <w:rFonts w:cstheme="minorHAnsi"/>
          <w:lang w:val="cy-GB"/>
        </w:rPr>
      </w:pPr>
    </w:p>
    <w:p w14:paraId="12EEE358" w14:textId="770A4CAF" w:rsidR="00FE102D" w:rsidRPr="00412A06" w:rsidRDefault="00FE102D">
      <w:pPr>
        <w:rPr>
          <w:rFonts w:cstheme="minorHAnsi"/>
          <w:lang w:val="cy-GB"/>
        </w:rPr>
      </w:pPr>
      <w:r w:rsidRPr="00412A06">
        <w:rPr>
          <w:rFonts w:cstheme="minorHAnsi"/>
          <w:lang w:val="cy-GB"/>
        </w:rPr>
        <w:t>Mae Fframwaith Llythrennedd, Rhifedd a Chymhwysedd Digidol Cwricwlwm i Gymru yn cynnig set drylwyr o ganllawiau i gefnogi datblygiad sgiliau beirniadol ar draws yr ystod oedran cynradd. Mae’r fframwaith ar gyfer llythrennedd yn rhoi pwyslais cryf ar wella galluoedd siarad, ysgrifennu, gwrando a darllen. Gan ddefnyddio amrywiaeth o destunau a genres, mae myfyrwyr yn cymryd rhan mewn gweithgareddau sy'n cefnogi datblygiad geirfa, ymwybyddiaeth ffonetig, ruglder, a dealltwriaeth trwy gydol y blynyddoedd cynradd. Er mwyn cefnogi myfyrwyr ar lefelau dysgu amrywiol ac annog cariad at ddarllen, mae athrawon yn adeiladu profiadau dysgu sy'n hyblyg ac yn galluogi myfyrwyr i fynegi eu hunain yn effeithiol mewn cyfathrebu ysgrifenedig a llafar. Datblygiad rhesymu mathemategol, technegau datrys problemau, a rhuglder yw prif nodau rhifedd. Mae myfyrwyr cynradd yn ymchwilio i syniadau mathemategol trwy ymarferion ymarferol, cymwysiadau byd go iawn, ac aseiniadau datrys problemau. Mae galluoedd sylfaenol fel cyfrif a synnwyr rhif yn cael eu disodli'n raddol gan bynciau anoddach fel geometreg, mesur, a dadansoddi data yn y cwricwlwm. Mae myfyrwyr yn magu hyder a hyfedredd mewn rhifedd trwy brofiadau dysgu personol a chyfarwyddyd gwahaniaethol. Mae'r cwricwlwm cynradd yn ymgorffori cymhwysedd digidol, gan roi'r offer sydd eu hangen ar fyfyrwyr i lywio, creu a chyfathrebu'n llwyddiannus mewn amgylchedd digidol. Mae myfyrwyr yn ennill sgiliau meddwl beirniadol a datrys problemau wrth ddysgu sut i ddefnyddio technoleg mewn modd moesegol a chyfrifol. Gan ddechrau yn y blynyddoedd cynnar, mae myfyrwyr yn ymchwilio i offer ac adnoddau digidol i hwyluso eu dysgu ym mhob maes pwnc, gan bwysleisio creadigrwydd, gwaith tîm, a dinasyddiaeth ddigidol.</w:t>
      </w:r>
      <w:r w:rsidRPr="00412A06">
        <w:rPr>
          <w:rFonts w:cstheme="minorHAnsi"/>
        </w:rPr>
        <w:t xml:space="preserve"> </w:t>
      </w:r>
      <w:r w:rsidRPr="00412A06">
        <w:rPr>
          <w:rFonts w:cstheme="minorHAnsi"/>
          <w:lang w:val="cy-GB"/>
        </w:rPr>
        <w:t>At ei gilydd, mae’r Fframwaith Llythrennedd, Rhifedd a Chymhwysedd Digidol yn gwarantu bod myfyrwyr yn yr ystod oedran ysgol gynradd yn cael addysg gynhwysfawr sy’n rhoi’r offer sydd eu hangen arnynt i lwyddo yn yr ysgol a thu hwnt. Trwy ymgorffori'r cymwyseddau hyn yn y cwricwlwm, mae addysgwyr yn meithrin amgylchedd dysgu meithringar sy'n cefnogi datblygiad cyffredinol pob myfyriwr.</w:t>
      </w:r>
      <w:r w:rsidR="00D949F6" w:rsidRPr="00412A06">
        <w:rPr>
          <w:rFonts w:cstheme="minorHAnsi"/>
          <w:lang w:val="cy-GB"/>
        </w:rPr>
        <w:t xml:space="preserve"> (Welsh Government, 2020)</w:t>
      </w:r>
    </w:p>
    <w:p w14:paraId="588C50F6" w14:textId="77777777" w:rsidR="00A23D13" w:rsidRPr="00412A06" w:rsidRDefault="00A23D13">
      <w:pPr>
        <w:rPr>
          <w:rFonts w:cstheme="minorHAnsi"/>
          <w:lang w:val="cy-GB"/>
        </w:rPr>
      </w:pPr>
    </w:p>
    <w:p w14:paraId="24F2EE83" w14:textId="660E8307" w:rsidR="00FE102D" w:rsidRPr="00412A06" w:rsidRDefault="00A23D13">
      <w:pPr>
        <w:rPr>
          <w:rFonts w:cstheme="minorHAnsi"/>
          <w:lang w:val="cy-GB"/>
        </w:rPr>
      </w:pPr>
      <w:r w:rsidRPr="00412A06">
        <w:rPr>
          <w:rFonts w:cstheme="minorHAnsi"/>
          <w:lang w:val="cy-GB"/>
        </w:rPr>
        <w:t>Mae athrawon yn wynebu ystod eang o gyfleoedd a heriau o ran addysgu a dysgu trawsgwricwlaidd, sy'n effeithio ar eu strategaethau addysgu ac yn effeithio ar ddeilliannau myfyrwyr. Un ffordd o greu profiadau dysgu dilys a diddorol yw trwy integreiddio gwahanol bynciau. Gall athrawon feithrin dealltwriaeth ddyfnach a pherthnasedd trwy ganiatáu i fyfyrwyr gymhwyso eu gwybodaeth a'u sgiliau mewn cyd-destunau byd go iawn trwy integreiddio disgyblaethau amrywiol. (Hili, Schembri and Journal, 2022)</w:t>
      </w:r>
      <w:r w:rsidR="00B5555E" w:rsidRPr="00412A06">
        <w:rPr>
          <w:rFonts w:cstheme="minorHAnsi"/>
          <w:lang w:val="cy-GB"/>
        </w:rPr>
        <w:t xml:space="preserve"> Er enghraifft, mae integreiddio gwyddoniaeth a mathemateg trwy arbrawf ymarferol yn cryfhau dealltwriaeth myfyrwyr o gysyniadau mathemategol ac yn cynyddu eu gwerthfawrogiad o'r dull gwyddonol. At hynny, trwy gyflwyno cysyniadau mewn amrywiaeth o ffyrdd, mae dulliau </w:t>
      </w:r>
      <w:r w:rsidR="00B5555E" w:rsidRPr="00412A06">
        <w:rPr>
          <w:rFonts w:cstheme="minorHAnsi"/>
          <w:lang w:val="cy-GB"/>
        </w:rPr>
        <w:lastRenderedPageBreak/>
        <w:t xml:space="preserve">trawsgwricwlaidd yn dal chwilfrydedd a brwdfrydedd myfyrwyr wrth ddarparu ar gyfer ystod eang o arddulliau dysgu a diddordebau. (Historical Association, 2023). </w:t>
      </w:r>
      <w:r w:rsidR="005F28EE" w:rsidRPr="00412A06">
        <w:rPr>
          <w:rFonts w:cstheme="minorHAnsi"/>
          <w:lang w:val="cy-GB"/>
        </w:rPr>
        <w:t xml:space="preserve"> </w:t>
      </w:r>
    </w:p>
    <w:p w14:paraId="4093ED52" w14:textId="77777777" w:rsidR="005F28EE" w:rsidRPr="00412A06" w:rsidRDefault="005F28EE">
      <w:pPr>
        <w:rPr>
          <w:rFonts w:cstheme="minorHAnsi"/>
          <w:lang w:val="cy-GB"/>
        </w:rPr>
      </w:pPr>
    </w:p>
    <w:p w14:paraId="6A158F7D" w14:textId="12E07B1E" w:rsidR="005F28EE" w:rsidRPr="00412A06" w:rsidRDefault="005F28EE">
      <w:pPr>
        <w:rPr>
          <w:rFonts w:cstheme="minorHAnsi"/>
          <w:lang w:val="cy-GB"/>
        </w:rPr>
      </w:pPr>
      <w:r w:rsidRPr="00412A06">
        <w:rPr>
          <w:rFonts w:cstheme="minorHAnsi"/>
          <w:lang w:val="cy-GB"/>
        </w:rPr>
        <w:t>Er bod llawer o fanteision i ddysgu trawsgwricwlaidd, mae nifer o anawsterau y mae'n rhaid i athrawon eu goresgyn. Mae'r posibilrwydd o gynnwys pwnc penodol bas yn un pryder. Un risg sy'n gysylltiedig ag integreiddio pynciau lluosog yw efallai na fydd myfyrwyr yn cael dealltwriaeth drylwyr o bob disgyblaeth. Pan fydd amser yn cael ei neilltuo i wahanol bynciau, efallai y bydd llai o gyfle ar gyfer ymchwiliad manwl. Ymhellach, gall cydlynu amcanion cwricwlwm ymhlith pynciau amrywiol fod yn anodd ac yn cymryd llawer o amser. Er mwyn sicrhau bod profiadau dysgu yn gydlynol ac yn atgyfnerthu cysyniadau pwysig, rhaid i athrawon gydlynu'n ofalus â'i gilydd. Gall hefyd fod yn anodd creu profion sy'n mesur gwybodaeth a galluoedd rhyngddisgyblaethol yn deg. Gall cymhlethdod dysgu trawsgwricwlaidd fod yn rhy gymhleth ar gyfer technegau asesu traddodiadol, gan ei gwneud yn heriol i fesur cynnydd myfyrwyr yn briodol. (SciSpace - Question, d.d.)</w:t>
      </w:r>
      <w:r w:rsidR="009F7D1D" w:rsidRPr="00412A06">
        <w:rPr>
          <w:rFonts w:cstheme="minorHAnsi"/>
          <w:lang w:val="cy-GB"/>
        </w:rPr>
        <w:t xml:space="preserve"> </w:t>
      </w:r>
    </w:p>
    <w:p w14:paraId="2765FE60" w14:textId="77777777" w:rsidR="009F7D1D" w:rsidRPr="00412A06" w:rsidRDefault="009F7D1D">
      <w:pPr>
        <w:rPr>
          <w:rFonts w:cstheme="minorHAnsi"/>
          <w:lang w:val="cy-GB"/>
        </w:rPr>
      </w:pPr>
    </w:p>
    <w:p w14:paraId="3856A8C8" w14:textId="58419ECB" w:rsidR="009F7D1D" w:rsidRPr="00412A06" w:rsidRDefault="009F7D1D">
      <w:pPr>
        <w:rPr>
          <w:rFonts w:cstheme="minorHAnsi"/>
          <w:lang w:val="cy-GB"/>
        </w:rPr>
      </w:pPr>
      <w:r w:rsidRPr="00412A06">
        <w:rPr>
          <w:rFonts w:cstheme="minorHAnsi"/>
          <w:lang w:val="cy-GB"/>
        </w:rPr>
        <w:t>Er bod rhai rhannau anodd i ddysgu trawsgwricwlaidd, mae ganddo lawer o bethau da i'w cynnig. Pan fydd athrawon yn cysylltu gwahanol bynciau, gall myfyrwyr ddysgu llawer a pharatoi ar gyfer y byd y tu allan i'r ysgol. Ond er mwyn iddo weithio'n dda mae angen meddwl yn ofalus, gwaith tîm ymhlith athrawon, a chefnogaeth gan arweinwyr ysgol. Trwy wynebu rhannau da a chaled dysgu trawsgwricwlaidd, gall athrawon helpu myfyrwyr i ddysgu a thyfu ar gyfer y dyfodol. (osiriseducational.co.uk, d.d.)</w:t>
      </w:r>
      <w:r w:rsidR="008B411B" w:rsidRPr="00412A06">
        <w:rPr>
          <w:rFonts w:cstheme="minorHAnsi"/>
          <w:lang w:val="cy-GB"/>
        </w:rPr>
        <w:t xml:space="preserve"> </w:t>
      </w:r>
    </w:p>
    <w:p w14:paraId="15E57434" w14:textId="77777777" w:rsidR="00E06353" w:rsidRPr="00412A06" w:rsidRDefault="00E06353">
      <w:pPr>
        <w:rPr>
          <w:rFonts w:cstheme="minorHAnsi"/>
          <w:lang w:val="cy-GB"/>
        </w:rPr>
      </w:pPr>
    </w:p>
    <w:p w14:paraId="20491F1B" w14:textId="614A8B29" w:rsidR="00E06353" w:rsidRPr="00412A06" w:rsidRDefault="00E06353">
      <w:pPr>
        <w:rPr>
          <w:rFonts w:cstheme="minorHAnsi"/>
          <w:lang w:val="cy-GB"/>
        </w:rPr>
      </w:pPr>
      <w:r w:rsidRPr="00412A06">
        <w:rPr>
          <w:rFonts w:cstheme="minorHAnsi"/>
          <w:lang w:val="cy-GB"/>
        </w:rPr>
        <w:t>Mae’r syniad o integreiddio yn hanfodol i ddysgu trawsgwricwlaidd, lle mae athrawon yn cyfuno deunydd o sawl pwnc gwahanol i greu profiadau dysgu cydlynol ac arwyddocaol. Daw dysgu yn fwy perthnasol a diddorol pan fydd myfyrwyr yn gallu gweld y cysylltiadau rhwng gwahanol feysydd pwnc diolch i'r integreiddio hwn. (Llywodraeth Cymru, 2020) Gallai myfyrwyr ymchwilio i ddigwyddiad hanesyddol trwy lensys llenyddiaeth, celf a hanes, er enghraifft, mewn ymarfer dysgu seiliedig ar brosiect. Byddai hyn yn eu galluogi i ddeall y testun yn ddyfnach o amrywiaeth o onglau. Mae'r pwyslais ar wneud cysylltiadau â'r byd go iawn yn elfen hanfodol arall o ddysgu trawsgwricwlaidd. Trwy wneud cysylltiadau rhwng yr ystafell ddosbarth a bywydau myfyrwyr a'r byd y tu allan, gall athrawon gynorthwyo myfyrwyr i weld gwerth yr hyn y maent yn ei ddysgu a'i gymhwyso i senarios byd go iawn. Er enghraifft, mewn prosiect gwyddoniaeth ar gadwraeth amgylcheddol, gallai myfyrwyr integreiddio celfyddydau iaith, gwyddoniaeth, a mathemateg i fynd i'r afael â materion amgylcheddol go iawn trwy ddadansoddi data, creu graffiau, ac ysgrifennu adroddiadau. Yn ogystal, mae dysgu trawsgwricwlaidd yn meithrin creadigrwydd, meddwl beirniadol, a galluoedd datrys problemau trwy wthio myfyrwyr i greu cysylltiadau rhwng disgyblaethau academaidd amrywiol. Mae’r dull hwn yn cyd-fynd â damcaniaethau dysgu adeiladol, sy’n rhoi pwyslais cryf ar ddysgu ar sail ymholiad a chyfranogiad gweithredol. Mae myfyrwyr yn archwilio testun yn ddwfn a chysylltiadau traws disgyblaethol fel dysgwyr gweithredol trwy brosiectau a gweithgareddau rhyngddisgyblaethol. (Barnes, 2018) Sylwais ar weithgareddau trawsgwricwlaidd a oedd yn integreiddio sawl pwnc yn ystod fy nyddiau Pontio. Bellach mae gennyf gadarnhad o fanteision dysgu trawsgwricwlaidd diolch i'r profiad hwn. Roedd y ffordd yr ymgorfforwyd pynciau amrywiol mor dda yn gwneud i mi werthfawrogi defnyddioldeb y strategaeth hon. Dysgais ohono y gall gweithgareddau trawsgwricwlaidd wella perthnasedd ac ymgysylltiad dysgu.</w:t>
      </w:r>
      <w:r w:rsidR="00A57FB3" w:rsidRPr="00412A06">
        <w:rPr>
          <w:rFonts w:cstheme="minorHAnsi"/>
          <w:lang w:val="cy-GB"/>
        </w:rPr>
        <w:t xml:space="preserve"> </w:t>
      </w:r>
    </w:p>
    <w:p w14:paraId="667309BD" w14:textId="77777777" w:rsidR="00A57FB3" w:rsidRPr="00412A06" w:rsidRDefault="00A57FB3">
      <w:pPr>
        <w:rPr>
          <w:rFonts w:cstheme="minorHAnsi"/>
          <w:lang w:val="cy-GB"/>
        </w:rPr>
      </w:pPr>
    </w:p>
    <w:p w14:paraId="2EAA5E19" w14:textId="4BA7E4B0" w:rsidR="00A57FB3" w:rsidRPr="00412A06" w:rsidRDefault="00A57FB3">
      <w:pPr>
        <w:rPr>
          <w:rFonts w:cstheme="minorHAnsi"/>
          <w:lang w:val="cy-GB"/>
        </w:rPr>
      </w:pPr>
      <w:r w:rsidRPr="00412A06">
        <w:rPr>
          <w:rFonts w:cstheme="minorHAnsi"/>
          <w:lang w:val="cy-GB"/>
        </w:rPr>
        <w:lastRenderedPageBreak/>
        <w:t>Mae ymgorffori'r fframwaith trawsgwricwlaidd yn y Cwricwlwm i Gymru yn gofyn am ddeunyddiau darpariaeth uwch. Trwy gyfuno sawl pwnc yn un trwy unedau neu brosiectau thematig, mae'n darparu gwell cyfleoedd dysgu. Er enghraifft, gallai uned ar gynaliadwyedd ymgorffori celfyddydau iaith, mathemateg, gwyddoniaeth ac astudiaethau cymdeithasol, gan alluogi myfyrwyr i ymchwilio a chyflwyno atebion i broblemau amgylcheddol. Ar ben hynny, mae dysgu ymarferol sy'n seiliedig ar ymholiad yn cael ei bwysleisio mewn deunydd darpariaeth uwch, sy'n hyrwyddo meddwl beirniadol ac ymgysylltu gweithredol. Gallai prosiect hanesyddol, er enghraifft, gynnwys cyflwyniadau amlgyfrwng ac ymchwil ffynhonnell gynradd. Mae hefyd yn cynnig cysylltiadau byd go iawn trwy brofiadau dysgu amlddisgyblaethol dilys. Mae hyn yn sicrhau bod myfyrwyr yn deall sut mae eu dysgu yn berthnasol i bynciau eraill. Ar y llaw arall, mae cysylltiadau trawsgwricwlaidd bwriadol sy'n cyd-fynd ag amcanion y cwricwlwm yn hanfodol ar gyfer gwell deunydd darpariaeth. Mae angen cynllunio gofalus, cydweithio rhyngddisgyblaethol, a gweithdrefnau asesu pwrpasol ar gyfer hyn. Mae popeth a ystyriwyd, mae deunyddiau addysgu gwell yn hyrwyddo datblygiad cyfannol, yn gwella cyfleoedd dysgu, ac yn paratoi disgyblion ar gyfer cymdeithas fyd-eang.</w:t>
      </w:r>
      <w:r w:rsidR="002152D1" w:rsidRPr="00412A06">
        <w:rPr>
          <w:rFonts w:cstheme="minorHAnsi"/>
          <w:lang w:val="cy-GB"/>
        </w:rPr>
        <w:t xml:space="preserve"> (Welsh Government, 2015)</w:t>
      </w:r>
    </w:p>
    <w:p w14:paraId="4281D370" w14:textId="77777777" w:rsidR="001E34D7" w:rsidRPr="00412A06" w:rsidRDefault="001E34D7">
      <w:pPr>
        <w:rPr>
          <w:rFonts w:cstheme="minorHAnsi"/>
          <w:lang w:val="cy-GB"/>
        </w:rPr>
      </w:pPr>
    </w:p>
    <w:p w14:paraId="59F9C274" w14:textId="2BE97E8F" w:rsidR="001E34D7" w:rsidRPr="00412A06" w:rsidRDefault="001E34D7">
      <w:pPr>
        <w:rPr>
          <w:rFonts w:cstheme="minorHAnsi"/>
          <w:lang w:val="cy-GB"/>
        </w:rPr>
      </w:pPr>
      <w:r w:rsidRPr="00412A06">
        <w:rPr>
          <w:rFonts w:cstheme="minorHAnsi"/>
          <w:lang w:val="cy-GB"/>
        </w:rPr>
        <w:t>Mae fframwaith Cwricwlwm i Gymru ar gyfer llythrennedd, rhifedd, a chymhwysedd digidol yn hynod o bwysig oherwydd ei fod yn darparu map ffordd fanwl ar gyfer twf academaidd a phersonol myfyrwyr. Mae’r fframweithiau hyn yn gweithredu fel pileri sylfaenol, gan amlygu arwyddocâd datblygu galluoedd sylfaenol mewn darllen, rhifedd a llythrennedd digidol o ddechrau’r ysgol. Mae Cwricwlwm i Gymru yn blaenoriaethu’r sgiliau hyn er mwyn rhoi’r offer sydd eu hangen ar fyfyrwyr i lywio’n llwyddiannus fyd sy’n dod yn fwy cymhleth a digidol. Trwy gynorthwyo addysgwyr i greu a darparu profiadau dysgu effeithiol sy’n integreiddio cymhwysedd digidol, llythrennedd a rhifedd ar draws ystod o bynciau a disgyblaethau, mae’r fframweithiau hyn yn cael effaith sylweddol ar arferion addysgu. Argymhellir bod addysgwyr yn ymgorffori'r galluoedd hyn yn eu cynlluniau gwersi er mwyn hyrwyddo ymagwedd addysgol gynhwysfawr sy'n mynd y tu hwnt i ffiniau pwnc confensiynol. Trwy integreiddio llythrennedd, rhifedd, a chymhwysedd digidol i addysgeg arferol, gall hyfforddwyr wella cyfranogiad myfyrwyr, eu dealltwriaeth a'r defnydd o wybodaeth mewn gwahanol leoliadau</w:t>
      </w:r>
      <w:r w:rsidRPr="00412A06">
        <w:rPr>
          <w:rFonts w:cstheme="minorHAnsi"/>
        </w:rPr>
        <w:t xml:space="preserve">. </w:t>
      </w:r>
      <w:r w:rsidRPr="00412A06">
        <w:rPr>
          <w:rFonts w:cstheme="minorHAnsi"/>
          <w:lang w:val="cy-GB"/>
        </w:rPr>
        <w:t xml:space="preserve">Mae’r fframweithiau ar gyfer cymhwysedd digidol, llythrennedd a rhifedd hefyd yn dylanwadu’n sylweddol ar sut mae myfyrwyr yn dysgu. Nod Cwricwlwm i Gymru yw arfogi myfyrwyr i ddod yn dechnolegwyr digidol hyfedr, yn feddylwyr beirniadol, ac yn gyfathrebwyr effeithiol trwy roi pwyslais cryf ar ddatblygiad y sgiliau sylfaenol hyn. Rhoddir cyfle i fyfyrwyr ddatblygu eu sgiliau llythrennedd, rhifedd a digidol mewn cyd-destunau byd go iawn a pherthnasol trwy gyfarwyddyd bwriadol a gweithgareddau dysgu cyfoethogi, gan eu paratoi ar gyfer llwyddiant mewn addysg uwch, y gweithlu, a meysydd eraill. Mae Cwricwlwm i Gymru yn ymgorffori’r fframweithiau llythrennedd, rhifedd a chymhwysedd digidol mewn ffyrdd sy’n mynd y tu hwnt i’r ystafell ddosbarth ac sy’n effeithio ar wahanol agweddau ar ddiwylliant a gweithdrefnau ysgol. Er mwyn hyrwyddo awyrgylch cadarnhaol lle mae llythrennedd, rhifedd, a dysgu digidol yn cael eu gwerthfawrogi, eu dathlu, a’u gwella’n gyson, anogir ysgolion i weithredu dull ysgol gyfan o ymdrin â’r pynciau hyn. Mae’r egwyddorion a amlinellir yn y fframweithiau hyn yn llywio cyfleoedd datblygiad proffesiynol i addysgwyr, methodoleg asesu, cynllunio’r cwricwlwm, a dyrannu adnoddau, a thrwy hynny warantu bod llythrennedd, rhifedd a chymhwysedd digidol yn parhau i fod yn ganolog i genhadaeth a gweledigaeth yr ysgol. (Llywodraeth Cymru 2020). I grynhoi, mae fframwaith Cwricwlwm i Gymru ar gyfer llythrennedd, rhifedd a </w:t>
      </w:r>
      <w:r w:rsidRPr="00412A06">
        <w:rPr>
          <w:rFonts w:cstheme="minorHAnsi"/>
          <w:lang w:val="cy-GB"/>
        </w:rPr>
        <w:lastRenderedPageBreak/>
        <w:t>chymhwysedd digidol yn cael effaith sylweddol ar sut mae myfyrwyr yn dysgu ac addysgu yn ogystal â meysydd eraill o addysg. Mae’r Cwricwlwm i Gymru yn blaenoriaethu datblygiad y sgiliau pwysig hyn er mwyn arfogi myfyrwyr i ffynnu mewn byd sy’n dod yn fwy cysylltiedig yn ddigidol, sy’n cael ei yrru gan wybodaeth, ac sy’n rhwng cysylltiedig.</w:t>
      </w:r>
    </w:p>
    <w:p w14:paraId="0B8DF211" w14:textId="77777777" w:rsidR="00E06353" w:rsidRPr="00412A06" w:rsidRDefault="00E06353">
      <w:pPr>
        <w:rPr>
          <w:rFonts w:cstheme="minorHAnsi"/>
          <w:lang w:val="cy-GB"/>
        </w:rPr>
      </w:pPr>
    </w:p>
    <w:p w14:paraId="59014CEC" w14:textId="77777777" w:rsidR="00412A06" w:rsidRPr="00412A06" w:rsidRDefault="00412A06">
      <w:pPr>
        <w:rPr>
          <w:rFonts w:cstheme="minorHAnsi"/>
          <w:lang w:val="cy-GB"/>
        </w:rPr>
      </w:pPr>
    </w:p>
    <w:p w14:paraId="4EAAA8A6" w14:textId="2F037A46" w:rsidR="00412A06" w:rsidRPr="00412A06" w:rsidRDefault="00412A06" w:rsidP="00412A06">
      <w:pPr>
        <w:pStyle w:val="NormalWeb"/>
        <w:rPr>
          <w:rFonts w:asciiTheme="minorHAnsi" w:hAnsiTheme="minorHAnsi" w:cstheme="minorHAnsi"/>
          <w:b/>
          <w:bCs/>
          <w:color w:val="000000"/>
          <w:u w:val="single"/>
        </w:rPr>
      </w:pPr>
      <w:proofErr w:type="spellStart"/>
      <w:r w:rsidRPr="00412A06">
        <w:rPr>
          <w:rFonts w:asciiTheme="minorHAnsi" w:hAnsiTheme="minorHAnsi" w:cstheme="minorHAnsi"/>
          <w:b/>
          <w:bCs/>
          <w:color w:val="000000"/>
          <w:u w:val="single"/>
        </w:rPr>
        <w:t>Atodiad</w:t>
      </w:r>
      <w:proofErr w:type="spellEnd"/>
    </w:p>
    <w:p w14:paraId="48735084" w14:textId="37EB0850" w:rsidR="00412A06" w:rsidRPr="00412A06" w:rsidRDefault="00412A06" w:rsidP="00412A06">
      <w:pPr>
        <w:pStyle w:val="NormalWeb"/>
        <w:rPr>
          <w:rFonts w:asciiTheme="minorHAnsi" w:hAnsiTheme="minorHAnsi" w:cstheme="minorHAnsi"/>
          <w:color w:val="000000"/>
        </w:rPr>
      </w:pPr>
      <w:r w:rsidRPr="00412A06">
        <w:rPr>
          <w:rFonts w:asciiTheme="minorHAnsi" w:hAnsiTheme="minorHAnsi" w:cstheme="minorHAnsi"/>
          <w:color w:val="000000"/>
        </w:rPr>
        <w:t>Barnes, J. (2018). </w:t>
      </w:r>
      <w:r w:rsidRPr="00412A06">
        <w:rPr>
          <w:rFonts w:asciiTheme="minorHAnsi" w:hAnsiTheme="minorHAnsi" w:cstheme="minorHAnsi"/>
          <w:i/>
          <w:iCs/>
          <w:color w:val="000000"/>
        </w:rPr>
        <w:t xml:space="preserve">Applying cross-curricular approaches </w:t>
      </w:r>
      <w:proofErr w:type="gramStart"/>
      <w:r w:rsidRPr="00412A06">
        <w:rPr>
          <w:rFonts w:asciiTheme="minorHAnsi" w:hAnsiTheme="minorHAnsi" w:cstheme="minorHAnsi"/>
          <w:i/>
          <w:iCs/>
          <w:color w:val="000000"/>
        </w:rPr>
        <w:t>creatively :</w:t>
      </w:r>
      <w:proofErr w:type="gramEnd"/>
      <w:r w:rsidRPr="00412A06">
        <w:rPr>
          <w:rFonts w:asciiTheme="minorHAnsi" w:hAnsiTheme="minorHAnsi" w:cstheme="minorHAnsi"/>
          <w:i/>
          <w:iCs/>
          <w:color w:val="000000"/>
        </w:rPr>
        <w:t xml:space="preserve"> the connecting curriculum</w:t>
      </w:r>
      <w:r w:rsidRPr="00412A06">
        <w:rPr>
          <w:rFonts w:asciiTheme="minorHAnsi" w:hAnsiTheme="minorHAnsi" w:cstheme="minorHAnsi"/>
          <w:color w:val="000000"/>
        </w:rPr>
        <w:t xml:space="preserve">. London: Routledge. </w:t>
      </w:r>
    </w:p>
    <w:p w14:paraId="0AE4AF06" w14:textId="77777777" w:rsidR="00412A06" w:rsidRPr="00412A06" w:rsidRDefault="00412A06" w:rsidP="00412A06">
      <w:pPr>
        <w:pStyle w:val="NormalWeb"/>
        <w:rPr>
          <w:rFonts w:asciiTheme="minorHAnsi" w:hAnsiTheme="minorHAnsi" w:cstheme="minorHAnsi"/>
          <w:color w:val="000000"/>
        </w:rPr>
      </w:pPr>
      <w:proofErr w:type="spellStart"/>
      <w:r w:rsidRPr="00412A06">
        <w:rPr>
          <w:rFonts w:asciiTheme="minorHAnsi" w:hAnsiTheme="minorHAnsi" w:cstheme="minorHAnsi"/>
          <w:color w:val="000000"/>
        </w:rPr>
        <w:t>Hili</w:t>
      </w:r>
      <w:proofErr w:type="spellEnd"/>
      <w:r w:rsidRPr="00412A06">
        <w:rPr>
          <w:rFonts w:asciiTheme="minorHAnsi" w:hAnsiTheme="minorHAnsi" w:cstheme="minorHAnsi"/>
          <w:color w:val="000000"/>
        </w:rPr>
        <w:t>, C., Schembri, H. and Journal, M. (2022). Cross-Curricular Teaching Within the Learning Outcomes Framework: The Experiences of Primary Teachers in Two State Schools in Malta.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3(2), pp.231–258.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gael</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4" w:history="1">
        <w:r w:rsidRPr="00412A06">
          <w:rPr>
            <w:rStyle w:val="Hyperlink"/>
            <w:rFonts w:asciiTheme="minorHAnsi" w:hAnsiTheme="minorHAnsi" w:cstheme="minorHAnsi"/>
          </w:rPr>
          <w:t>https://ife.gov.mt/wp-content/uploads/2023/03/12.-Xerri-Hili-and-Schembri-231-258.pdf</w:t>
        </w:r>
      </w:hyperlink>
      <w:r w:rsidRPr="00412A06">
        <w:rPr>
          <w:rFonts w:asciiTheme="minorHAnsi" w:hAnsiTheme="minorHAnsi" w:cstheme="minorHAnsi"/>
          <w:color w:val="000000"/>
        </w:rPr>
        <w:t xml:space="preserve">. </w:t>
      </w:r>
    </w:p>
    <w:p w14:paraId="021B2F35" w14:textId="77777777" w:rsidR="00412A06" w:rsidRPr="00412A06" w:rsidRDefault="00412A06" w:rsidP="00412A06">
      <w:pPr>
        <w:pStyle w:val="NormalWeb"/>
        <w:spacing w:before="0" w:beforeAutospacing="0" w:after="0" w:afterAutospacing="0" w:line="360" w:lineRule="atLeast"/>
        <w:rPr>
          <w:rFonts w:asciiTheme="minorHAnsi" w:hAnsiTheme="minorHAnsi" w:cstheme="minorHAnsi"/>
          <w:color w:val="000000"/>
        </w:rPr>
      </w:pPr>
      <w:r w:rsidRPr="00412A06">
        <w:rPr>
          <w:rFonts w:asciiTheme="minorHAnsi" w:hAnsiTheme="minorHAnsi" w:cstheme="minorHAnsi"/>
          <w:color w:val="000000"/>
        </w:rPr>
        <w:t>Historical Association (2023). </w:t>
      </w:r>
      <w:r w:rsidRPr="00412A06">
        <w:rPr>
          <w:rFonts w:asciiTheme="minorHAnsi" w:hAnsiTheme="minorHAnsi" w:cstheme="minorHAnsi"/>
          <w:i/>
          <w:iCs/>
          <w:color w:val="000000"/>
        </w:rPr>
        <w:t>Cross-curricular learning / Leading Primary History / Historical Association</w:t>
      </w:r>
      <w:r w:rsidRPr="00412A06">
        <w:rPr>
          <w:rFonts w:asciiTheme="minorHAnsi" w:hAnsiTheme="minorHAnsi" w:cstheme="minorHAnsi"/>
          <w:color w:val="000000"/>
        </w:rPr>
        <w:t>.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www.history.org.uk.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gael</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5" w:anchor=":~:text=Cross%2Dcurricular%20work%20offers%20a" w:history="1">
        <w:r w:rsidRPr="00412A06">
          <w:rPr>
            <w:rStyle w:val="Hyperlink"/>
            <w:rFonts w:asciiTheme="minorHAnsi" w:hAnsiTheme="minorHAnsi" w:cstheme="minorHAnsi"/>
          </w:rPr>
          <w:t>https://www.history.org.uk/primary/module/3638/leading-primary-history/3653/cross-curricular-learning#:~:text=Cross%2Dcurricular%20work%20offers%20a</w:t>
        </w:r>
      </w:hyperlink>
      <w:r w:rsidRPr="00412A06">
        <w:rPr>
          <w:rFonts w:asciiTheme="minorHAnsi" w:hAnsiTheme="minorHAnsi" w:cstheme="minorHAnsi"/>
          <w:color w:val="000000"/>
        </w:rPr>
        <w:t xml:space="preserve">. </w:t>
      </w:r>
    </w:p>
    <w:p w14:paraId="67EEB64E" w14:textId="77777777" w:rsidR="00412A06" w:rsidRPr="00412A06" w:rsidRDefault="00412A06" w:rsidP="00412A06">
      <w:pPr>
        <w:pStyle w:val="NormalWeb"/>
        <w:rPr>
          <w:rFonts w:asciiTheme="minorHAnsi" w:hAnsiTheme="minorHAnsi" w:cstheme="minorHAnsi"/>
          <w:color w:val="000000"/>
        </w:rPr>
      </w:pPr>
      <w:r w:rsidRPr="00412A06">
        <w:rPr>
          <w:rFonts w:asciiTheme="minorHAnsi" w:hAnsiTheme="minorHAnsi" w:cstheme="minorHAnsi"/>
          <w:color w:val="000000"/>
        </w:rPr>
        <w:t xml:space="preserve">Kerry, T. (2015). Cross-Curricular Teaching in the Primary School: Planning and facilitating imaginative lessons (2ail </w:t>
      </w:r>
      <w:proofErr w:type="spellStart"/>
      <w:r w:rsidRPr="00412A06">
        <w:rPr>
          <w:rFonts w:asciiTheme="minorHAnsi" w:hAnsiTheme="minorHAnsi" w:cstheme="minorHAnsi"/>
          <w:color w:val="000000"/>
        </w:rPr>
        <w:t>argraffiad</w:t>
      </w:r>
      <w:proofErr w:type="spellEnd"/>
      <w:r w:rsidRPr="00412A06">
        <w:rPr>
          <w:rFonts w:asciiTheme="minorHAnsi" w:hAnsiTheme="minorHAnsi" w:cstheme="minorHAnsi"/>
          <w:color w:val="000000"/>
        </w:rPr>
        <w:t xml:space="preserve">.). Routledge. </w:t>
      </w:r>
      <w:hyperlink r:id="rId6" w:history="1">
        <w:r w:rsidRPr="00412A06">
          <w:rPr>
            <w:rStyle w:val="Hyperlink"/>
            <w:rFonts w:asciiTheme="minorHAnsi" w:hAnsiTheme="minorHAnsi" w:cstheme="minorHAnsi"/>
          </w:rPr>
          <w:t>https://doi.org/10.4324/9781315766010</w:t>
        </w:r>
      </w:hyperlink>
      <w:r w:rsidRPr="00412A06">
        <w:rPr>
          <w:rFonts w:asciiTheme="minorHAnsi" w:hAnsiTheme="minorHAnsi" w:cstheme="minorHAnsi"/>
          <w:color w:val="000000"/>
        </w:rPr>
        <w:t xml:space="preserve"> </w:t>
      </w:r>
    </w:p>
    <w:p w14:paraId="4BD4B511" w14:textId="77777777" w:rsidR="00412A06" w:rsidRDefault="00412A06" w:rsidP="00412A06">
      <w:pPr>
        <w:pStyle w:val="NormalWeb"/>
        <w:spacing w:before="0" w:beforeAutospacing="0" w:after="0" w:afterAutospacing="0" w:line="360" w:lineRule="atLeast"/>
        <w:rPr>
          <w:rFonts w:asciiTheme="minorHAnsi" w:hAnsiTheme="minorHAnsi" w:cstheme="minorHAnsi"/>
          <w:color w:val="000000"/>
        </w:rPr>
      </w:pPr>
      <w:r w:rsidRPr="00412A06">
        <w:rPr>
          <w:rFonts w:asciiTheme="minorHAnsi" w:hAnsiTheme="minorHAnsi" w:cstheme="minorHAnsi"/>
          <w:color w:val="000000"/>
        </w:rPr>
        <w:t>osiriseducational.co.uk. (d.d.). </w:t>
      </w:r>
      <w:r w:rsidRPr="00412A06">
        <w:rPr>
          <w:rFonts w:asciiTheme="minorHAnsi" w:hAnsiTheme="minorHAnsi" w:cstheme="minorHAnsi"/>
          <w:i/>
          <w:iCs/>
          <w:color w:val="000000"/>
        </w:rPr>
        <w:t>Staffroom Across the Curriculum</w:t>
      </w:r>
      <w:r w:rsidRPr="00412A06">
        <w:rPr>
          <w:rFonts w:asciiTheme="minorHAnsi" w:hAnsiTheme="minorHAnsi" w:cstheme="minorHAnsi"/>
          <w:color w:val="000000"/>
        </w:rPr>
        <w:t>.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gael</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7" w:history="1">
        <w:r w:rsidRPr="00412A06">
          <w:rPr>
            <w:rStyle w:val="Hyperlink"/>
            <w:rFonts w:asciiTheme="minorHAnsi" w:hAnsiTheme="minorHAnsi" w:cstheme="minorHAnsi"/>
          </w:rPr>
          <w:t>https://osiriseducational.co.uk/staffroom/article/across-the-curriculum/</w:t>
        </w:r>
      </w:hyperlink>
      <w:r w:rsidRPr="00412A06">
        <w:rPr>
          <w:rFonts w:asciiTheme="minorHAnsi" w:hAnsiTheme="minorHAnsi" w:cstheme="minorHAnsi"/>
          <w:color w:val="000000"/>
        </w:rPr>
        <w:t xml:space="preserve">. </w:t>
      </w:r>
    </w:p>
    <w:p w14:paraId="4DB28CC0" w14:textId="77777777" w:rsidR="003A79CF" w:rsidRPr="00412A06" w:rsidRDefault="003A79CF" w:rsidP="00412A06">
      <w:pPr>
        <w:pStyle w:val="NormalWeb"/>
        <w:spacing w:before="0" w:beforeAutospacing="0" w:after="0" w:afterAutospacing="0" w:line="360" w:lineRule="atLeast"/>
        <w:rPr>
          <w:rFonts w:asciiTheme="minorHAnsi" w:hAnsiTheme="minorHAnsi" w:cstheme="minorHAnsi"/>
          <w:color w:val="000000"/>
        </w:rPr>
      </w:pPr>
    </w:p>
    <w:p w14:paraId="3A3318C7" w14:textId="572BC3FF" w:rsidR="00412A06" w:rsidRPr="003A79CF" w:rsidRDefault="00412A06" w:rsidP="00412A06">
      <w:pPr>
        <w:pStyle w:val="NormalWeb"/>
        <w:spacing w:before="0" w:beforeAutospacing="0" w:after="0" w:afterAutospacing="0" w:line="360" w:lineRule="atLeast"/>
        <w:rPr>
          <w:rFonts w:asciiTheme="minorHAnsi" w:hAnsiTheme="minorHAnsi" w:cstheme="minorHAnsi"/>
          <w:i/>
          <w:iCs/>
          <w:color w:val="000000"/>
        </w:rPr>
      </w:pPr>
      <w:r w:rsidRPr="00412A06">
        <w:rPr>
          <w:rFonts w:asciiTheme="minorHAnsi" w:hAnsiTheme="minorHAnsi" w:cstheme="minorHAnsi"/>
          <w:color w:val="000000"/>
        </w:rPr>
        <w:t>Price, A. (2010). </w:t>
      </w:r>
      <w:r w:rsidRPr="00412A06">
        <w:rPr>
          <w:rFonts w:asciiTheme="minorHAnsi" w:hAnsiTheme="minorHAnsi" w:cstheme="minorHAnsi"/>
          <w:i/>
          <w:iCs/>
          <w:color w:val="000000"/>
        </w:rPr>
        <w:t>What are the benefits for teaching and learning of cross-curricular work using thinking skills, techniques and language?</w:t>
      </w:r>
      <w:r w:rsidRPr="00412A06">
        <w:rPr>
          <w:rFonts w:asciiTheme="minorHAnsi" w:hAnsiTheme="minorHAnsi" w:cstheme="minorHAnsi"/>
          <w:color w:val="000000"/>
        </w:rPr>
        <w:t>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National Teacher Research Panel.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gael</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8" w:history="1">
        <w:r w:rsidRPr="00412A06">
          <w:rPr>
            <w:rStyle w:val="Hyperlink"/>
            <w:rFonts w:asciiTheme="minorHAnsi" w:hAnsiTheme="minorHAnsi" w:cstheme="minorHAnsi"/>
          </w:rPr>
          <w:t>http://www.curee.co.uk/files/RMHolyRosary/Resources/What_are_the_benefits_for_teaching_and_learning_of_cross_curricular_work.pdf</w:t>
        </w:r>
      </w:hyperlink>
      <w:r w:rsidRPr="00412A06">
        <w:rPr>
          <w:rFonts w:asciiTheme="minorHAnsi" w:hAnsiTheme="minorHAnsi" w:cstheme="minorHAnsi"/>
          <w:color w:val="000000"/>
        </w:rPr>
        <w:t xml:space="preserve">. </w:t>
      </w:r>
    </w:p>
    <w:p w14:paraId="461C97F1" w14:textId="77777777" w:rsidR="003A79CF" w:rsidRPr="00412A06" w:rsidRDefault="003A79CF" w:rsidP="00412A06">
      <w:pPr>
        <w:pStyle w:val="NormalWeb"/>
        <w:spacing w:before="0" w:beforeAutospacing="0" w:after="0" w:afterAutospacing="0" w:line="360" w:lineRule="atLeast"/>
        <w:rPr>
          <w:rFonts w:asciiTheme="minorHAnsi" w:hAnsiTheme="minorHAnsi" w:cstheme="minorHAnsi"/>
          <w:color w:val="000000"/>
        </w:rPr>
      </w:pPr>
    </w:p>
    <w:p w14:paraId="554A6EB2" w14:textId="77777777" w:rsidR="00412A06" w:rsidRDefault="00412A06" w:rsidP="00412A06">
      <w:pPr>
        <w:pStyle w:val="NormalWeb"/>
        <w:spacing w:before="0" w:beforeAutospacing="0" w:after="0" w:afterAutospacing="0" w:line="360" w:lineRule="atLeast"/>
        <w:rPr>
          <w:rFonts w:asciiTheme="minorHAnsi" w:hAnsiTheme="minorHAnsi" w:cstheme="minorHAnsi"/>
          <w:color w:val="000000"/>
        </w:rPr>
      </w:pPr>
      <w:proofErr w:type="spellStart"/>
      <w:r w:rsidRPr="00412A06">
        <w:rPr>
          <w:rFonts w:asciiTheme="minorHAnsi" w:hAnsiTheme="minorHAnsi" w:cstheme="minorHAnsi"/>
          <w:color w:val="000000"/>
        </w:rPr>
        <w:t>SciSpace</w:t>
      </w:r>
      <w:proofErr w:type="spellEnd"/>
      <w:r w:rsidRPr="00412A06">
        <w:rPr>
          <w:rFonts w:asciiTheme="minorHAnsi" w:hAnsiTheme="minorHAnsi" w:cstheme="minorHAnsi"/>
          <w:color w:val="000000"/>
        </w:rPr>
        <w:t xml:space="preserve"> - Question. (d.d.). </w:t>
      </w:r>
      <w:r w:rsidRPr="00412A06">
        <w:rPr>
          <w:rFonts w:asciiTheme="minorHAnsi" w:hAnsiTheme="minorHAnsi" w:cstheme="minorHAnsi"/>
          <w:i/>
          <w:iCs/>
          <w:color w:val="000000"/>
        </w:rPr>
        <w:t>What are the challenges of cross curricular teaching? | 5 Answers from Research papers</w:t>
      </w:r>
      <w:r w:rsidRPr="00412A06">
        <w:rPr>
          <w:rFonts w:asciiTheme="minorHAnsi" w:hAnsiTheme="minorHAnsi" w:cstheme="minorHAnsi"/>
          <w:color w:val="000000"/>
        </w:rPr>
        <w:t>.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gael</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9" w:history="1">
        <w:r w:rsidRPr="00412A06">
          <w:rPr>
            <w:rStyle w:val="Hyperlink"/>
            <w:rFonts w:asciiTheme="minorHAnsi" w:hAnsiTheme="minorHAnsi" w:cstheme="minorHAnsi"/>
          </w:rPr>
          <w:t>https://typeset.io/questions/what-are-the-challenges-of-cross-curricular-teaching-ei8hke81g6</w:t>
        </w:r>
      </w:hyperlink>
      <w:r w:rsidRPr="00412A06">
        <w:rPr>
          <w:rFonts w:asciiTheme="minorHAnsi" w:hAnsiTheme="minorHAnsi" w:cstheme="minorHAnsi"/>
          <w:color w:val="000000"/>
        </w:rPr>
        <w:t xml:space="preserve">. </w:t>
      </w:r>
    </w:p>
    <w:p w14:paraId="6FE644D0" w14:textId="77777777" w:rsidR="003A79CF" w:rsidRPr="00412A06" w:rsidRDefault="003A79CF" w:rsidP="00412A06">
      <w:pPr>
        <w:pStyle w:val="NormalWeb"/>
        <w:spacing w:before="0" w:beforeAutospacing="0" w:after="0" w:afterAutospacing="0" w:line="360" w:lineRule="atLeast"/>
        <w:rPr>
          <w:rFonts w:asciiTheme="minorHAnsi" w:hAnsiTheme="minorHAnsi" w:cstheme="minorHAnsi"/>
          <w:color w:val="000000"/>
        </w:rPr>
      </w:pPr>
    </w:p>
    <w:p w14:paraId="23858BCA" w14:textId="77777777" w:rsidR="00412A06" w:rsidRDefault="00412A06" w:rsidP="00412A06">
      <w:pPr>
        <w:pStyle w:val="NormalWeb"/>
        <w:spacing w:before="0" w:beforeAutospacing="0" w:after="0" w:afterAutospacing="0" w:line="360" w:lineRule="atLeast"/>
        <w:rPr>
          <w:rFonts w:asciiTheme="minorHAnsi" w:hAnsiTheme="minorHAnsi" w:cstheme="minorHAnsi"/>
          <w:color w:val="000000"/>
        </w:rPr>
      </w:pPr>
      <w:r w:rsidRPr="00412A06">
        <w:rPr>
          <w:rFonts w:asciiTheme="minorHAnsi" w:hAnsiTheme="minorHAnsi" w:cstheme="minorHAnsi"/>
          <w:color w:val="000000"/>
        </w:rPr>
        <w:t>Weller, M. (2021). </w:t>
      </w:r>
      <w:r w:rsidRPr="00412A06">
        <w:rPr>
          <w:rFonts w:asciiTheme="minorHAnsi" w:hAnsiTheme="minorHAnsi" w:cstheme="minorHAnsi"/>
          <w:i/>
          <w:iCs/>
          <w:color w:val="000000"/>
        </w:rPr>
        <w:t>What are the benefits of interdisciplinary study?</w:t>
      </w:r>
      <w:r w:rsidRPr="00412A06">
        <w:rPr>
          <w:rFonts w:asciiTheme="minorHAnsi" w:hAnsiTheme="minorHAnsi" w:cstheme="minorHAnsi"/>
          <w:color w:val="000000"/>
        </w:rPr>
        <w:t>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What are the benefits of interdisciplinary study?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gael</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10" w:history="1">
        <w:r w:rsidRPr="00412A06">
          <w:rPr>
            <w:rStyle w:val="Hyperlink"/>
            <w:rFonts w:asciiTheme="minorHAnsi" w:hAnsiTheme="minorHAnsi" w:cstheme="minorHAnsi"/>
          </w:rPr>
          <w:t>https://www.open.edu/openlearn/education-development/what-are-the-benefits-interdisciplinary-study</w:t>
        </w:r>
      </w:hyperlink>
      <w:r w:rsidRPr="00412A06">
        <w:rPr>
          <w:rFonts w:asciiTheme="minorHAnsi" w:hAnsiTheme="minorHAnsi" w:cstheme="minorHAnsi"/>
          <w:color w:val="000000"/>
        </w:rPr>
        <w:t xml:space="preserve">. </w:t>
      </w:r>
    </w:p>
    <w:p w14:paraId="21662AA4" w14:textId="77777777" w:rsidR="003A79CF" w:rsidRPr="00412A06" w:rsidRDefault="003A79CF" w:rsidP="00412A06">
      <w:pPr>
        <w:pStyle w:val="NormalWeb"/>
        <w:spacing w:before="0" w:beforeAutospacing="0" w:after="0" w:afterAutospacing="0" w:line="360" w:lineRule="atLeast"/>
        <w:rPr>
          <w:rFonts w:asciiTheme="minorHAnsi" w:hAnsiTheme="minorHAnsi" w:cstheme="minorHAnsi"/>
          <w:color w:val="000000"/>
        </w:rPr>
      </w:pPr>
    </w:p>
    <w:p w14:paraId="55509827" w14:textId="77777777" w:rsidR="00412A06" w:rsidRDefault="00412A06" w:rsidP="00412A06">
      <w:pPr>
        <w:pStyle w:val="NormalWeb"/>
        <w:spacing w:before="0" w:beforeAutospacing="0" w:after="0" w:afterAutospacing="0" w:line="360" w:lineRule="atLeast"/>
        <w:rPr>
          <w:rFonts w:asciiTheme="minorHAnsi" w:hAnsiTheme="minorHAnsi" w:cstheme="minorHAnsi"/>
          <w:color w:val="000000"/>
        </w:rPr>
      </w:pPr>
      <w:r w:rsidRPr="00412A06">
        <w:rPr>
          <w:rFonts w:asciiTheme="minorHAnsi" w:hAnsiTheme="minorHAnsi" w:cstheme="minorHAnsi"/>
          <w:color w:val="000000"/>
        </w:rPr>
        <w:lastRenderedPageBreak/>
        <w:t>Welsh Government (2015). </w:t>
      </w:r>
      <w:r w:rsidRPr="00412A06">
        <w:rPr>
          <w:rFonts w:asciiTheme="minorHAnsi" w:hAnsiTheme="minorHAnsi" w:cstheme="minorHAnsi"/>
          <w:i/>
          <w:iCs/>
          <w:color w:val="000000"/>
        </w:rPr>
        <w:t>Foundation Phase Framework Curriculum for Wales</w:t>
      </w:r>
      <w:r w:rsidRPr="00412A06">
        <w:rPr>
          <w:rFonts w:asciiTheme="minorHAnsi" w:hAnsiTheme="minorHAnsi" w:cstheme="minorHAnsi"/>
          <w:color w:val="000000"/>
        </w:rPr>
        <w:t>.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gael</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11" w:history="1">
        <w:r w:rsidRPr="00412A06">
          <w:rPr>
            <w:rStyle w:val="Hyperlink"/>
            <w:rFonts w:asciiTheme="minorHAnsi" w:hAnsiTheme="minorHAnsi" w:cstheme="minorHAnsi"/>
          </w:rPr>
          <w:t>https://hwb.gov.wales/storage/d5d8e39c-b534-40cb-a3f5-7e2e126d8077/foundation-phase-framework.pdf</w:t>
        </w:r>
      </w:hyperlink>
      <w:r w:rsidRPr="00412A06">
        <w:rPr>
          <w:rFonts w:asciiTheme="minorHAnsi" w:hAnsiTheme="minorHAnsi" w:cstheme="minorHAnsi"/>
          <w:color w:val="000000"/>
        </w:rPr>
        <w:t xml:space="preserve">. </w:t>
      </w:r>
    </w:p>
    <w:p w14:paraId="3809065E" w14:textId="77777777" w:rsidR="003A79CF" w:rsidRPr="00412A06" w:rsidRDefault="003A79CF" w:rsidP="00412A06">
      <w:pPr>
        <w:pStyle w:val="NormalWeb"/>
        <w:spacing w:before="0" w:beforeAutospacing="0" w:after="0" w:afterAutospacing="0" w:line="360" w:lineRule="atLeast"/>
        <w:rPr>
          <w:rFonts w:asciiTheme="minorHAnsi" w:hAnsiTheme="minorHAnsi" w:cstheme="minorHAnsi"/>
          <w:color w:val="000000"/>
        </w:rPr>
      </w:pPr>
    </w:p>
    <w:p w14:paraId="54F10BC4" w14:textId="77777777" w:rsidR="00F57C3B" w:rsidRDefault="00412A06" w:rsidP="00F57C3B">
      <w:pPr>
        <w:pStyle w:val="NormalWeb"/>
        <w:spacing w:before="0" w:beforeAutospacing="0" w:after="0" w:afterAutospacing="0" w:line="360" w:lineRule="atLeast"/>
        <w:rPr>
          <w:rFonts w:asciiTheme="minorHAnsi" w:hAnsiTheme="minorHAnsi" w:cstheme="minorHAnsi"/>
          <w:color w:val="000000"/>
        </w:rPr>
      </w:pPr>
      <w:r w:rsidRPr="00412A06">
        <w:rPr>
          <w:rFonts w:asciiTheme="minorHAnsi" w:hAnsiTheme="minorHAnsi" w:cstheme="minorHAnsi"/>
          <w:color w:val="000000"/>
        </w:rPr>
        <w:t>Welsh Government (2020). </w:t>
      </w:r>
      <w:r w:rsidRPr="00412A06">
        <w:rPr>
          <w:rFonts w:asciiTheme="minorHAnsi" w:hAnsiTheme="minorHAnsi" w:cstheme="minorHAnsi"/>
          <w:i/>
          <w:iCs/>
          <w:color w:val="000000"/>
        </w:rPr>
        <w:t>Cross-curricular skills frameworks - Hwb</w:t>
      </w:r>
      <w:r w:rsidRPr="00412A06">
        <w:rPr>
          <w:rFonts w:asciiTheme="minorHAnsi" w:hAnsiTheme="minorHAnsi" w:cstheme="minorHAnsi"/>
          <w:color w:val="000000"/>
        </w:rPr>
        <w:t>. [</w:t>
      </w:r>
      <w:proofErr w:type="spellStart"/>
      <w:r w:rsidRPr="00412A06">
        <w:rPr>
          <w:rFonts w:asciiTheme="minorHAnsi" w:hAnsiTheme="minorHAnsi" w:cstheme="minorHAnsi"/>
          <w:color w:val="000000"/>
        </w:rPr>
        <w:t>ar-lein</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Gov.wales</w:t>
      </w:r>
      <w:proofErr w:type="spellEnd"/>
      <w:r w:rsidRPr="00412A06">
        <w:rPr>
          <w:rFonts w:asciiTheme="minorHAnsi" w:hAnsiTheme="minorHAnsi" w:cstheme="minorHAnsi"/>
          <w:color w:val="000000"/>
        </w:rPr>
        <w:t xml:space="preserve">. </w:t>
      </w:r>
      <w:proofErr w:type="spellStart"/>
      <w:r w:rsidRPr="00412A06">
        <w:rPr>
          <w:rFonts w:asciiTheme="minorHAnsi" w:hAnsiTheme="minorHAnsi" w:cstheme="minorHAnsi"/>
          <w:color w:val="000000"/>
        </w:rPr>
        <w:t>Ar</w:t>
      </w:r>
      <w:proofErr w:type="spellEnd"/>
      <w:r w:rsidRPr="00412A06">
        <w:rPr>
          <w:rFonts w:asciiTheme="minorHAnsi" w:hAnsiTheme="minorHAnsi" w:cstheme="minorHAnsi"/>
          <w:color w:val="000000"/>
        </w:rPr>
        <w:t xml:space="preserve"> gael </w:t>
      </w:r>
      <w:proofErr w:type="spellStart"/>
      <w:r w:rsidRPr="00412A06">
        <w:rPr>
          <w:rFonts w:asciiTheme="minorHAnsi" w:hAnsiTheme="minorHAnsi" w:cstheme="minorHAnsi"/>
          <w:color w:val="000000"/>
        </w:rPr>
        <w:t>yn</w:t>
      </w:r>
      <w:proofErr w:type="spellEnd"/>
      <w:r w:rsidRPr="00412A06">
        <w:rPr>
          <w:rFonts w:asciiTheme="minorHAnsi" w:hAnsiTheme="minorHAnsi" w:cstheme="minorHAnsi"/>
          <w:color w:val="000000"/>
        </w:rPr>
        <w:t xml:space="preserve">: </w:t>
      </w:r>
      <w:hyperlink r:id="rId12" w:history="1">
        <w:r w:rsidRPr="00412A06">
          <w:rPr>
            <w:rStyle w:val="Hyperlink"/>
            <w:rFonts w:asciiTheme="minorHAnsi" w:hAnsiTheme="minorHAnsi" w:cstheme="minorHAnsi"/>
          </w:rPr>
          <w:t>https://hwb.gov.wales/curriculum-for-wales/cross-curricular-skills-frameworks/</w:t>
        </w:r>
      </w:hyperlink>
      <w:r w:rsidRPr="00412A06">
        <w:rPr>
          <w:rFonts w:asciiTheme="minorHAnsi" w:hAnsiTheme="minorHAnsi" w:cstheme="minorHAnsi"/>
          <w:color w:val="000000"/>
        </w:rPr>
        <w:t>.</w:t>
      </w:r>
    </w:p>
    <w:p w14:paraId="305BAFC8" w14:textId="18BAE507" w:rsidR="00412A06" w:rsidRPr="00F57C3B" w:rsidRDefault="00F57C3B" w:rsidP="00F57C3B">
      <w:pPr>
        <w:pStyle w:val="NormalWeb"/>
        <w:spacing w:before="0" w:beforeAutospacing="0" w:after="0" w:afterAutospacing="0" w:line="360" w:lineRule="atLeast"/>
        <w:rPr>
          <w:rFonts w:asciiTheme="minorHAnsi" w:hAnsiTheme="minorHAnsi" w:cstheme="minorHAnsi"/>
          <w:color w:val="000000"/>
        </w:rPr>
      </w:pPr>
      <w:r>
        <w:rPr>
          <w:rFonts w:cstheme="minorHAnsi"/>
          <w:noProof/>
          <w:lang w:val="cy-GB"/>
        </w:rPr>
        <w:drawing>
          <wp:anchor distT="0" distB="0" distL="114300" distR="114300" simplePos="0" relativeHeight="251659264" behindDoc="0" locked="0" layoutInCell="1" allowOverlap="1" wp14:anchorId="24FCFA98" wp14:editId="2F9BD749">
            <wp:simplePos x="0" y="0"/>
            <wp:positionH relativeFrom="column">
              <wp:posOffset>0</wp:posOffset>
            </wp:positionH>
            <wp:positionV relativeFrom="paragraph">
              <wp:posOffset>2274807</wp:posOffset>
            </wp:positionV>
            <wp:extent cx="5731510" cy="4055745"/>
            <wp:effectExtent l="0" t="0" r="0" b="0"/>
            <wp:wrapNone/>
            <wp:docPr id="1238530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530471" name="Picture 123853047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4055745"/>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lang w:val="cy-GB"/>
        </w:rPr>
        <w:drawing>
          <wp:anchor distT="0" distB="0" distL="114300" distR="114300" simplePos="0" relativeHeight="251658240" behindDoc="0" locked="0" layoutInCell="1" allowOverlap="1" wp14:anchorId="6A4C8AF1" wp14:editId="0300B3E6">
            <wp:simplePos x="0" y="0"/>
            <wp:positionH relativeFrom="column">
              <wp:posOffset>635</wp:posOffset>
            </wp:positionH>
            <wp:positionV relativeFrom="paragraph">
              <wp:posOffset>6491295</wp:posOffset>
            </wp:positionV>
            <wp:extent cx="5731510" cy="1765005"/>
            <wp:effectExtent l="0" t="0" r="0" b="635"/>
            <wp:wrapNone/>
            <wp:docPr id="153076442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764423" name="Picture 2"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b="48622"/>
                    <a:stretch/>
                  </pic:blipFill>
                  <pic:spPr bwMode="auto">
                    <a:xfrm>
                      <a:off x="0" y="0"/>
                      <a:ext cx="5731510" cy="1765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BC8DA3" w14:textId="188630E6" w:rsidR="00E06353" w:rsidRPr="00412A06" w:rsidRDefault="000D6E81">
      <w:pPr>
        <w:rPr>
          <w:rFonts w:cstheme="minorHAnsi"/>
          <w:lang w:val="cy-GB"/>
        </w:rPr>
      </w:pPr>
      <w:r>
        <w:rPr>
          <w:rFonts w:cstheme="minorHAnsi"/>
          <w:noProof/>
          <w:lang w:val="cy-GB"/>
        </w:rPr>
        <w:lastRenderedPageBreak/>
        <w:drawing>
          <wp:inline distT="0" distB="0" distL="0" distR="0" wp14:anchorId="6AE8269C" wp14:editId="243EFB4B">
            <wp:extent cx="5731510" cy="3844925"/>
            <wp:effectExtent l="0" t="0" r="0" b="3175"/>
            <wp:docPr id="1044510747" name="Picture 3" descr="A white and blu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10747" name="Picture 3" descr="A white and blue chart with black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44925"/>
                    </a:xfrm>
                    <a:prstGeom prst="rect">
                      <a:avLst/>
                    </a:prstGeom>
                  </pic:spPr>
                </pic:pic>
              </a:graphicData>
            </a:graphic>
          </wp:inline>
        </w:drawing>
      </w:r>
      <w:r>
        <w:rPr>
          <w:rFonts w:cstheme="minorHAnsi"/>
          <w:noProof/>
          <w:lang w:val="cy-GB"/>
        </w:rPr>
        <w:drawing>
          <wp:inline distT="0" distB="0" distL="0" distR="0" wp14:anchorId="6C0A1963" wp14:editId="686C9761">
            <wp:extent cx="5731510" cy="3750945"/>
            <wp:effectExtent l="0" t="0" r="0" b="0"/>
            <wp:docPr id="749930772" name="Picture 4" descr="A white sheet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930772" name="Picture 4" descr="A white sheet with red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750945"/>
                    </a:xfrm>
                    <a:prstGeom prst="rect">
                      <a:avLst/>
                    </a:prstGeom>
                  </pic:spPr>
                </pic:pic>
              </a:graphicData>
            </a:graphic>
          </wp:inline>
        </w:drawing>
      </w:r>
      <w:r>
        <w:rPr>
          <w:rFonts w:cstheme="minorHAnsi"/>
          <w:noProof/>
          <w:lang w:val="cy-GB"/>
        </w:rPr>
        <w:lastRenderedPageBreak/>
        <w:drawing>
          <wp:inline distT="0" distB="0" distL="0" distR="0" wp14:anchorId="6DFCA126" wp14:editId="7F5EA3E6">
            <wp:extent cx="5731510" cy="4053205"/>
            <wp:effectExtent l="0" t="0" r="0" b="0"/>
            <wp:docPr id="873110465" name="Picture 5" descr="A diagram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10465" name="Picture 5" descr="A diagram of a triang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pic:spPr>
                </pic:pic>
              </a:graphicData>
            </a:graphic>
          </wp:inline>
        </w:drawing>
      </w:r>
    </w:p>
    <w:sectPr w:rsidR="00E06353" w:rsidRPr="00412A06" w:rsidSect="00BA2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E7"/>
    <w:rsid w:val="000D6E81"/>
    <w:rsid w:val="00113C47"/>
    <w:rsid w:val="001E2891"/>
    <w:rsid w:val="001E34D7"/>
    <w:rsid w:val="002152D1"/>
    <w:rsid w:val="002828E5"/>
    <w:rsid w:val="003912D4"/>
    <w:rsid w:val="003A79CF"/>
    <w:rsid w:val="00412A06"/>
    <w:rsid w:val="004C03E3"/>
    <w:rsid w:val="005F28EE"/>
    <w:rsid w:val="005F4AD3"/>
    <w:rsid w:val="00623F92"/>
    <w:rsid w:val="008B411B"/>
    <w:rsid w:val="009C3C4B"/>
    <w:rsid w:val="009E58E7"/>
    <w:rsid w:val="009F5DBC"/>
    <w:rsid w:val="009F7D1D"/>
    <w:rsid w:val="00A23D13"/>
    <w:rsid w:val="00A57FB3"/>
    <w:rsid w:val="00B5555E"/>
    <w:rsid w:val="00BA22BB"/>
    <w:rsid w:val="00D949F6"/>
    <w:rsid w:val="00DF5E66"/>
    <w:rsid w:val="00E06353"/>
    <w:rsid w:val="00E65138"/>
    <w:rsid w:val="00E942C4"/>
    <w:rsid w:val="00F319B0"/>
    <w:rsid w:val="00F57C3B"/>
    <w:rsid w:val="00FE1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11876"/>
  <w15:chartTrackingRefBased/>
  <w15:docId w15:val="{71E99142-44E8-0749-A4A3-51241F18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2A0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12A06"/>
    <w:rPr>
      <w:color w:val="0563C1" w:themeColor="hyperlink"/>
      <w:u w:val="single"/>
    </w:rPr>
  </w:style>
  <w:style w:type="character" w:styleId="FollowedHyperlink">
    <w:name w:val="FollowedHyperlink"/>
    <w:basedOn w:val="DefaultParagraphFont"/>
    <w:uiPriority w:val="99"/>
    <w:semiHidden/>
    <w:unhideWhenUsed/>
    <w:rsid w:val="00412A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9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ree.co.uk/files/RMHolyRosary/Resources/What_are_the_benefits_for_teaching_and_learning_of_cross_curricular_work.pdf"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siriseducational.co.uk/staffroom/article/across-the-curriculum/" TargetMode="External"/><Relationship Id="rId12" Type="http://schemas.openxmlformats.org/officeDocument/2006/relationships/hyperlink" Target="https://hwb.gov.wales/curriculum-for-wales/cross-curricular-skills-frameworks/" TargetMode="External"/><Relationship Id="rId17"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image" Target="media/image4.png"/><Relationship Id="rId1" Type="http://schemas.openxmlformats.org/officeDocument/2006/relationships/styles" Target="styles.xml"/><Relationship Id="rId6" Type="http://schemas.openxmlformats.org/officeDocument/2006/relationships/hyperlink" Target="https://doi.org/10.4324/9781315766010" TargetMode="External"/><Relationship Id="rId11" Type="http://schemas.openxmlformats.org/officeDocument/2006/relationships/hyperlink" Target="https://hwb.gov.wales/storage/d5d8e39c-b534-40cb-a3f5-7e2e126d8077/foundation-phase-framework.pdf" TargetMode="External"/><Relationship Id="rId5" Type="http://schemas.openxmlformats.org/officeDocument/2006/relationships/hyperlink" Target="https://www.history.org.uk/primary/module/3638/leading-primary-history/3653/cross-curricular-learning" TargetMode="External"/><Relationship Id="rId15" Type="http://schemas.openxmlformats.org/officeDocument/2006/relationships/image" Target="media/image3.png"/><Relationship Id="rId10" Type="http://schemas.openxmlformats.org/officeDocument/2006/relationships/hyperlink" Target="https://www.open.edu/openlearn/education-development/what-are-the-benefits-interdisciplinary-study" TargetMode="External"/><Relationship Id="rId19" Type="http://schemas.openxmlformats.org/officeDocument/2006/relationships/theme" Target="theme/theme1.xml"/><Relationship Id="rId4" Type="http://schemas.openxmlformats.org/officeDocument/2006/relationships/hyperlink" Target="https://ife.gov.mt/wp-content/uploads/2023/03/12.-Xerri-Hili-and-Schembri-231-258.pdf" TargetMode="External"/><Relationship Id="rId9" Type="http://schemas.openxmlformats.org/officeDocument/2006/relationships/hyperlink" Target="https://typeset.io/questions/what-are-the-challenges-of-cross-curricular-teaching-ei8hke81g6"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2786</Words>
  <Characters>15493</Characters>
  <Application>Microsoft Office Word</Application>
  <DocSecurity>0</DocSecurity>
  <Lines>911</Lines>
  <Paragraphs>397</Paragraphs>
  <ScaleCrop>false</ScaleCrop>
  <Company/>
  <LinksUpToDate>false</LinksUpToDate>
  <CharactersWithSpaces>17882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Knight (2305517)</dc:creator>
  <cp:keywords/>
  <dc:description/>
  <cp:lastModifiedBy>Isabella Knight (2305517)</cp:lastModifiedBy>
  <cp:revision>10</cp:revision>
  <dcterms:created xsi:type="dcterms:W3CDTF">2024-04-14T08:09:00Z</dcterms:created>
  <dcterms:modified xsi:type="dcterms:W3CDTF">2024-04-14T14:47:00Z</dcterms:modified>
</cp:coreProperties>
</file>