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Playfair Display" w:hAnsi="Playfair Display" w:eastAsia="Playfair Display" w:cs="Playfair Display"/>
          <w:sz w:val="36"/>
          <w:szCs w:val="36"/>
        </w:rPr>
      </w:pPr>
      <w:r>
        <w:rPr>
          <w:rFonts w:ascii="Playfair Display" w:hAnsi="Playfair Display" w:eastAsia="Playfair Display" w:cs="Playfair Display"/>
          <w:sz w:val="36"/>
          <w:szCs w:val="36"/>
          <w:rtl w:val="0"/>
        </w:rPr>
        <w:t xml:space="preserve"> </w:t>
      </w:r>
    </w:p>
    <w:tbl>
      <w:tblPr>
        <w:tblStyle w:val="13"/>
        <w:tblW w:w="9360"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00" w:type="dxa"/>
          <w:left w:w="100" w:type="dxa"/>
          <w:bottom w:w="100" w:type="dxa"/>
          <w:right w:w="100" w:type="dxa"/>
        </w:tblCellMar>
      </w:tblPr>
      <w:tblGrid>
        <w:gridCol w:w="9360"/>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rPr>
          <w:trHeight w:val="1380" w:hRule="atLeast"/>
        </w:trPr>
        <w:tc>
          <w:tcPr>
            <w:shd w:val="clear" w:color="auto" w:fill="auto"/>
            <w:tcMar>
              <w:top w:w="100" w:type="dxa"/>
              <w:left w:w="100" w:type="dxa"/>
              <w:bottom w:w="100" w:type="dxa"/>
              <w:right w:w="100" w:type="dxa"/>
            </w:tcMar>
            <w:vAlign w:val="top"/>
          </w:tcPr>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left"/>
              <w:rPr>
                <w:rFonts w:ascii="Playfair Display" w:hAnsi="Playfair Display" w:eastAsia="Playfair Display" w:cs="Playfair Display"/>
                <w:sz w:val="36"/>
                <w:szCs w:val="36"/>
              </w:rPr>
            </w:pPr>
            <w:r>
              <w:drawing>
                <wp:anchor distT="114300" distB="114300" distL="114300" distR="114300" simplePos="0" relativeHeight="251659264" behindDoc="1" locked="0" layoutInCell="1" allowOverlap="1">
                  <wp:simplePos x="0" y="0"/>
                  <wp:positionH relativeFrom="column">
                    <wp:posOffset>4210050</wp:posOffset>
                  </wp:positionH>
                  <wp:positionV relativeFrom="paragraph">
                    <wp:posOffset>88900</wp:posOffset>
                  </wp:positionV>
                  <wp:extent cx="1433830" cy="796925"/>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referRelativeResize="0"/>
                        </pic:nvPicPr>
                        <pic:blipFill>
                          <a:blip r:embed="rId6"/>
                          <a:srcRect/>
                          <a:stretch>
                            <a:fillRect/>
                          </a:stretch>
                        </pic:blipFill>
                        <pic:spPr>
                          <a:xfrm>
                            <a:off x="0" y="0"/>
                            <a:ext cx="1433513" cy="796657"/>
                          </a:xfrm>
                          <a:prstGeom prst="rect">
                            <a:avLst/>
                          </a:prstGeom>
                        </pic:spPr>
                      </pic:pic>
                    </a:graphicData>
                  </a:graphic>
                </wp:anchor>
              </w:drawing>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left"/>
              <w:rPr>
                <w:rFonts w:ascii="Playfair Display" w:hAnsi="Playfair Display" w:eastAsia="Playfair Display" w:cs="Playfair Display"/>
                <w:b/>
                <w:sz w:val="36"/>
                <w:szCs w:val="36"/>
              </w:rPr>
            </w:pPr>
            <w:r>
              <w:rPr>
                <w:rFonts w:ascii="Playfair Display" w:hAnsi="Playfair Display" w:eastAsia="Playfair Display" w:cs="Playfair Display"/>
                <w:sz w:val="36"/>
                <w:szCs w:val="36"/>
                <w:rtl w:val="0"/>
              </w:rPr>
              <w:t xml:space="preserve"> </w:t>
            </w:r>
            <w:r>
              <w:rPr>
                <w:rFonts w:hint="default" w:ascii="Arial" w:hAnsi="Arial" w:eastAsia="Playfair Display" w:cs="Arial"/>
                <w:b/>
                <w:sz w:val="32"/>
                <w:szCs w:val="32"/>
                <w:rtl w:val="0"/>
              </w:rPr>
              <w:t>University of Wales Trinity Saint David</w:t>
            </w:r>
          </w:p>
        </w:tc>
      </w:tr>
    </w:tbl>
    <w:p>
      <w:pPr>
        <w:rPr>
          <w:rFonts w:ascii="Playfair Display" w:hAnsi="Playfair Display" w:eastAsia="Playfair Display" w:cs="Playfair Display"/>
          <w:sz w:val="36"/>
          <w:szCs w:val="36"/>
        </w:rPr>
      </w:pPr>
    </w:p>
    <w:p/>
    <w:p/>
    <w:p>
      <w:pPr>
        <w:rPr>
          <w:rFonts w:hint="default" w:ascii="Arial" w:hAnsi="Arial" w:eastAsia="Playfair Display" w:cs="Arial"/>
          <w:b/>
          <w:sz w:val="40"/>
          <w:szCs w:val="40"/>
        </w:rPr>
      </w:pPr>
      <w:r>
        <w:rPr>
          <w:rFonts w:ascii="Playfair Display" w:hAnsi="Playfair Display" w:eastAsia="Playfair Display" w:cs="Playfair Display"/>
          <w:b/>
          <w:sz w:val="40"/>
          <w:szCs w:val="40"/>
          <w:rtl w:val="0"/>
        </w:rPr>
        <w:t xml:space="preserve">                 </w:t>
      </w:r>
      <w:r>
        <w:rPr>
          <w:rFonts w:hint="default" w:ascii="Arial" w:hAnsi="Arial" w:eastAsia="Playfair Display" w:cs="Arial"/>
          <w:b/>
          <w:sz w:val="40"/>
          <w:szCs w:val="40"/>
          <w:rtl w:val="0"/>
        </w:rPr>
        <w:t>Vlog- Presentation</w:t>
      </w:r>
    </w:p>
    <w:p>
      <w:pPr>
        <w:rPr>
          <w:rFonts w:hint="default" w:ascii="Arial" w:hAnsi="Arial" w:cs="Arial"/>
        </w:rPr>
      </w:pPr>
    </w:p>
    <w:p>
      <w:pPr>
        <w:rPr>
          <w:rFonts w:hint="default" w:ascii="Arial" w:hAnsi="Arial" w:cs="Arial"/>
        </w:rPr>
      </w:pPr>
    </w:p>
    <w:p>
      <w:pPr>
        <w:rPr>
          <w:rFonts w:hint="default" w:ascii="Arial" w:hAnsi="Arial" w:cs="Arial"/>
        </w:rPr>
      </w:pPr>
    </w:p>
    <w:p>
      <w:pPr>
        <w:rPr>
          <w:rFonts w:hint="default" w:ascii="Arial" w:hAnsi="Arial" w:cs="Arial"/>
        </w:rPr>
      </w:pPr>
    </w:p>
    <w:p>
      <w:pPr>
        <w:rPr>
          <w:rFonts w:hint="default" w:ascii="Arial" w:hAnsi="Arial" w:cs="Arial"/>
        </w:rPr>
      </w:pPr>
    </w:p>
    <w:p>
      <w:pPr>
        <w:rPr>
          <w:rFonts w:hint="default" w:ascii="Arial" w:hAnsi="Arial" w:cs="Arial"/>
        </w:rPr>
      </w:pPr>
    </w:p>
    <w:p>
      <w:pPr>
        <w:rPr>
          <w:rFonts w:hint="default" w:ascii="Arial" w:hAnsi="Arial" w:cs="Arial"/>
        </w:rPr>
      </w:pPr>
    </w:p>
    <w:p>
      <w:pPr>
        <w:rPr>
          <w:rFonts w:hint="default" w:ascii="Arial" w:hAnsi="Arial" w:cs="Arial"/>
        </w:rPr>
      </w:pPr>
    </w:p>
    <w:p>
      <w:pPr>
        <w:rPr>
          <w:rFonts w:hint="default" w:ascii="Arial" w:hAnsi="Arial" w:cs="Arial"/>
        </w:rPr>
      </w:pPr>
    </w:p>
    <w:p>
      <w:pPr>
        <w:rPr>
          <w:rFonts w:hint="default" w:ascii="Arial" w:hAnsi="Arial" w:cs="Arial"/>
        </w:rPr>
      </w:pPr>
    </w:p>
    <w:p>
      <w:pPr>
        <w:rPr>
          <w:rFonts w:hint="default" w:ascii="Arial" w:hAnsi="Arial" w:cs="Arial"/>
        </w:rPr>
      </w:pPr>
    </w:p>
    <w:p>
      <w:pPr>
        <w:rPr>
          <w:rFonts w:hint="default" w:ascii="Arial" w:hAnsi="Arial" w:cs="Arial"/>
        </w:rPr>
      </w:pPr>
    </w:p>
    <w:p>
      <w:pPr>
        <w:rPr>
          <w:rFonts w:hint="default" w:ascii="Arial" w:hAnsi="Arial" w:cs="Arial"/>
        </w:rPr>
      </w:pPr>
    </w:p>
    <w:p>
      <w:pPr>
        <w:rPr>
          <w:rFonts w:hint="default" w:ascii="Arial" w:hAnsi="Arial" w:cs="Arial"/>
        </w:rPr>
      </w:pPr>
    </w:p>
    <w:p>
      <w:pPr>
        <w:rPr>
          <w:rFonts w:hint="default" w:ascii="Arial" w:hAnsi="Arial" w:cs="Arial"/>
        </w:rPr>
      </w:pPr>
    </w:p>
    <w:p>
      <w:pPr>
        <w:rPr>
          <w:rFonts w:hint="default" w:ascii="Arial" w:hAnsi="Arial" w:eastAsia="Playfair Display" w:cs="Arial"/>
          <w:b/>
          <w:sz w:val="26"/>
          <w:szCs w:val="26"/>
        </w:rPr>
      </w:pPr>
      <w:r>
        <w:rPr>
          <w:rFonts w:hint="default" w:ascii="Arial" w:hAnsi="Arial" w:eastAsia="Playfair Display" w:cs="Arial"/>
          <w:b/>
          <w:sz w:val="26"/>
          <w:szCs w:val="26"/>
          <w:rtl w:val="0"/>
        </w:rPr>
        <w:t>Module: Human Resource Management</w:t>
      </w:r>
    </w:p>
    <w:p>
      <w:pPr>
        <w:rPr>
          <w:rFonts w:hint="default" w:ascii="Arial" w:hAnsi="Arial" w:eastAsia="Playfair Display" w:cs="Arial"/>
          <w:b/>
          <w:sz w:val="26"/>
          <w:szCs w:val="26"/>
        </w:rPr>
      </w:pPr>
      <w:r>
        <w:rPr>
          <w:rFonts w:hint="default" w:ascii="Arial" w:hAnsi="Arial" w:eastAsia="Playfair Display" w:cs="Arial"/>
          <w:b/>
          <w:sz w:val="26"/>
          <w:szCs w:val="26"/>
          <w:rtl w:val="0"/>
        </w:rPr>
        <w:t>Lecturer: Helen Evans</w:t>
      </w:r>
    </w:p>
    <w:p>
      <w:pPr>
        <w:rPr>
          <w:rFonts w:hint="default" w:ascii="Arial" w:hAnsi="Arial" w:eastAsia="Playfair Display" w:cs="Arial"/>
          <w:b/>
          <w:sz w:val="26"/>
          <w:szCs w:val="26"/>
        </w:rPr>
      </w:pPr>
    </w:p>
    <w:p>
      <w:pPr>
        <w:rPr>
          <w:rFonts w:hint="default" w:ascii="Arial" w:hAnsi="Arial" w:eastAsia="Playfair Display" w:cs="Arial"/>
          <w:b/>
          <w:sz w:val="26"/>
          <w:szCs w:val="26"/>
        </w:rPr>
      </w:pPr>
      <w:r>
        <w:rPr>
          <w:rFonts w:hint="default" w:ascii="Arial" w:hAnsi="Arial" w:eastAsia="Playfair Display" w:cs="Arial"/>
          <w:b/>
          <w:sz w:val="26"/>
          <w:szCs w:val="26"/>
          <w:rtl w:val="0"/>
        </w:rPr>
        <w:t>Student: Veronika Topolcanyova</w:t>
      </w:r>
    </w:p>
    <w:p>
      <w:pPr>
        <w:rPr>
          <w:rFonts w:hint="default" w:ascii="Arial" w:hAnsi="Arial" w:eastAsia="Playfair Display" w:cs="Arial"/>
          <w:b/>
          <w:sz w:val="26"/>
          <w:szCs w:val="26"/>
        </w:rPr>
      </w:pPr>
      <w:r>
        <w:rPr>
          <w:rFonts w:hint="default" w:ascii="Arial" w:hAnsi="Arial" w:eastAsia="Playfair Display" w:cs="Arial"/>
          <w:b/>
          <w:sz w:val="26"/>
          <w:szCs w:val="26"/>
          <w:rtl w:val="0"/>
        </w:rPr>
        <w:t>Student number: 1806303</w:t>
      </w:r>
    </w:p>
    <w:p>
      <w:pPr>
        <w:rPr>
          <w:rFonts w:hint="default" w:ascii="Arial" w:hAnsi="Arial" w:cs="Arial"/>
        </w:rPr>
      </w:pPr>
    </w:p>
    <w:p/>
    <w:p/>
    <w:p/>
    <w:p/>
    <w:p/>
    <w:p/>
    <w:p/>
    <w:p/>
    <w:p>
      <w:pPr>
        <w:rPr>
          <w:b/>
          <w:sz w:val="18"/>
          <w:szCs w:val="18"/>
        </w:rPr>
      </w:pPr>
      <w:r>
        <w:rPr>
          <w:b/>
          <w:rtl w:val="0"/>
        </w:rPr>
        <w:t xml:space="preserve">Direct Link to a video: </w:t>
      </w:r>
      <w:r>
        <w:rPr>
          <w:sz w:val="18"/>
          <w:szCs w:val="18"/>
        </w:rPr>
        <w:fldChar w:fldCharType="begin"/>
      </w:r>
      <w:r>
        <w:rPr>
          <w:sz w:val="18"/>
          <w:szCs w:val="18"/>
        </w:rPr>
        <w:instrText xml:space="preserve"> HYPERLINK "https://web.microsoftstream.com/video/bb118daf-641a-43a4-b8a8-181ba0988da3" \h </w:instrText>
      </w:r>
      <w:r>
        <w:rPr>
          <w:sz w:val="18"/>
          <w:szCs w:val="18"/>
        </w:rPr>
        <w:fldChar w:fldCharType="separate"/>
      </w:r>
      <w:r>
        <w:rPr>
          <w:b/>
          <w:color w:val="1155CC"/>
          <w:sz w:val="18"/>
          <w:szCs w:val="18"/>
          <w:u w:val="single"/>
          <w:rtl w:val="0"/>
        </w:rPr>
        <w:t>https://web.microsoftstream.com/video/bb118daf-641a-43a4-b8a8-181ba0988da3</w:t>
      </w:r>
      <w:r>
        <w:rPr>
          <w:b/>
          <w:color w:val="1155CC"/>
          <w:sz w:val="18"/>
          <w:szCs w:val="18"/>
          <w:u w:val="single"/>
          <w:rtl w:val="0"/>
        </w:rPr>
        <w:fldChar w:fldCharType="end"/>
      </w:r>
      <w:r>
        <w:rPr>
          <w:b/>
          <w:sz w:val="18"/>
          <w:szCs w:val="18"/>
          <w:rtl w:val="0"/>
        </w:rPr>
        <w:t xml:space="preserve">. </w:t>
      </w:r>
    </w:p>
    <w:p>
      <w:pPr>
        <w:rPr>
          <w:b/>
        </w:rPr>
      </w:pPr>
    </w:p>
    <w:p>
      <w:pPr>
        <w:rPr>
          <w:b/>
        </w:rPr>
      </w:pPr>
    </w:p>
    <w:p>
      <w:pPr>
        <w:rPr>
          <w:b/>
        </w:rPr>
      </w:pPr>
      <w:r>
        <w:rPr>
          <w:b/>
          <w:rtl w:val="0"/>
        </w:rPr>
        <w:t>Transcript</w:t>
      </w:r>
    </w:p>
    <w:p/>
    <w:p>
      <w:pPr>
        <w:rPr>
          <w:b/>
        </w:rPr>
      </w:pPr>
      <w:r>
        <w:rPr>
          <w:b/>
          <w:rtl w:val="0"/>
        </w:rPr>
        <w:t xml:space="preserve">Slide 1 - Title page </w:t>
      </w:r>
    </w:p>
    <w:p>
      <w:r>
        <w:rPr>
          <w:rtl w:val="0"/>
        </w:rPr>
        <w:t xml:space="preserve">Hello, my name is Veronika Topolcanyova and I am a Human Resource Management student at the University of Wales Trinity Saint David. </w:t>
      </w:r>
    </w:p>
    <w:p>
      <w:pPr>
        <w:rPr>
          <w:b/>
        </w:rPr>
      </w:pPr>
    </w:p>
    <w:p>
      <w:pPr>
        <w:rPr>
          <w:b/>
        </w:rPr>
      </w:pPr>
      <w:r>
        <w:rPr>
          <w:b/>
          <w:rtl w:val="0"/>
        </w:rPr>
        <w:t>Slide 2  - Aims and Objectives</w:t>
      </w:r>
    </w:p>
    <w:p>
      <w:r>
        <w:rPr>
          <w:rtl w:val="0"/>
        </w:rPr>
        <w:t>I've been requested to produce a presentation in my position as HR director, investigating two priority areas for development, namely employee well-being and diversity, equality, and inclusion. My selected organisation is JD Wetherspoon, and my objective is to assess the abilities that the HRM department needs to improve, why is it important, and how to achieve that.</w:t>
      </w:r>
    </w:p>
    <w:p/>
    <w:p>
      <w:pPr>
        <w:rPr>
          <w:b/>
        </w:rPr>
      </w:pPr>
      <w:r>
        <w:rPr>
          <w:b/>
          <w:rtl w:val="0"/>
        </w:rPr>
        <w:t>Slide 3 - The role of the HRM</w:t>
      </w:r>
    </w:p>
    <w:p>
      <w:r>
        <w:rPr>
          <w:rtl w:val="0"/>
        </w:rPr>
        <w:t>Employment interactions are managed by HR departments. In order to establish a good working relationship between employers and workers, HR departments work to support this role. In order to maintain justice and equity at work, HR managers may also contribute to the creation and determination of industry best practices. The HR department's responsibility is to make sure that both sides have the resources they need to do their duties safely and efficiently.</w:t>
      </w:r>
    </w:p>
    <w:p/>
    <w:p>
      <w:pPr>
        <w:rPr>
          <w:b/>
        </w:rPr>
      </w:pPr>
      <w:r>
        <w:rPr>
          <w:b/>
          <w:rtl w:val="0"/>
        </w:rPr>
        <w:t xml:space="preserve">Slide 4  - Wetherspoon HRM practices as we know them through the headlines. </w:t>
      </w:r>
    </w:p>
    <w:p>
      <w:pPr>
        <w:rPr>
          <w:b/>
        </w:rPr>
      </w:pPr>
    </w:p>
    <w:p>
      <w:r>
        <w:rPr>
          <w:b/>
          <w:rtl w:val="0"/>
        </w:rPr>
        <w:t>Slide 5 - Workplace example</w:t>
      </w:r>
    </w:p>
    <w:p>
      <w:r>
        <w:rPr>
          <w:rtl w:val="0"/>
        </w:rPr>
        <w:t xml:space="preserve">Previously, the corporation was criticised for unethical tactics, racism, abuse, and radical strategy changes. For example, during the pandemic, employees were under stress and anxiety as a result of the firm founder's announcement that he did not intend to financially assist his employees during the </w:t>
      </w:r>
      <w:r>
        <w:rPr>
          <w:rtl w:val="0"/>
          <w:lang w:val="en-GB"/>
        </w:rPr>
        <w:t>lock-down</w:t>
      </w:r>
      <w:r>
        <w:rPr>
          <w:rtl w:val="0"/>
        </w:rPr>
        <w:t>. Even though the corporation stated that there had been a mistake, it was too late; the employees' trust and loyalty had been damaged (Drury, 2020).</w:t>
      </w:r>
    </w:p>
    <w:p>
      <w:r>
        <w:rPr>
          <w:rtl w:val="0"/>
        </w:rPr>
        <w:t>Tim Martin's claim that</w:t>
      </w:r>
      <w:r>
        <w:rPr>
          <w:rFonts w:hint="default"/>
          <w:rtl w:val="0"/>
          <w:lang w:val="en-GB"/>
        </w:rPr>
        <w:t xml:space="preserve"> </w:t>
      </w:r>
      <w:r>
        <w:rPr>
          <w:rtl w:val="0"/>
        </w:rPr>
        <w:t xml:space="preserve"> "Covid-19 does not spread in the pub" is entirely profit-driven, with little concern for his staff or customers.</w:t>
      </w:r>
    </w:p>
    <w:p>
      <w:r>
        <w:rPr>
          <w:rtl w:val="0"/>
        </w:rPr>
        <w:t xml:space="preserve">Many instances and complaints were filed by Wetherspoon employees; some won, others lost, </w:t>
      </w:r>
    </w:p>
    <w:p>
      <w:r>
        <w:rPr>
          <w:rtl w:val="0"/>
        </w:rPr>
        <w:t>but stories will be remembered, and it cost the corporation a lot of money to set things right.</w:t>
      </w:r>
    </w:p>
    <w:p>
      <w:r>
        <w:rPr>
          <w:rtl w:val="0"/>
        </w:rPr>
        <w:t xml:space="preserve">To conclude, these are instances of poor human resource management methods. </w:t>
      </w:r>
    </w:p>
    <w:p/>
    <w:p>
      <w:pPr>
        <w:rPr>
          <w:b/>
        </w:rPr>
      </w:pPr>
      <w:r>
        <w:rPr>
          <w:b/>
          <w:rtl w:val="0"/>
        </w:rPr>
        <w:t xml:space="preserve">Slide 6 - The good and the bad </w:t>
      </w:r>
    </w:p>
    <w:p>
      <w:r>
        <w:rPr>
          <w:rtl w:val="0"/>
        </w:rPr>
        <w:t>What the Wetherspoon crew did well, but at what cost? During the epidemic, however, his HRM worked hard to create social distancing among workers, encourage employees to wear PPE, support employees during sickness and recovery, and keep a watch on government pronouncements and restrictions to ensure employee safety was a priority.</w:t>
      </w:r>
    </w:p>
    <w:p>
      <w:pPr>
        <w:widowControl w:val="0"/>
      </w:pPr>
      <w:r>
        <w:rPr>
          <w:rtl w:val="0"/>
        </w:rPr>
        <w:t xml:space="preserve">As a result, employees and HRM were overworked and exhausted. According to Vulpen (2022), a good firm expresses thanks for its employees' accomplishments, and rewards, and recognises them. </w:t>
      </w:r>
    </w:p>
    <w:p/>
    <w:p>
      <w:pPr>
        <w:rPr>
          <w:b/>
        </w:rPr>
      </w:pPr>
      <w:r>
        <w:rPr>
          <w:b/>
          <w:rtl w:val="0"/>
        </w:rPr>
        <w:t>Slide 7 - Employees  Burnout</w:t>
      </w:r>
    </w:p>
    <w:p>
      <w:r>
        <w:rPr>
          <w:rtl w:val="0"/>
        </w:rPr>
        <w:t>High rates of burnout may and should be seen by employers as a strong indicator that the organisation</w:t>
      </w:r>
      <w:r>
        <w:rPr>
          <w:rFonts w:hint="default"/>
          <w:rtl w:val="0"/>
          <w:lang w:val="en-GB"/>
        </w:rPr>
        <w:t xml:space="preserve">, </w:t>
      </w:r>
      <w:r>
        <w:rPr>
          <w:rtl w:val="0"/>
        </w:rPr>
        <w:t>not the workers themselves</w:t>
      </w:r>
      <w:r>
        <w:rPr>
          <w:rFonts w:hint="default"/>
          <w:rtl w:val="0"/>
          <w:lang w:val="en-GB"/>
        </w:rPr>
        <w:t xml:space="preserve">, </w:t>
      </w:r>
      <w:r>
        <w:rPr>
          <w:rtl w:val="0"/>
        </w:rPr>
        <w:t>needs to go through a significant, systemic transformation.</w:t>
      </w:r>
    </w:p>
    <w:p>
      <w:pPr>
        <w:rPr>
          <w:b/>
        </w:rPr>
      </w:pPr>
      <w:r>
        <w:rPr>
          <w:rtl w:val="0"/>
        </w:rPr>
        <w:t>According to McKinsey (2022)  adopting a systemic approach entails tackling toxic workplace behaviour as well as restructuring the workplace to be inclusive, sustainable, and supportive of personal learning and growth, including the development of adaptation skills in both leaders and employees. To restructure work, job expectations, and team settings, organisational structures, procedures, and incentives must be reassessed.</w:t>
      </w:r>
    </w:p>
    <w:p>
      <w:pPr>
        <w:rPr>
          <w:b/>
        </w:rPr>
      </w:pPr>
    </w:p>
    <w:p>
      <w:pPr>
        <w:rPr>
          <w:b/>
        </w:rPr>
      </w:pPr>
      <w:r>
        <w:rPr>
          <w:b/>
          <w:rtl w:val="0"/>
        </w:rPr>
        <w:t>Slide 8 - Responsible Leadership</w:t>
      </w:r>
    </w:p>
    <w:p>
      <w:r>
        <w:rPr>
          <w:rtl w:val="0"/>
        </w:rPr>
        <w:t>He et al. (2019) claim</w:t>
      </w:r>
      <w:r>
        <w:rPr>
          <w:rFonts w:hint="default"/>
          <w:rtl w:val="0"/>
          <w:lang w:val="en-GB"/>
        </w:rPr>
        <w:t>s</w:t>
      </w:r>
      <w:r>
        <w:rPr>
          <w:rtl w:val="0"/>
        </w:rPr>
        <w:t xml:space="preserve"> that HRM acts as an organisational framework that supports basic human values including mentoring, caring for, and supporting employees. </w:t>
      </w:r>
    </w:p>
    <w:p>
      <w:r>
        <w:rPr>
          <w:rtl w:val="0"/>
        </w:rPr>
        <w:t xml:space="preserve">Developing employee self-respect, happiness, meaning, dedication, and trust in the workplace are shared objectives of responsible leadership and HRM. </w:t>
      </w:r>
    </w:p>
    <w:p>
      <w:r>
        <w:rPr>
          <w:rtl w:val="0"/>
        </w:rPr>
        <w:t>A complementing force to HRM, responsible leadership can enhance its influence on the growth and motivation of HR.</w:t>
      </w:r>
    </w:p>
    <w:p>
      <w:r>
        <w:rPr>
          <w:rtl w:val="0"/>
        </w:rPr>
        <w:t>Figure one shows how employee well-being increases task performance when HRM and responsible leadership are combined.</w:t>
      </w:r>
    </w:p>
    <w:p/>
    <w:p>
      <w:pPr>
        <w:rPr>
          <w:b/>
        </w:rPr>
      </w:pPr>
      <w:r>
        <w:rPr>
          <w:b/>
          <w:rtl w:val="0"/>
        </w:rPr>
        <w:t>Slide 9- Profit before People?</w:t>
      </w:r>
    </w:p>
    <w:p>
      <w:r>
        <w:rPr>
          <w:rtl w:val="0"/>
        </w:rPr>
        <w:t xml:space="preserve">Employee well-being may not always be a goal of HRM strategies that benefit the organisation. Some HRM strategies increase the feeling that work is more demanding, which may compromise employee well-being in order to benefit the organisation (Ogbonnaya </w:t>
      </w:r>
      <w:r>
        <w:rPr>
          <w:rFonts w:hint="default"/>
          <w:rtl w:val="0"/>
          <w:lang w:val="en-GB"/>
        </w:rPr>
        <w:t>and</w:t>
      </w:r>
      <w:r>
        <w:rPr>
          <w:rtl w:val="0"/>
        </w:rPr>
        <w:t xml:space="preserve"> Messersmith, 2018).</w:t>
      </w:r>
    </w:p>
    <w:p>
      <w:r>
        <w:rPr>
          <w:rtl w:val="0"/>
        </w:rPr>
        <w:t>On the other hand, the mutual gains approach contends that High Performance Work systems (by being included in the company plan) benefit both, the organisation and people by enhancing employee well-being at work.</w:t>
      </w:r>
    </w:p>
    <w:p>
      <w:r>
        <w:rPr>
          <w:rtl w:val="0"/>
        </w:rPr>
        <w:t>Unfortunately, businesses frequently fall short of meeting their needs, which results in low levels of job satisfaction and significant issues with talent attraction, work stress, and staff turnover. This makes the employee approach even more crucial in the hospitality and tourism industries Dorta-Afonso et al., (2023).</w:t>
      </w:r>
    </w:p>
    <w:p>
      <w:pPr>
        <w:rPr>
          <w:rFonts w:ascii="Georgia" w:hAnsi="Georgia" w:eastAsia="Georgia" w:cs="Georgia"/>
          <w:color w:val="2E2E2E"/>
          <w:sz w:val="27"/>
          <w:szCs w:val="27"/>
        </w:rPr>
      </w:pPr>
    </w:p>
    <w:p>
      <w:pPr>
        <w:rPr>
          <w:b/>
        </w:rPr>
      </w:pPr>
      <w:r>
        <w:rPr>
          <w:b/>
          <w:rtl w:val="0"/>
        </w:rPr>
        <w:t>Slide 10 - HR models</w:t>
      </w:r>
    </w:p>
    <w:p>
      <w:r>
        <w:rPr>
          <w:rtl w:val="0"/>
        </w:rPr>
        <w:t>There are several strategies that organisations may employ to determine improvements in key areas, including Beer's Harvard model (Beer, 1985).</w:t>
      </w:r>
    </w:p>
    <w:p/>
    <w:p>
      <w:pPr>
        <w:rPr>
          <w:rFonts w:hint="default"/>
          <w:lang w:val="en-GB"/>
        </w:rPr>
      </w:pPr>
      <w:r>
        <w:rPr>
          <w:rtl w:val="0"/>
        </w:rPr>
        <w:t xml:space="preserve"> Warwick model (Cakar, 2003) or the Michigan model in Martins (2012)</w:t>
      </w:r>
      <w:r>
        <w:rPr>
          <w:rFonts w:hint="default"/>
          <w:rtl w:val="0"/>
          <w:lang w:val="en-GB"/>
        </w:rPr>
        <w:t>.</w:t>
      </w:r>
    </w:p>
    <w:p>
      <w:pPr>
        <w:rPr>
          <w:b/>
        </w:rPr>
      </w:pPr>
    </w:p>
    <w:p>
      <w:pPr>
        <w:rPr>
          <w:b/>
          <w:rtl w:val="0"/>
        </w:rPr>
      </w:pPr>
      <w:r>
        <w:rPr>
          <w:b/>
          <w:rtl w:val="0"/>
        </w:rPr>
        <w:t>Slide 11 - Warwick model</w:t>
      </w:r>
    </w:p>
    <w:p>
      <w:pPr>
        <w:rPr>
          <w:b/>
          <w:rtl w:val="0"/>
        </w:rPr>
      </w:pPr>
    </w:p>
    <w:p>
      <w:pPr>
        <w:rPr>
          <w:b w:val="0"/>
          <w:bCs/>
          <w:rtl w:val="0"/>
        </w:rPr>
      </w:pPr>
      <w:r>
        <w:rPr>
          <w:rFonts w:hint="default"/>
          <w:b w:val="0"/>
          <w:bCs/>
          <w:rtl w:val="0"/>
        </w:rPr>
        <w:t>The Warwick Model is based on the belief that human resources can provide any organisation with a significant competitive advantage, and thus employees should be treated as assets rather than costs (Romford, 2021).</w:t>
      </w:r>
    </w:p>
    <w:p>
      <w:pPr>
        <w:rPr>
          <w:b w:val="0"/>
          <w:bCs/>
          <w:rtl w:val="0"/>
        </w:rPr>
      </w:pPr>
    </w:p>
    <w:p>
      <w:pPr>
        <w:rPr>
          <w:b/>
        </w:rPr>
      </w:pPr>
      <w:r>
        <w:rPr>
          <w:b/>
          <w:rtl w:val="0"/>
        </w:rPr>
        <w:t>Slide 12 - Michigan model</w:t>
      </w:r>
    </w:p>
    <w:p>
      <w:pPr>
        <w:rPr>
          <w:b w:val="0"/>
          <w:bCs/>
        </w:rPr>
      </w:pPr>
      <w:r>
        <w:rPr>
          <w:rFonts w:hint="default"/>
          <w:b w:val="0"/>
          <w:bCs/>
        </w:rPr>
        <w:t>The Michigan and Harvard models share many similarities, but the Michigan model has a more hard-line, less humanistic edge, contending that people are resources in the same manner as any other corporate resource (Price, 2011).</w:t>
      </w:r>
    </w:p>
    <w:p>
      <w:pPr>
        <w:rPr>
          <w:b/>
          <w:rtl w:val="0"/>
        </w:rPr>
      </w:pPr>
    </w:p>
    <w:p>
      <w:r>
        <w:rPr>
          <w:b/>
          <w:rtl w:val="0"/>
        </w:rPr>
        <w:t>Slide 13 - Training and Development</w:t>
      </w:r>
      <w:r>
        <w:rPr>
          <w:rtl w:val="0"/>
        </w:rPr>
        <w:t xml:space="preserve"> </w:t>
      </w:r>
    </w:p>
    <w:p>
      <w:pPr>
        <w:widowControl w:val="0"/>
        <w:spacing w:after="240"/>
      </w:pPr>
      <w:r>
        <w:rPr>
          <w:rtl w:val="0"/>
        </w:rPr>
        <w:t>Companies can use training programs, like one from ACAS, to train HR managers. These programs include a variety of employment-related issues, such as</w:t>
      </w:r>
      <w:r>
        <w:rPr>
          <w:rFonts w:hint="default"/>
          <w:rtl w:val="0"/>
          <w:lang w:val="en-GB"/>
        </w:rPr>
        <w:t xml:space="preserve"> e</w:t>
      </w:r>
      <w:r>
        <w:rPr>
          <w:rtl w:val="0"/>
        </w:rPr>
        <w:t xml:space="preserve">mployment </w:t>
      </w:r>
      <w:r>
        <w:rPr>
          <w:rFonts w:hint="default"/>
          <w:rtl w:val="0"/>
          <w:lang w:val="en-GB"/>
        </w:rPr>
        <w:t>a</w:t>
      </w:r>
      <w:r>
        <w:rPr>
          <w:rtl w:val="0"/>
        </w:rPr>
        <w:t xml:space="preserve">greements, </w:t>
      </w:r>
      <w:r>
        <w:rPr>
          <w:rFonts w:hint="default"/>
          <w:rtl w:val="0"/>
          <w:lang w:val="en-GB"/>
        </w:rPr>
        <w:t>s</w:t>
      </w:r>
      <w:r>
        <w:rPr>
          <w:rtl w:val="0"/>
        </w:rPr>
        <w:t>alary</w:t>
      </w:r>
      <w:r>
        <w:rPr>
          <w:rFonts w:hint="default"/>
          <w:rtl w:val="0"/>
          <w:lang w:val="en-GB"/>
        </w:rPr>
        <w:t xml:space="preserve"> </w:t>
      </w:r>
      <w:r>
        <w:rPr>
          <w:rtl w:val="0"/>
        </w:rPr>
        <w:t xml:space="preserve">and </w:t>
      </w:r>
      <w:r>
        <w:rPr>
          <w:rFonts w:hint="default"/>
          <w:rtl w:val="0"/>
          <w:lang w:val="en-GB"/>
        </w:rPr>
        <w:t>c</w:t>
      </w:r>
      <w:r>
        <w:rPr>
          <w:rtl w:val="0"/>
        </w:rPr>
        <w:t xml:space="preserve">onditions, </w:t>
      </w:r>
      <w:r>
        <w:rPr>
          <w:rFonts w:hint="default"/>
          <w:rtl w:val="0"/>
          <w:lang w:val="en-GB"/>
        </w:rPr>
        <w:t>h</w:t>
      </w:r>
      <w:r>
        <w:rPr>
          <w:rtl w:val="0"/>
        </w:rPr>
        <w:t xml:space="preserve">andling </w:t>
      </w:r>
      <w:r>
        <w:rPr>
          <w:rFonts w:hint="default"/>
          <w:rtl w:val="0"/>
          <w:lang w:val="en-GB"/>
        </w:rPr>
        <w:t>i</w:t>
      </w:r>
      <w:r>
        <w:rPr>
          <w:rtl w:val="0"/>
        </w:rPr>
        <w:t xml:space="preserve">ssues at </w:t>
      </w:r>
      <w:r>
        <w:rPr>
          <w:rFonts w:hint="default"/>
          <w:rtl w:val="0"/>
          <w:lang w:val="en-GB"/>
        </w:rPr>
        <w:t>w</w:t>
      </w:r>
      <w:r>
        <w:rPr>
          <w:rtl w:val="0"/>
        </w:rPr>
        <w:t xml:space="preserve">ork, </w:t>
      </w:r>
      <w:r>
        <w:rPr>
          <w:rFonts w:hint="default"/>
          <w:rtl w:val="0"/>
          <w:lang w:val="en-GB"/>
        </w:rPr>
        <w:t>e</w:t>
      </w:r>
      <w:r>
        <w:rPr>
          <w:rtl w:val="0"/>
        </w:rPr>
        <w:t xml:space="preserve">quality, </w:t>
      </w:r>
      <w:r>
        <w:rPr>
          <w:rFonts w:hint="default"/>
          <w:rtl w:val="0"/>
          <w:lang w:val="en-GB"/>
        </w:rPr>
        <w:t>i</w:t>
      </w:r>
      <w:r>
        <w:rPr>
          <w:rtl w:val="0"/>
        </w:rPr>
        <w:t xml:space="preserve">nclusion and </w:t>
      </w:r>
      <w:r>
        <w:rPr>
          <w:rFonts w:hint="default"/>
          <w:rtl w:val="0"/>
          <w:lang w:val="en-GB"/>
        </w:rPr>
        <w:t>d</w:t>
      </w:r>
      <w:r>
        <w:rPr>
          <w:rtl w:val="0"/>
        </w:rPr>
        <w:t xml:space="preserve">iversity, </w:t>
      </w:r>
      <w:r>
        <w:rPr>
          <w:rFonts w:hint="default"/>
          <w:rtl w:val="0"/>
          <w:lang w:val="en-GB"/>
        </w:rPr>
        <w:t>t</w:t>
      </w:r>
      <w:r>
        <w:rPr>
          <w:rtl w:val="0"/>
        </w:rPr>
        <w:t xml:space="preserve">ime </w:t>
      </w:r>
      <w:r>
        <w:rPr>
          <w:rFonts w:hint="default"/>
          <w:rtl w:val="0"/>
          <w:lang w:val="en-GB"/>
        </w:rPr>
        <w:t>o</w:t>
      </w:r>
      <w:r>
        <w:rPr>
          <w:rtl w:val="0"/>
        </w:rPr>
        <w:t xml:space="preserve">ff and </w:t>
      </w:r>
      <w:r>
        <w:rPr>
          <w:rFonts w:hint="default"/>
          <w:rtl w:val="0"/>
          <w:lang w:val="en-GB"/>
        </w:rPr>
        <w:t>l</w:t>
      </w:r>
      <w:r>
        <w:rPr>
          <w:rtl w:val="0"/>
        </w:rPr>
        <w:t xml:space="preserve">eave, </w:t>
      </w:r>
      <w:r>
        <w:rPr>
          <w:rFonts w:hint="default"/>
          <w:rtl w:val="0"/>
          <w:lang w:val="en-GB"/>
        </w:rPr>
        <w:t>p</w:t>
      </w:r>
      <w:r>
        <w:rPr>
          <w:rtl w:val="0"/>
        </w:rPr>
        <w:t xml:space="preserve">ersonnel and </w:t>
      </w:r>
      <w:r>
        <w:rPr>
          <w:rFonts w:hint="default"/>
          <w:rtl w:val="0"/>
          <w:lang w:val="en-GB"/>
        </w:rPr>
        <w:t>e</w:t>
      </w:r>
      <w:r>
        <w:rPr>
          <w:rtl w:val="0"/>
        </w:rPr>
        <w:t xml:space="preserve">mployee </w:t>
      </w:r>
      <w:r>
        <w:rPr>
          <w:rFonts w:hint="default"/>
          <w:rtl w:val="0"/>
          <w:lang w:val="en-GB"/>
        </w:rPr>
        <w:t>e</w:t>
      </w:r>
      <w:r>
        <w:rPr>
          <w:rtl w:val="0"/>
        </w:rPr>
        <w:t xml:space="preserve">valuation, </w:t>
      </w:r>
      <w:r>
        <w:rPr>
          <w:rFonts w:hint="default"/>
          <w:rtl w:val="0"/>
          <w:lang w:val="en-GB"/>
        </w:rPr>
        <w:t>m</w:t>
      </w:r>
      <w:r>
        <w:rPr>
          <w:rtl w:val="0"/>
        </w:rPr>
        <w:t xml:space="preserve">ental well-being, and </w:t>
      </w:r>
      <w:r>
        <w:rPr>
          <w:rFonts w:hint="default"/>
          <w:rtl w:val="0"/>
          <w:lang w:val="en-GB"/>
        </w:rPr>
        <w:t>d</w:t>
      </w:r>
      <w:r>
        <w:rPr>
          <w:rtl w:val="0"/>
        </w:rPr>
        <w:t>ismissal.</w:t>
      </w:r>
    </w:p>
    <w:p>
      <w:pPr>
        <w:widowControl w:val="0"/>
        <w:spacing w:after="240"/>
        <w:ind w:left="0" w:firstLine="0"/>
      </w:pPr>
      <w:r>
        <w:rPr>
          <w:b/>
          <w:rtl w:val="0"/>
        </w:rPr>
        <w:t xml:space="preserve">Slide 14 -  Skills taught in ACAS health and </w:t>
      </w:r>
      <w:r>
        <w:rPr>
          <w:b/>
          <w:rtl w:val="0"/>
          <w:lang w:val="en-GB"/>
        </w:rPr>
        <w:t>well-being</w:t>
      </w:r>
      <w:r>
        <w:rPr>
          <w:b/>
          <w:rtl w:val="0"/>
        </w:rPr>
        <w:t xml:space="preserve"> courses </w:t>
      </w:r>
      <w:r>
        <w:rPr>
          <w:rFonts w:hint="default"/>
          <w:rtl w:val="0"/>
          <w:lang w:val="en-GB"/>
        </w:rPr>
        <w:t>U</w:t>
      </w:r>
      <w:r>
        <w:rPr>
          <w:rtl w:val="0"/>
        </w:rPr>
        <w:t>nderstanding the law and your legal obligations</w:t>
      </w:r>
      <w:r>
        <w:rPr>
          <w:rFonts w:hint="default"/>
          <w:rtl w:val="0"/>
          <w:lang w:val="en-GB"/>
        </w:rPr>
        <w:t>,</w:t>
      </w:r>
      <w:r>
        <w:rPr>
          <w:rtl w:val="0"/>
        </w:rPr>
        <w:t xml:space="preserve"> spotting early warning signs of health and </w:t>
      </w:r>
      <w:r>
        <w:rPr>
          <w:rtl w:val="0"/>
          <w:lang w:val="en-GB"/>
        </w:rPr>
        <w:t>well-being</w:t>
      </w:r>
      <w:r>
        <w:rPr>
          <w:rtl w:val="0"/>
        </w:rPr>
        <w:t xml:space="preserve"> issues in your organisation</w:t>
      </w:r>
      <w:r>
        <w:rPr>
          <w:rFonts w:hint="default"/>
          <w:rtl w:val="0"/>
          <w:lang w:val="en-GB"/>
        </w:rPr>
        <w:t>,</w:t>
      </w:r>
      <w:r>
        <w:rPr>
          <w:rtl w:val="0"/>
        </w:rPr>
        <w:t xml:space="preserve"> implementing health and </w:t>
      </w:r>
      <w:r>
        <w:rPr>
          <w:rtl w:val="0"/>
          <w:lang w:val="en-GB"/>
        </w:rPr>
        <w:t>well-being</w:t>
      </w:r>
      <w:r>
        <w:rPr>
          <w:rtl w:val="0"/>
        </w:rPr>
        <w:t xml:space="preserve"> best practices</w:t>
      </w:r>
      <w:r>
        <w:rPr>
          <w:rFonts w:hint="default"/>
          <w:rtl w:val="0"/>
          <w:lang w:val="en-GB"/>
        </w:rPr>
        <w:t>,</w:t>
      </w:r>
      <w:r>
        <w:rPr>
          <w:rtl w:val="0"/>
        </w:rPr>
        <w:t xml:space="preserve"> managing staff absences and retaining staff for longer periods</w:t>
      </w:r>
      <w:r>
        <w:rPr>
          <w:rFonts w:hint="default"/>
          <w:rtl w:val="0"/>
          <w:lang w:val="en-GB"/>
        </w:rPr>
        <w:t>,</w:t>
      </w:r>
      <w:r>
        <w:rPr>
          <w:rtl w:val="0"/>
        </w:rPr>
        <w:t xml:space="preserve"> developing support networks and promoting understanding of health and </w:t>
      </w:r>
      <w:r>
        <w:rPr>
          <w:rtl w:val="0"/>
          <w:lang w:val="en-GB"/>
        </w:rPr>
        <w:t>well-being</w:t>
      </w:r>
      <w:r>
        <w:rPr>
          <w:rtl w:val="0"/>
        </w:rPr>
        <w:t xml:space="preserve">, and encouraging employees to identify and take care of their own health and </w:t>
      </w:r>
      <w:r>
        <w:rPr>
          <w:rtl w:val="0"/>
          <w:lang w:val="en-GB"/>
        </w:rPr>
        <w:t>well-being</w:t>
      </w:r>
      <w:r>
        <w:rPr>
          <w:rtl w:val="0"/>
        </w:rPr>
        <w:t xml:space="preserve"> needs.</w:t>
      </w:r>
    </w:p>
    <w:p>
      <w:pPr>
        <w:widowControl w:val="0"/>
        <w:spacing w:after="240"/>
        <w:ind w:left="0" w:firstLine="0"/>
        <w:rPr>
          <w:b/>
          <w:rtl w:val="0"/>
        </w:rPr>
      </w:pPr>
      <w:r>
        <w:rPr>
          <w:b/>
          <w:rtl w:val="0"/>
        </w:rPr>
        <w:t>Slide 15 - In courses on equality, diversity, and inclusion, you'll discover:</w:t>
      </w:r>
    </w:p>
    <w:p>
      <w:pPr>
        <w:widowControl w:val="0"/>
        <w:spacing w:after="240"/>
        <w:ind w:left="0" w:firstLine="0"/>
        <w:rPr>
          <w:rFonts w:hint="default"/>
          <w:rtl w:val="0"/>
        </w:rPr>
      </w:pPr>
      <w:r>
        <w:rPr>
          <w:rFonts w:hint="default"/>
          <w:rtl w:val="0"/>
          <w:lang w:val="en-GB"/>
        </w:rPr>
        <w:t>T</w:t>
      </w:r>
      <w:r>
        <w:rPr>
          <w:rtl w:val="0"/>
        </w:rPr>
        <w:t xml:space="preserve">he law and your legal obligations on the advantages of having a diverse and inclusive workplace, promoting equality, diversity, and inclusion may boost employee morale, loyalty, and productivity, </w:t>
      </w:r>
      <w:r>
        <w:rPr>
          <w:rFonts w:hint="default"/>
          <w:rtl w:val="0"/>
          <w:lang w:val="en-GB"/>
        </w:rPr>
        <w:t>ways</w:t>
      </w:r>
      <w:r>
        <w:rPr>
          <w:rtl w:val="0"/>
        </w:rPr>
        <w:t xml:space="preserve"> to </w:t>
      </w:r>
      <w:r>
        <w:rPr>
          <w:rFonts w:hint="default"/>
          <w:rtl w:val="0"/>
          <w:lang w:val="en-GB"/>
        </w:rPr>
        <w:t>c</w:t>
      </w:r>
      <w:r>
        <w:rPr>
          <w:rtl w:val="0"/>
        </w:rPr>
        <w:t xml:space="preserve">reate and </w:t>
      </w:r>
      <w:r>
        <w:rPr>
          <w:rFonts w:hint="default"/>
          <w:rtl w:val="0"/>
          <w:lang w:val="en-GB"/>
        </w:rPr>
        <w:t>i</w:t>
      </w:r>
      <w:r>
        <w:rPr>
          <w:rtl w:val="0"/>
        </w:rPr>
        <w:t xml:space="preserve">mplement EDI </w:t>
      </w:r>
      <w:r>
        <w:rPr>
          <w:rFonts w:hint="default"/>
          <w:rtl w:val="0"/>
          <w:lang w:val="en-GB"/>
        </w:rPr>
        <w:t>p</w:t>
      </w:r>
      <w:r>
        <w:rPr>
          <w:rtl w:val="0"/>
        </w:rPr>
        <w:t>olicies</w:t>
      </w:r>
      <w:r>
        <w:rPr>
          <w:rFonts w:hint="default"/>
          <w:rtl w:val="0"/>
          <w:lang w:val="en-GB"/>
        </w:rPr>
        <w:t xml:space="preserve">, ways </w:t>
      </w:r>
      <w:r>
        <w:rPr>
          <w:rtl w:val="0"/>
        </w:rPr>
        <w:t xml:space="preserve"> to </w:t>
      </w:r>
      <w:r>
        <w:rPr>
          <w:rFonts w:hint="default"/>
          <w:rtl w:val="0"/>
          <w:lang w:val="en-GB"/>
        </w:rPr>
        <w:t>h</w:t>
      </w:r>
      <w:r>
        <w:rPr>
          <w:rtl w:val="0"/>
        </w:rPr>
        <w:t xml:space="preserve">andle EDI </w:t>
      </w:r>
      <w:r>
        <w:rPr>
          <w:rFonts w:hint="default"/>
          <w:rtl w:val="0"/>
          <w:lang w:val="en-GB"/>
        </w:rPr>
        <w:t>i</w:t>
      </w:r>
      <w:r>
        <w:rPr>
          <w:rtl w:val="0"/>
        </w:rPr>
        <w:t xml:space="preserve">ssues </w:t>
      </w:r>
      <w:r>
        <w:rPr>
          <w:rFonts w:hint="default"/>
          <w:rtl w:val="0"/>
          <w:lang w:val="en-GB"/>
        </w:rPr>
        <w:t>r</w:t>
      </w:r>
      <w:r>
        <w:rPr>
          <w:rtl w:val="0"/>
        </w:rPr>
        <w:t xml:space="preserve">aised at </w:t>
      </w:r>
      <w:r>
        <w:rPr>
          <w:rFonts w:hint="default"/>
          <w:rtl w:val="0"/>
          <w:lang w:val="en-GB"/>
        </w:rPr>
        <w:t>w</w:t>
      </w:r>
      <w:r>
        <w:rPr>
          <w:rtl w:val="0"/>
        </w:rPr>
        <w:t>ork on appropriate hiring practices.</w:t>
      </w:r>
      <w:r>
        <w:rPr>
          <w:rFonts w:hint="default"/>
          <w:rtl w:val="0"/>
        </w:rPr>
        <w:t>Giving employees the necessary training so they can understand and respect a diverse workforce or a multicultural workplace is just one aspect of managing workplace diversity. Observing the leaders of the organization's actions and behaviour is the best approach to learn about diversity. As a result, a strong leader is more crucial than any kind of training session, whether it be required or not ( Mayhew, 2016).</w:t>
      </w:r>
    </w:p>
    <w:p>
      <w:pPr>
        <w:widowControl w:val="0"/>
        <w:spacing w:after="240"/>
        <w:ind w:left="0" w:firstLine="0"/>
        <w:rPr>
          <w:rFonts w:hint="default"/>
          <w:lang w:val="en-GB"/>
        </w:rPr>
      </w:pPr>
      <w:bookmarkStart w:id="0" w:name="_GoBack"/>
      <w:bookmarkEnd w:id="0"/>
      <w:r>
        <w:rPr>
          <w:b/>
          <w:rtl w:val="0"/>
        </w:rPr>
        <w:t xml:space="preserve">Slide 16 - People management courses teach: </w:t>
      </w:r>
      <w:r>
        <w:rPr>
          <w:rtl w:val="0"/>
        </w:rPr>
        <w:t>How to Make the workplace a joyful and encouraging place for everyone, Early detection of performance and behaviour difficulties, deliberate and impartial handling of personal matters, development of communication skills, and assurance in handling uncomfortable conversations</w:t>
      </w:r>
      <w:r>
        <w:rPr>
          <w:rFonts w:hint="default"/>
          <w:rtl w:val="0"/>
          <w:lang w:val="en-GB"/>
        </w:rPr>
        <w:t>.</w:t>
      </w:r>
    </w:p>
    <w:p>
      <w:pPr>
        <w:widowControl w:val="0"/>
        <w:spacing w:after="240"/>
        <w:ind w:left="0" w:firstLine="0"/>
      </w:pPr>
      <w:r>
        <w:rPr>
          <w:b/>
          <w:rtl w:val="0"/>
        </w:rPr>
        <w:t xml:space="preserve">Slide 17 - 7 Domains of employee wellness                                                                           </w:t>
      </w:r>
      <w:r>
        <w:rPr>
          <w:rtl w:val="0"/>
        </w:rPr>
        <w:t xml:space="preserve">The seven domains of employee wellness </w:t>
      </w:r>
      <w:r>
        <w:rPr>
          <w:rFonts w:hint="default"/>
          <w:rtl w:val="0"/>
          <w:lang w:val="en-GB"/>
        </w:rPr>
        <w:t xml:space="preserve">according </w:t>
      </w:r>
      <w:r>
        <w:rPr>
          <w:rtl w:val="0"/>
        </w:rPr>
        <w:t xml:space="preserve"> </w:t>
      </w:r>
      <w:r>
        <w:rPr>
          <w:rFonts w:hint="default"/>
          <w:rtl w:val="0"/>
          <w:lang w:val="en-GB"/>
        </w:rPr>
        <w:t>to</w:t>
      </w:r>
      <w:r>
        <w:rPr>
          <w:rtl w:val="0"/>
        </w:rPr>
        <w:t xml:space="preserve"> C</w:t>
      </w:r>
      <w:r>
        <w:rPr>
          <w:rFonts w:hint="default"/>
          <w:rtl w:val="0"/>
          <w:lang w:val="en-GB"/>
        </w:rPr>
        <w:t>IPD</w:t>
      </w:r>
      <w:r>
        <w:rPr>
          <w:rtl w:val="0"/>
        </w:rPr>
        <w:t xml:space="preserve"> (2022):</w:t>
      </w:r>
    </w:p>
    <w:p>
      <w:pPr>
        <w:widowControl w:val="0"/>
        <w:spacing w:after="240"/>
        <w:ind w:left="0" w:firstLine="0"/>
      </w:pPr>
      <w:r>
        <w:rPr>
          <w:rtl w:val="0"/>
        </w:rPr>
        <w:t xml:space="preserve">Healthy physical and mental </w:t>
      </w:r>
      <w:r>
        <w:rPr>
          <w:rtl w:val="0"/>
          <w:lang w:val="en-GB"/>
        </w:rPr>
        <w:t>well-being</w:t>
      </w:r>
      <w:r>
        <w:rPr>
          <w:rtl w:val="0"/>
        </w:rPr>
        <w:t xml:space="preserve"> is maintained by health </w:t>
      </w:r>
      <w:r>
        <w:rPr>
          <w:rtl w:val="0"/>
          <w:lang w:val="en-GB"/>
        </w:rPr>
        <w:t>check-ups</w:t>
      </w:r>
      <w:r>
        <w:rPr>
          <w:rtl w:val="0"/>
        </w:rPr>
        <w:t xml:space="preserve">, occupational health support, employee assistance programs, or safe working practices. Excellent work is produced through ergonomically built workspaces, an inclusive atmosphere, effective people management practices, and non-monetary rewards. Values are created via values-based leadership, corporate social responsibility, positive connections with </w:t>
      </w:r>
      <w:r>
        <w:rPr>
          <w:rtl w:val="0"/>
          <w:lang w:val="en-GB"/>
        </w:rPr>
        <w:t>co-workers</w:t>
      </w:r>
      <w:r>
        <w:rPr>
          <w:rtl w:val="0"/>
        </w:rPr>
        <w:t xml:space="preserve"> and supervisors, and respect and dignity. Personal growth is supported by mentoring, coaching, performance development plans, and access to training. For a healthy lifestyle, practice physical exercise and a balanced diet</w:t>
      </w:r>
      <w:r>
        <w:rPr>
          <w:rFonts w:hint="default"/>
          <w:rtl w:val="0"/>
          <w:lang w:val="en-GB"/>
        </w:rPr>
        <w:t xml:space="preserve"> is recommended. </w:t>
      </w:r>
      <w:r>
        <w:rPr>
          <w:rtl w:val="0"/>
        </w:rPr>
        <w:t>Financial stability is maintained via fair pay and benefit rules, a flexible benefits program, and retirement planning.</w:t>
      </w:r>
    </w:p>
    <w:p>
      <w:pPr>
        <w:widowControl w:val="0"/>
        <w:spacing w:after="240"/>
        <w:ind w:left="0" w:firstLine="0"/>
        <w:rPr>
          <w:rtl w:val="0"/>
        </w:rPr>
      </w:pPr>
      <w:r>
        <w:rPr>
          <w:b/>
          <w:rtl w:val="0"/>
        </w:rPr>
        <w:t xml:space="preserve">Slide 18 - Workplace culture                                                                                          </w:t>
      </w:r>
      <w:r>
        <w:rPr>
          <w:rtl w:val="0"/>
        </w:rPr>
        <w:t xml:space="preserve">According to Reidhead (2020) company culture has a big influence on employee happiness. Employee happiness is increased when the management of a company places a high priority on creating a supportive organisational culture. An organization's happy employees provide it with a competitive advantage. Globalization has consequences for social work management practices, especially when it comes to putting policies and procedures in place that encourage an inclusive workplace culture and provide workers with a feeling of </w:t>
      </w:r>
      <w:r>
        <w:rPr>
          <w:rtl w:val="0"/>
          <w:lang w:val="en-GB"/>
        </w:rPr>
        <w:t>fulfilment</w:t>
      </w:r>
      <w:r>
        <w:rPr>
          <w:rtl w:val="0"/>
        </w:rPr>
        <w:t xml:space="preserve"> and commitment (Findler et al., 2007).</w:t>
      </w:r>
    </w:p>
    <w:p>
      <w:pPr>
        <w:widowControl w:val="0"/>
        <w:spacing w:after="240"/>
        <w:ind w:left="0" w:firstLine="0"/>
      </w:pPr>
      <w:r>
        <w:rPr>
          <w:b/>
          <w:rtl w:val="0"/>
        </w:rPr>
        <w:t xml:space="preserve">Slide 19 - Final thoughts                                                                                                      </w:t>
      </w:r>
      <w:r>
        <w:rPr>
          <w:rtl w:val="0"/>
        </w:rPr>
        <w:t>Finally, in order to offer successful training and development opportunities Maryville University (2021) suggests that companies should first determine what skills and knowledge employees require to assist the organisation achieve its objectives. Then, firms should personalise their training and development strategies to the interests and learning styles of their employees.</w:t>
      </w:r>
      <w:r>
        <w:rPr>
          <w:rFonts w:hint="default"/>
          <w:rtl w:val="0"/>
          <w:lang w:val="en-GB"/>
        </w:rPr>
        <w:t xml:space="preserve"> </w:t>
      </w:r>
      <w:r>
        <w:rPr>
          <w:rtl w:val="0"/>
        </w:rPr>
        <w:t>According to Herrity (2022) employees who receive training see an improvement in their job-related skills and knowledge as well as a boost in self-assurance.</w:t>
      </w:r>
      <w:r>
        <w:rPr>
          <w:rFonts w:hint="default"/>
          <w:rtl w:val="0"/>
          <w:lang w:val="en-GB"/>
        </w:rPr>
        <w:t xml:space="preserve"> </w:t>
      </w:r>
      <w:r>
        <w:rPr>
          <w:rtl w:val="0"/>
        </w:rPr>
        <w:t>Employees enjoy it when their leaders demonstrate that they are concerned about them and their careers, and having an HR team that looks out for their requirements would definitely make them happy, according to Blagui (2022).</w:t>
      </w:r>
      <w:r>
        <w:rPr>
          <w:rFonts w:hint="default"/>
          <w:rtl w:val="0"/>
          <w:lang w:val="en-GB"/>
        </w:rPr>
        <w:t xml:space="preserve"> </w:t>
      </w:r>
      <w:r>
        <w:rPr>
          <w:rtl w:val="0"/>
        </w:rPr>
        <w:t>According to Norman (2016), when an HR department presents itself as approachable and transparent, it gives employees confidence that HR will fight for their interests.</w:t>
      </w:r>
    </w:p>
    <w:p/>
    <w:p>
      <w:pPr>
        <w:rPr>
          <w:b/>
          <w:u w:val="none"/>
        </w:rPr>
      </w:pPr>
      <w:r>
        <w:rPr>
          <w:b/>
          <w:u w:val="none"/>
          <w:rtl w:val="0"/>
        </w:rPr>
        <w:t>Slide 20 - I would like to include Richard Branson's quote about his employees, which states:</w:t>
      </w:r>
    </w:p>
    <w:p>
      <w:pPr>
        <w:rPr>
          <w:b/>
          <w:u w:val="single"/>
        </w:rPr>
      </w:pPr>
    </w:p>
    <w:p>
      <w:pPr>
        <w:rPr>
          <w:b/>
          <w:color w:val="333333"/>
          <w:highlight w:val="white"/>
        </w:rPr>
      </w:pPr>
      <w:r>
        <w:rPr>
          <w:b/>
          <w:color w:val="333333"/>
          <w:highlight w:val="white"/>
          <w:rtl w:val="0"/>
        </w:rPr>
        <w:t>‘’Your employees are your company’s real competitive advantage. They’re the ones making the magic happen-so long as their needs are being met.’’</w:t>
      </w:r>
    </w:p>
    <w:p>
      <w:pPr>
        <w:rPr>
          <w:color w:val="333333"/>
          <w:highlight w:val="white"/>
        </w:rPr>
      </w:pPr>
    </w:p>
    <w:p>
      <w:pPr>
        <w:rPr>
          <w:color w:val="333333"/>
          <w:highlight w:val="white"/>
        </w:rPr>
      </w:pPr>
      <w:r>
        <w:rPr>
          <w:color w:val="333333"/>
          <w:highlight w:val="white"/>
          <w:rtl w:val="0"/>
        </w:rPr>
        <w:t>Tim Martin, The founder of Wetherspoon should take note of this statement and take better care of his staff, demonstrating their true worth to the company.</w:t>
      </w:r>
    </w:p>
    <w:p>
      <w:pPr>
        <w:rPr>
          <w:b/>
          <w:u w:val="single"/>
        </w:rPr>
      </w:pPr>
    </w:p>
    <w:p>
      <w:pPr>
        <w:rPr>
          <w:b/>
        </w:rPr>
      </w:pPr>
      <w:r>
        <w:rPr>
          <w:b/>
          <w:rtl w:val="0"/>
        </w:rPr>
        <w:t xml:space="preserve">Slide 21 - </w:t>
      </w:r>
    </w:p>
    <w:p>
      <w:pPr>
        <w:rPr>
          <w:b/>
          <w:rtl w:val="0"/>
        </w:rPr>
      </w:pPr>
    </w:p>
    <w:p>
      <w:pPr>
        <w:rPr>
          <w:b/>
        </w:rPr>
      </w:pPr>
      <w:r>
        <w:rPr>
          <w:b/>
          <w:rtl w:val="0"/>
        </w:rPr>
        <w:t xml:space="preserve">Thank you for listening and watching to my presentation, I hope you enjoyed it. </w:t>
      </w:r>
    </w:p>
    <w:p>
      <w:pPr>
        <w:rPr>
          <w:b/>
        </w:rPr>
      </w:pPr>
      <w:r>
        <w:rPr>
          <w:b/>
          <w:rtl w:val="0"/>
        </w:rPr>
        <w:t>Stay well and goodbye.</w:t>
      </w:r>
    </w:p>
    <w:p>
      <w:pPr>
        <w:rPr>
          <w:b/>
        </w:rPr>
      </w:pPr>
    </w:p>
    <w:p>
      <w:pPr>
        <w:rPr>
          <w:b/>
          <w:u w:val="single"/>
        </w:rPr>
      </w:pPr>
    </w:p>
    <w:p>
      <w:pPr>
        <w:rPr>
          <w:b/>
          <w:u w:val="single"/>
          <w:rtl w:val="0"/>
        </w:rPr>
      </w:pPr>
    </w:p>
    <w:p>
      <w:pPr>
        <w:rPr>
          <w:b/>
          <w:u w:val="single"/>
          <w:rtl w:val="0"/>
        </w:rPr>
      </w:pPr>
    </w:p>
    <w:p>
      <w:pPr>
        <w:rPr>
          <w:b/>
          <w:u w:val="single"/>
          <w:rtl w:val="0"/>
        </w:rPr>
      </w:pPr>
    </w:p>
    <w:p>
      <w:pPr>
        <w:rPr>
          <w:b/>
          <w:u w:val="single"/>
          <w:rtl w:val="0"/>
        </w:rPr>
      </w:pPr>
    </w:p>
    <w:p>
      <w:pPr>
        <w:rPr>
          <w:b/>
          <w:u w:val="single"/>
          <w:rtl w:val="0"/>
        </w:rPr>
      </w:pPr>
    </w:p>
    <w:p>
      <w:pPr>
        <w:rPr>
          <w:b/>
          <w:u w:val="single"/>
          <w:rtl w:val="0"/>
        </w:rPr>
      </w:pPr>
    </w:p>
    <w:p>
      <w:pPr>
        <w:rPr>
          <w:b/>
          <w:u w:val="single"/>
        </w:rPr>
      </w:pPr>
      <w:r>
        <w:rPr>
          <w:b/>
          <w:u w:val="single"/>
          <w:rtl w:val="0"/>
        </w:rPr>
        <w:t>References</w:t>
      </w:r>
    </w:p>
    <w:p>
      <w:pPr>
        <w:spacing w:before="240" w:after="240"/>
        <w:ind w:left="0" w:firstLine="0"/>
      </w:pPr>
      <w:r>
        <w:rPr>
          <w:rtl w:val="0"/>
        </w:rPr>
        <w:t xml:space="preserve">Acas Working for Everyone (2022) </w:t>
      </w:r>
      <w:r>
        <w:rPr>
          <w:i/>
          <w:rtl w:val="0"/>
        </w:rPr>
        <w:t>Online training</w:t>
      </w:r>
      <w:r>
        <w:rPr>
          <w:rtl w:val="0"/>
        </w:rPr>
        <w:t xml:space="preserve"> Available at: https://www.acas.org.uk/online-training (Accessed: December 3, 2022). </w:t>
      </w:r>
    </w:p>
    <w:p>
      <w:pPr>
        <w:spacing w:before="240" w:after="240"/>
        <w:ind w:left="0" w:firstLine="0"/>
      </w:pPr>
      <w:r>
        <w:rPr>
          <w:rtl w:val="0"/>
        </w:rPr>
        <w:t>AZ Quotes (no date)</w:t>
      </w:r>
      <w:r>
        <w:rPr>
          <w:i/>
          <w:rtl w:val="0"/>
        </w:rPr>
        <w:t>Richard Branson quote</w:t>
      </w:r>
      <w:r>
        <w:rPr>
          <w:b/>
          <w:u w:val="single"/>
          <w:rtl w:val="0"/>
        </w:rPr>
        <w:t xml:space="preserve"> </w:t>
      </w:r>
      <w:r>
        <w:rPr>
          <w:i/>
          <w:rtl w:val="0"/>
        </w:rPr>
        <w:t>A</w:t>
      </w:r>
      <w:r>
        <w:rPr>
          <w:rtl w:val="0"/>
        </w:rPr>
        <w:t xml:space="preserve">. Available at: https://www.azquotes.com/quote/1250240 (Accessed: December 4, 2022). </w:t>
      </w:r>
    </w:p>
    <w:p>
      <w:pPr>
        <w:spacing w:before="240" w:after="240"/>
        <w:ind w:left="0" w:firstLine="0"/>
      </w:pPr>
      <w:r>
        <w:rPr>
          <w:rtl w:val="0"/>
        </w:rPr>
        <w:t xml:space="preserve">Beer, M. (1985) </w:t>
      </w:r>
      <w:r>
        <w:rPr>
          <w:i/>
          <w:rtl w:val="0"/>
        </w:rPr>
        <w:t>Human Resource Management: A general manager's perspective: Text and cases</w:t>
      </w:r>
      <w:r>
        <w:rPr>
          <w:rtl w:val="0"/>
        </w:rPr>
        <w:t xml:space="preserve">. New York: Free Press. </w:t>
      </w:r>
    </w:p>
    <w:p>
      <w:pPr>
        <w:spacing w:before="240" w:after="240"/>
        <w:ind w:left="0" w:firstLine="0"/>
      </w:pPr>
      <w:r>
        <w:rPr>
          <w:rtl w:val="0"/>
        </w:rPr>
        <w:t xml:space="preserve">Blagui, N. (2022) </w:t>
      </w:r>
      <w:r>
        <w:rPr>
          <w:i/>
          <w:rtl w:val="0"/>
        </w:rPr>
        <w:t>How HR and IC collaboration can boost employee engagement: Exo Platform</w:t>
      </w:r>
      <w:r>
        <w:rPr>
          <w:rtl w:val="0"/>
        </w:rPr>
        <w:t xml:space="preserve">, </w:t>
      </w:r>
      <w:r>
        <w:rPr>
          <w:i/>
          <w:rtl w:val="0"/>
        </w:rPr>
        <w:t>eXo Platform Blog</w:t>
      </w:r>
      <w:r>
        <w:rPr>
          <w:rtl w:val="0"/>
        </w:rPr>
        <w:t xml:space="preserve">. Available at: https://www.exoplatform.com/blog/how-hr-and-ic-collaboration-can-boost-employee-engagement-exo-platform/ (Accessed: December 4, 2022). </w:t>
      </w:r>
    </w:p>
    <w:p>
      <w:pPr>
        <w:spacing w:before="240" w:after="240"/>
        <w:ind w:left="0" w:firstLine="0"/>
      </w:pPr>
      <w:r>
        <w:rPr>
          <w:rtl w:val="0"/>
        </w:rPr>
        <w:t xml:space="preserve">BBC News (2020) </w:t>
      </w:r>
      <w:r>
        <w:rPr>
          <w:i/>
          <w:rtl w:val="0"/>
        </w:rPr>
        <w:t>Coronavirus: 'pay your staff' scrawled on Wetherspoon Pub</w:t>
      </w:r>
      <w:r>
        <w:rPr>
          <w:rtl w:val="0"/>
        </w:rPr>
        <w:t xml:space="preserve"> (image) Available at: https://www.bbc.co.uk/news/uk-england-london-52036501 (Accessed: December 1, 2022). </w:t>
      </w:r>
    </w:p>
    <w:p>
      <w:pPr>
        <w:spacing w:before="240" w:after="240"/>
        <w:ind w:left="0" w:firstLine="0"/>
      </w:pPr>
      <w:r>
        <w:rPr>
          <w:rtl w:val="0"/>
        </w:rPr>
        <w:t xml:space="preserve">Cakar, F., Bititci, U.S. and MacBryde, J. (2003) “A business process approach to human resource management,” </w:t>
      </w:r>
      <w:r>
        <w:rPr>
          <w:i/>
          <w:rtl w:val="0"/>
        </w:rPr>
        <w:t>Business Process Management Journal</w:t>
      </w:r>
      <w:r>
        <w:rPr>
          <w:rtl w:val="0"/>
        </w:rPr>
        <w:t xml:space="preserve">, 9(2), pp. 190–207. Available at: https://doi.org/10.1108/14637150310468. </w:t>
      </w:r>
    </w:p>
    <w:p>
      <w:pPr>
        <w:spacing w:before="240" w:after="240"/>
        <w:ind w:left="0" w:firstLine="0"/>
      </w:pPr>
      <w:r>
        <w:rPr>
          <w:rtl w:val="0"/>
        </w:rPr>
        <w:t xml:space="preserve">CIPD (2022) </w:t>
      </w:r>
      <w:r>
        <w:rPr>
          <w:i/>
          <w:rtl w:val="0"/>
        </w:rPr>
        <w:t>Wellbeing at work: Factsheets</w:t>
      </w:r>
      <w:r>
        <w:rPr>
          <w:rtl w:val="0"/>
        </w:rPr>
        <w:t xml:space="preserve">. Available at: https://www.cipd.co.uk/knowledge/culture/well-being/factsheet (Accessed: December 3, 2022). </w:t>
      </w:r>
    </w:p>
    <w:p>
      <w:pPr>
        <w:spacing w:before="240" w:after="240"/>
        <w:ind w:left="0" w:firstLine="0"/>
      </w:pPr>
      <w:r>
        <w:rPr>
          <w:rtl w:val="0"/>
        </w:rPr>
        <w:t xml:space="preserve">Dorta-Afonso, D., Romero-Domínguez, L. and Benítez-Núñez, C. (2023) “It’s worth it! high performance work systems for employee job satisfaction: The mediational role of Burnout,” </w:t>
      </w:r>
      <w:r>
        <w:rPr>
          <w:i/>
          <w:rtl w:val="0"/>
        </w:rPr>
        <w:t>International Journal of Hospitality Management</w:t>
      </w:r>
      <w:r>
        <w:rPr>
          <w:rtl w:val="0"/>
        </w:rPr>
        <w:t xml:space="preserve">, 108, p. 103364. Available at: https://doi.org/10.1016/j.ijhm.2022.103364. </w:t>
      </w:r>
    </w:p>
    <w:p>
      <w:pPr>
        <w:spacing w:before="240" w:after="240"/>
        <w:ind w:left="0" w:firstLine="0"/>
      </w:pPr>
      <w:r>
        <w:rPr>
          <w:rtl w:val="0"/>
        </w:rPr>
        <w:t xml:space="preserve">Findler, L., Wind, L.H. and Barak, M.E. (2007) “The challenge of Workforce Management in a global society,” </w:t>
      </w:r>
      <w:r>
        <w:rPr>
          <w:i/>
          <w:rtl w:val="0"/>
        </w:rPr>
        <w:t>Administration in Social Work</w:t>
      </w:r>
      <w:r>
        <w:rPr>
          <w:rtl w:val="0"/>
        </w:rPr>
        <w:t xml:space="preserve">, 31(3), pp. 63–94. Available at: https://doi.org/10.1300/j147v31n03_05. </w:t>
      </w:r>
    </w:p>
    <w:p>
      <w:r>
        <w:rPr>
          <w:rtl w:val="0"/>
        </w:rPr>
        <w:t xml:space="preserve">He, J. et al. (2019) Improving Millennial Employee Well-Being and Task Performance in the Hospitality Industry: The Interactive Effects of HRM and Responsible Leadership. </w:t>
      </w:r>
      <w:r>
        <w:rPr>
          <w:i/>
          <w:rtl w:val="0"/>
        </w:rPr>
        <w:t>Sustainability</w:t>
      </w:r>
      <w:r>
        <w:rPr>
          <w:rtl w:val="0"/>
        </w:rPr>
        <w:t xml:space="preserve">. [Online] 11 (16), 4410. [online]. Available from: </w:t>
      </w:r>
      <w:r>
        <w:fldChar w:fldCharType="begin"/>
      </w:r>
      <w:r>
        <w:instrText xml:space="preserve"> HYPERLINK "http://dx.doi.org/10.3390/su11164410" \h </w:instrText>
      </w:r>
      <w:r>
        <w:fldChar w:fldCharType="separate"/>
      </w:r>
      <w:r>
        <w:rPr>
          <w:color w:val="1155CC"/>
          <w:u w:val="single"/>
          <w:rtl w:val="0"/>
        </w:rPr>
        <w:t>http://dx.doi.org/10.3390/su11164410</w:t>
      </w:r>
      <w:r>
        <w:rPr>
          <w:color w:val="1155CC"/>
          <w:u w:val="single"/>
          <w:rtl w:val="0"/>
        </w:rPr>
        <w:fldChar w:fldCharType="end"/>
      </w:r>
      <w:r>
        <w:rPr>
          <w:rtl w:val="0"/>
        </w:rPr>
        <w:t>.</w:t>
      </w:r>
    </w:p>
    <w:p>
      <w:pPr>
        <w:spacing w:before="240" w:after="240"/>
        <w:ind w:left="0" w:firstLine="0"/>
      </w:pPr>
      <w:r>
        <w:rPr>
          <w:rtl w:val="0"/>
        </w:rPr>
        <w:t xml:space="preserve">Herrity, J. (2022) </w:t>
      </w:r>
      <w:r>
        <w:rPr>
          <w:i/>
          <w:rtl w:val="0"/>
        </w:rPr>
        <w:t>The importance of training employees: 11 benefits | indeed.com</w:t>
      </w:r>
      <w:r>
        <w:rPr>
          <w:rtl w:val="0"/>
        </w:rPr>
        <w:t xml:space="preserve">, </w:t>
      </w:r>
      <w:r>
        <w:rPr>
          <w:i/>
          <w:rtl w:val="0"/>
        </w:rPr>
        <w:t>Indeed</w:t>
      </w:r>
      <w:r>
        <w:rPr>
          <w:rtl w:val="0"/>
        </w:rPr>
        <w:t xml:space="preserve">. Available at: https://www.indeed.com/career-advice/career-development/importance-of-training (Accessed: December 4, 2022). </w:t>
      </w:r>
    </w:p>
    <w:p>
      <w:pPr>
        <w:spacing w:before="240" w:after="240"/>
        <w:ind w:left="0" w:firstLine="0"/>
      </w:pPr>
      <w:r>
        <w:rPr>
          <w:rtl w:val="0"/>
        </w:rPr>
        <w:t xml:space="preserve">Investors In People (2022) </w:t>
      </w:r>
      <w:r>
        <w:rPr>
          <w:i/>
          <w:rtl w:val="0"/>
        </w:rPr>
        <w:t>The good, the bad and the ugly: Workplace mental health during COVID</w:t>
      </w:r>
      <w:r>
        <w:rPr>
          <w:rtl w:val="0"/>
        </w:rPr>
        <w:t xml:space="preserve"> Available at: https://www.investorsinpeople.com/knowledge/the-good-the-bad-and-the-ugly-workplace-mental-health-during-covid/ (Accessed: December 2, 2022). </w:t>
      </w:r>
    </w:p>
    <w:p>
      <w:pPr>
        <w:spacing w:before="240" w:after="240"/>
        <w:ind w:left="0" w:firstLine="0"/>
      </w:pPr>
      <w:r>
        <w:rPr>
          <w:rtl w:val="0"/>
        </w:rPr>
        <w:t xml:space="preserve">Martins, P.O. (2012) </w:t>
      </w:r>
      <w:r>
        <w:rPr>
          <w:i/>
          <w:rtl w:val="0"/>
        </w:rPr>
        <w:t>Unit 1 - Michigan Model</w:t>
      </w:r>
      <w:r>
        <w:rPr>
          <w:rtl w:val="0"/>
        </w:rPr>
        <w:t xml:space="preserve">. Available at: http://paulooliveiramartins1967.blogspot.com/2012/11/unit-1-michigan-model.html (Accessed: December 4, 2022). </w:t>
      </w:r>
    </w:p>
    <w:p>
      <w:pPr>
        <w:spacing w:before="240" w:after="240"/>
        <w:ind w:left="0" w:firstLine="0"/>
      </w:pPr>
      <w:r>
        <w:rPr>
          <w:rtl w:val="0"/>
        </w:rPr>
        <w:t xml:space="preserve">Mayhew, R. (2016) </w:t>
      </w:r>
      <w:r>
        <w:rPr>
          <w:i/>
          <w:rtl w:val="0"/>
        </w:rPr>
        <w:t>What is a leader's role in an organization with respect to diversity?</w:t>
      </w:r>
      <w:r>
        <w:rPr>
          <w:rtl w:val="0"/>
        </w:rPr>
        <w:t xml:space="preserve">, </w:t>
      </w:r>
      <w:r>
        <w:rPr>
          <w:i/>
          <w:rtl w:val="0"/>
        </w:rPr>
        <w:t>Small Business - Chron.com</w:t>
      </w:r>
      <w:r>
        <w:rPr>
          <w:rtl w:val="0"/>
        </w:rPr>
        <w:t xml:space="preserve">. Chron.com. Available at: https://smallbusiness.chron.com/leaders-role-organization-respect-diversity-22404.html (Accessed: December 4, 2022). </w:t>
      </w:r>
    </w:p>
    <w:p>
      <w:pPr>
        <w:spacing w:before="240" w:after="240"/>
        <w:ind w:left="0" w:firstLine="0"/>
      </w:pPr>
      <w:r>
        <w:rPr>
          <w:rtl w:val="0"/>
        </w:rPr>
        <w:t xml:space="preserve">Maryville University team (2021) </w:t>
      </w:r>
      <w:r>
        <w:rPr>
          <w:i/>
          <w:rtl w:val="0"/>
        </w:rPr>
        <w:t>Importance of training and development for employees</w:t>
      </w:r>
      <w:r>
        <w:rPr>
          <w:rtl w:val="0"/>
        </w:rPr>
        <w:t xml:space="preserve">, </w:t>
      </w:r>
      <w:r>
        <w:rPr>
          <w:i/>
          <w:rtl w:val="0"/>
        </w:rPr>
        <w:t>Maryville Online</w:t>
      </w:r>
      <w:r>
        <w:rPr>
          <w:rtl w:val="0"/>
        </w:rPr>
        <w:t xml:space="preserve">. Available at: https://online.maryville.edu/blog/importance-of-training-and-development/ (Accessed: December 4, 2022). </w:t>
      </w:r>
    </w:p>
    <w:p>
      <w:pPr>
        <w:spacing w:before="240" w:after="240"/>
        <w:ind w:left="0" w:firstLine="0"/>
      </w:pPr>
      <w:r>
        <w:rPr>
          <w:rtl w:val="0"/>
        </w:rPr>
        <w:t xml:space="preserve">McKinsey &amp; Company (2022) </w:t>
      </w:r>
      <w:r>
        <w:rPr>
          <w:i/>
          <w:rtl w:val="0"/>
        </w:rPr>
        <w:t>Addressing employee burnout: Are you solving the right problem?</w:t>
      </w:r>
      <w:r>
        <w:rPr>
          <w:rtl w:val="0"/>
        </w:rPr>
        <w:t xml:space="preserve"> Available at: https://www.mckinsey.com/mhi/our-insights/addressing-employee-burnout-are-you-solving-the-right-problem (Accessed: December 2, 2022). </w:t>
      </w:r>
    </w:p>
    <w:p>
      <w:pPr>
        <w:spacing w:before="240" w:after="240"/>
        <w:ind w:left="0" w:firstLine="0"/>
      </w:pPr>
      <w:r>
        <w:rPr>
          <w:rtl w:val="0"/>
        </w:rPr>
        <w:t xml:space="preserve">Mulhall, J. (2015) </w:t>
      </w:r>
      <w:r>
        <w:rPr>
          <w:i/>
          <w:rtl w:val="0"/>
        </w:rPr>
        <w:t>JD Wetherspoon pays out in Second irish traveller discrimination case</w:t>
      </w:r>
      <w:r>
        <w:rPr>
          <w:rtl w:val="0"/>
        </w:rPr>
        <w:t xml:space="preserve">, </w:t>
      </w:r>
      <w:r>
        <w:rPr>
          <w:i/>
          <w:rtl w:val="0"/>
        </w:rPr>
        <w:t>The Irish Post</w:t>
      </w:r>
      <w:r>
        <w:rPr>
          <w:rtl w:val="0"/>
        </w:rPr>
        <w:t xml:space="preserve">. The Irish Post. (image) Available at: https://www.irishpost.com/news/jd-wetherspoon-pays-out-in-second-irish-traveller-discrimination-case-53947 (Accessed: December 1, 2022). </w:t>
      </w:r>
    </w:p>
    <w:p>
      <w:pPr>
        <w:spacing w:before="240" w:after="240"/>
        <w:ind w:left="0" w:firstLine="0"/>
      </w:pPr>
      <w:r>
        <w:rPr>
          <w:rtl w:val="0"/>
        </w:rPr>
        <w:t xml:space="preserve">Norman, L. (2016) </w:t>
      </w:r>
      <w:r>
        <w:rPr>
          <w:i/>
          <w:rtl w:val="0"/>
        </w:rPr>
        <w:t>The role of HR in Workplace Culture</w:t>
      </w:r>
      <w:r>
        <w:rPr>
          <w:rtl w:val="0"/>
        </w:rPr>
        <w:t xml:space="preserve">, </w:t>
      </w:r>
      <w:r>
        <w:rPr>
          <w:i/>
          <w:rtl w:val="0"/>
        </w:rPr>
        <w:t>Small Business - Chron.com</w:t>
      </w:r>
      <w:r>
        <w:rPr>
          <w:rtl w:val="0"/>
        </w:rPr>
        <w:t xml:space="preserve">. Chron.com. Available at: https://smallbusiness.chron.com/role-hr-workplace-culture-10206.html (Accessed: December 4, 2022). </w:t>
      </w:r>
    </w:p>
    <w:p>
      <w:pPr>
        <w:spacing w:before="240" w:after="240"/>
        <w:ind w:left="0" w:firstLine="0"/>
      </w:pPr>
      <w:r>
        <w:rPr>
          <w:rtl w:val="0"/>
        </w:rPr>
        <w:t xml:space="preserve">Ogbonnaya, C. and Messersmith, J. (2018) “Employee performance, well‐being, and differential effects of human resource management subdimensions: Mutual gains or conflicting outcomes?,” </w:t>
      </w:r>
      <w:r>
        <w:rPr>
          <w:i/>
          <w:rtl w:val="0"/>
        </w:rPr>
        <w:t>Human Resource Management Journal</w:t>
      </w:r>
      <w:r>
        <w:rPr>
          <w:rtl w:val="0"/>
        </w:rPr>
        <w:t xml:space="preserve">, 29(3), pp. 509–526. Available at: https://doi.org/10.1111/1748-8583.12203. </w:t>
      </w:r>
    </w:p>
    <w:p>
      <w:pPr>
        <w:spacing w:before="240" w:after="240"/>
      </w:pPr>
      <w:r>
        <w:rPr>
          <w:rtl w:val="0"/>
        </w:rPr>
        <w:t xml:space="preserve">Online Counseling Programs (2022) </w:t>
      </w:r>
      <w:r>
        <w:rPr>
          <w:i/>
          <w:rtl w:val="0"/>
        </w:rPr>
        <w:t>What does an HR manager do?</w:t>
      </w:r>
      <w:r>
        <w:rPr>
          <w:rtl w:val="0"/>
        </w:rPr>
        <w:t xml:space="preserve"> </w:t>
      </w:r>
      <w:r>
        <w:rPr>
          <w:i/>
          <w:rtl w:val="0"/>
        </w:rPr>
        <w:t>CORP-MAC0 (OCP)</w:t>
      </w:r>
      <w:r>
        <w:rPr>
          <w:rtl w:val="0"/>
        </w:rPr>
        <w:t xml:space="preserve">. Available at: https://onlinecounselingprograms.com/online-counseling-degrees/online-masters-in-human-resources/hr-functions/#maintain-company-culture (Accessed: December 1, 2022). </w:t>
      </w:r>
    </w:p>
    <w:p>
      <w:pPr>
        <w:spacing w:before="240" w:after="240"/>
      </w:pPr>
      <w:r>
        <w:rPr>
          <w:rtl w:val="0"/>
        </w:rPr>
        <w:t>Price, A. (2011). Human Resource Management. United Kingdom: Cengage Learning.</w:t>
      </w:r>
    </w:p>
    <w:p>
      <w:pPr>
        <w:spacing w:before="240" w:after="240"/>
        <w:ind w:left="0" w:firstLine="0"/>
      </w:pPr>
      <w:r>
        <w:rPr>
          <w:rtl w:val="0"/>
        </w:rPr>
        <w:t xml:space="preserve">Reidhead, C. (2020) “Impact of organizational culture on employee satisfaction: A case of Hilton Hotel, United Kingdom,” </w:t>
      </w:r>
      <w:r>
        <w:rPr>
          <w:i/>
          <w:rtl w:val="0"/>
        </w:rPr>
        <w:t>Journal of Economics and Business</w:t>
      </w:r>
      <w:r>
        <w:rPr>
          <w:rtl w:val="0"/>
        </w:rPr>
        <w:t xml:space="preserve">, 3(1). Available at: https://doi.org/10.31014/aior.1992.03.01.209. </w:t>
      </w:r>
    </w:p>
    <w:p>
      <w:pPr>
        <w:spacing w:before="240" w:after="240"/>
        <w:ind w:left="0" w:firstLine="0"/>
      </w:pPr>
      <w:r>
        <w:rPr>
          <w:rtl w:val="0"/>
        </w:rPr>
        <w:t xml:space="preserve">Romford, J. (2021) </w:t>
      </w:r>
      <w:r>
        <w:rPr>
          <w:i/>
          <w:rtl w:val="0"/>
        </w:rPr>
        <w:t>What is Warwick model of HRM – advantages, disadvantages &amp; more!</w:t>
      </w:r>
      <w:r>
        <w:rPr>
          <w:rtl w:val="0"/>
        </w:rPr>
        <w:t xml:space="preserve">, </w:t>
      </w:r>
      <w:r>
        <w:rPr>
          <w:i/>
          <w:rtl w:val="0"/>
        </w:rPr>
        <w:t>AgilityPortal</w:t>
      </w:r>
      <w:r>
        <w:rPr>
          <w:rtl w:val="0"/>
        </w:rPr>
        <w:t xml:space="preserve">. Available at: https://agilityportal.io/blog/warwick-model-of-hrm-advantages-disadvantages-more (Accessed: December 4, 2022). </w:t>
      </w:r>
    </w:p>
    <w:p/>
    <w:p/>
    <w:p/>
    <w:sectPr>
      <w:pgSz w:w="12240" w:h="15840"/>
      <w:pgMar w:top="1440" w:right="1440" w:bottom="1440" w:left="1440" w:header="720" w:footer="720" w:gutter="0"/>
      <w:pgNumType w:start="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86"/>
    <w:family w:val="swiss"/>
    <w:pitch w:val="default"/>
    <w:sig w:usb0="E0002EFF" w:usb1="C000785B" w:usb2="00000009" w:usb3="00000000" w:csb0="400001FF" w:csb1="FFFF0000"/>
  </w:font>
  <w:font w:name="Playfair Display">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Georgia">
    <w:panose1 w:val="02040502050405020303"/>
    <w:charset w:val="00"/>
    <w:family w:val="auto"/>
    <w:pitch w:val="default"/>
    <w:sig w:usb0="00000287" w:usb1="00000000" w:usb2="00000000" w:usb3="00000000" w:csb0="2000009F" w:csb1="00000000"/>
  </w:font>
  <w:font w:name="MS PGothic">
    <w:panose1 w:val="020B0600070205080204"/>
    <w:charset w:val="80"/>
    <w:family w:val="auto"/>
    <w:pitch w:val="default"/>
    <w:sig w:usb0="E00002FF" w:usb1="6AC7FDFB" w:usb2="08000012" w:usb3="00000000" w:csb0="4002009F" w:csb1="DFD7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76" w:lineRule="auto"/>
      </w:pPr>
      <w:r>
        <w:separator/>
      </w:r>
    </w:p>
  </w:footnote>
  <w:footnote w:type="continuationSeparator" w:id="1">
    <w:p>
      <w:pPr>
        <w:spacing w:line="276"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footnotePr>
    <w:footnote w:id="0"/>
    <w:footnote w:id="1"/>
  </w:footnotePr>
  <w:endnotePr>
    <w:endnote w:id="0"/>
    <w:endnote w:id="1"/>
  </w:endnotePr>
  <w:compat>
    <w:compatSetting w:name="compatibilityMode" w:uri="http://schemas.microsoft.com/office/word" w:val="15"/>
  </w:compat>
  <w:rsids>
    <w:rsidRoot w:val="00000000"/>
    <w:rsid w:val="49DC6F3A"/>
    <w:rsid w:val="7290424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semiHidden="0" w:name="Normal"/>
    <w:lsdException w:unhideWhenUsed="0" w:uiPriority="0" w:semiHidden="0" w:name="heading 1"/>
    <w:lsdException w:unhideWhenUsed="0" w:uiPriority="0" w:semiHidden="0" w:name="heading 2"/>
    <w:lsdException w:unhideWhenUsed="0" w:uiPriority="0" w:semiHidden="0" w:name="heading 3"/>
    <w:lsdException w:unhideWhenUsed="0" w:uiPriority="0" w:semiHidden="0" w:name="heading 4"/>
    <w:lsdException w:unhideWhenUsed="0" w:uiPriority="0" w:semiHidden="0" w:name="heading 5"/>
    <w:lsdException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276" w:lineRule="auto"/>
    </w:pPr>
    <w:rPr>
      <w:rFonts w:ascii="Arial" w:hAnsi="Arial" w:eastAsia="Arial" w:cs="Arial"/>
      <w:sz w:val="22"/>
      <w:szCs w:val="22"/>
      <w:lang w:val="en"/>
    </w:rPr>
  </w:style>
  <w:style w:type="paragraph" w:styleId="2">
    <w:name w:val="heading 1"/>
    <w:basedOn w:val="1"/>
    <w:next w:val="1"/>
    <w:uiPriority w:val="0"/>
    <w:pPr>
      <w:keepNext/>
      <w:keepLines/>
      <w:pageBreakBefore w:val="0"/>
      <w:spacing w:before="400" w:after="120"/>
    </w:pPr>
    <w:rPr>
      <w:sz w:val="40"/>
      <w:szCs w:val="40"/>
    </w:rPr>
  </w:style>
  <w:style w:type="paragraph" w:styleId="3">
    <w:name w:val="heading 2"/>
    <w:basedOn w:val="1"/>
    <w:next w:val="1"/>
    <w:uiPriority w:val="0"/>
    <w:pPr>
      <w:keepNext/>
      <w:keepLines/>
      <w:pageBreakBefore w:val="0"/>
      <w:spacing w:before="360" w:after="120"/>
    </w:pPr>
    <w:rPr>
      <w:sz w:val="32"/>
      <w:szCs w:val="32"/>
    </w:rPr>
  </w:style>
  <w:style w:type="paragraph" w:styleId="4">
    <w:name w:val="heading 3"/>
    <w:basedOn w:val="1"/>
    <w:next w:val="1"/>
    <w:uiPriority w:val="0"/>
    <w:pPr>
      <w:keepNext/>
      <w:keepLines/>
      <w:pageBreakBefore w:val="0"/>
      <w:spacing w:before="320" w:after="80"/>
    </w:pPr>
    <w:rPr>
      <w:color w:val="434343"/>
      <w:sz w:val="28"/>
      <w:szCs w:val="28"/>
    </w:rPr>
  </w:style>
  <w:style w:type="paragraph" w:styleId="5">
    <w:name w:val="heading 4"/>
    <w:basedOn w:val="1"/>
    <w:next w:val="1"/>
    <w:uiPriority w:val="0"/>
    <w:pPr>
      <w:keepNext/>
      <w:keepLines/>
      <w:pageBreakBefore w:val="0"/>
      <w:spacing w:before="280" w:after="80"/>
    </w:pPr>
    <w:rPr>
      <w:color w:val="666666"/>
      <w:sz w:val="24"/>
      <w:szCs w:val="24"/>
    </w:rPr>
  </w:style>
  <w:style w:type="paragraph" w:styleId="6">
    <w:name w:val="heading 5"/>
    <w:basedOn w:val="1"/>
    <w:next w:val="1"/>
    <w:uiPriority w:val="0"/>
    <w:pPr>
      <w:keepNext/>
      <w:keepLines/>
      <w:pageBreakBefore w:val="0"/>
      <w:spacing w:before="240" w:after="80"/>
    </w:pPr>
    <w:rPr>
      <w:color w:val="666666"/>
      <w:sz w:val="22"/>
      <w:szCs w:val="22"/>
    </w:rPr>
  </w:style>
  <w:style w:type="paragraph" w:styleId="7">
    <w:name w:val="heading 6"/>
    <w:basedOn w:val="1"/>
    <w:next w:val="1"/>
    <w:uiPriority w:val="0"/>
    <w:pPr>
      <w:keepNext/>
      <w:keepLines/>
      <w:pageBreakBefore w:val="0"/>
      <w:spacing w:before="240" w:after="80"/>
    </w:pPr>
    <w:rPr>
      <w:i/>
      <w:color w:val="666666"/>
      <w:sz w:val="22"/>
      <w:szCs w:val="22"/>
    </w:rPr>
  </w:style>
  <w:style w:type="character" w:default="1" w:styleId="8">
    <w:name w:val="Default Paragraph Font"/>
    <w:semiHidden/>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10">
    <w:name w:val="Subtitle"/>
    <w:basedOn w:val="1"/>
    <w:next w:val="1"/>
    <w:uiPriority w:val="0"/>
    <w:pPr>
      <w:keepNext/>
      <w:keepLines/>
      <w:pageBreakBefore w:val="0"/>
      <w:spacing w:before="0" w:after="320"/>
    </w:pPr>
    <w:rPr>
      <w:rFonts w:ascii="Arial" w:hAnsi="Arial" w:eastAsia="Arial" w:cs="Arial"/>
      <w:color w:val="666666"/>
      <w:sz w:val="30"/>
      <w:szCs w:val="30"/>
    </w:rPr>
  </w:style>
  <w:style w:type="paragraph" w:styleId="11">
    <w:name w:val="Title"/>
    <w:basedOn w:val="1"/>
    <w:next w:val="1"/>
    <w:qFormat/>
    <w:uiPriority w:val="0"/>
    <w:pPr>
      <w:keepNext/>
      <w:keepLines/>
      <w:pageBreakBefore w:val="0"/>
      <w:spacing w:before="0" w:after="60"/>
    </w:pPr>
    <w:rPr>
      <w:sz w:val="52"/>
      <w:szCs w:val="52"/>
    </w:rPr>
  </w:style>
  <w:style w:type="table" w:customStyle="1" w:styleId="12">
    <w:name w:val="Table Normal1"/>
    <w:qFormat/>
    <w:uiPriority w:val="0"/>
  </w:style>
  <w:style w:type="table" w:customStyle="1" w:styleId="13">
    <w:name w:val="_Style 10"/>
    <w:basedOn w:val="12"/>
    <w:uiPriority w:val="0"/>
    <w:tblPr>
      <w:tblCellMar>
        <w:top w:w="100" w:type="dxa"/>
        <w:left w:w="100" w:type="dxa"/>
        <w:bottom w:w="100" w:type="dxa"/>
        <w:right w:w="100"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docProps/app.xml><?xml version="1.0" encoding="utf-8"?>
<Properties xmlns="http://schemas.openxmlformats.org/officeDocument/2006/extended-properties" xmlns:vt="http://schemas.openxmlformats.org/officeDocument/2006/docPropsVTypes">
  <TotalTime>27</TotalTime>
  <ScaleCrop>false</ScaleCrop>
  <LinksUpToDate>false</LinksUpToDate>
  <Application>WPS Office_11.2.0.11417_F1E327BC-269C-435d-A152-05C5408002CA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2022-12-05T12:54:00Z</dcterms:created>
  <dc:creator>Family PC</dc:creator>
  <cp:lastModifiedBy>Family PC</cp:lastModifiedBy>
  <dcterms:modified xsi:type="dcterms:W3CDTF">2022-12-05T13:26:34Z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2057-11.2.0.11417</vt:lpwstr>
  </property>
  <property fmtid="{D5CDD505-2E9C-101B-9397-08002B2CF9AE}" pid="3" name="ICV">
    <vt:lpwstr>D549638A85FC4DD5BFC3A807557B7E36</vt:lpwstr>
  </property>
</Properties>
</file>