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3DAC1" w14:textId="68BB1DBE" w:rsidR="00D56B8C" w:rsidRPr="003D3E25" w:rsidRDefault="00D56B8C" w:rsidP="00FC31C8">
      <w:pPr>
        <w:jc w:val="center"/>
        <w:rPr>
          <w:rFonts w:ascii="Calibri" w:hAnsi="Calibri" w:cs="Calibri"/>
        </w:rPr>
      </w:pPr>
    </w:p>
    <w:tbl>
      <w:tblPr>
        <w:tblStyle w:val="TableGrid"/>
        <w:tblW w:w="0" w:type="auto"/>
        <w:tblLook w:val="04A0" w:firstRow="1" w:lastRow="0" w:firstColumn="1" w:lastColumn="0" w:noHBand="0" w:noVBand="1"/>
      </w:tblPr>
      <w:tblGrid>
        <w:gridCol w:w="562"/>
        <w:gridCol w:w="8454"/>
      </w:tblGrid>
      <w:tr w:rsidR="003D3E25" w14:paraId="21641912" w14:textId="77777777" w:rsidTr="003D3E25">
        <w:tc>
          <w:tcPr>
            <w:tcW w:w="9016" w:type="dxa"/>
            <w:gridSpan w:val="2"/>
            <w:shd w:val="clear" w:color="auto" w:fill="33CCCC"/>
          </w:tcPr>
          <w:p w14:paraId="7C2E9055" w14:textId="6D7101B3" w:rsidR="003D3E25" w:rsidRDefault="003D3E25" w:rsidP="003D3E25">
            <w:pPr>
              <w:spacing w:before="120" w:after="120"/>
              <w:jc w:val="center"/>
              <w:rPr>
                <w:rFonts w:ascii="Calibri" w:hAnsi="Calibri" w:cs="Calibri"/>
              </w:rPr>
            </w:pPr>
            <w:r w:rsidRPr="003D3E25">
              <w:rPr>
                <w:rFonts w:ascii="Calibri" w:hAnsi="Calibri" w:cs="Calibri"/>
                <w:b/>
              </w:rPr>
              <w:t>Object Biographies</w:t>
            </w:r>
          </w:p>
        </w:tc>
      </w:tr>
      <w:tr w:rsidR="003D3E25" w14:paraId="69A16F57" w14:textId="77777777" w:rsidTr="0090564C">
        <w:tc>
          <w:tcPr>
            <w:tcW w:w="9016" w:type="dxa"/>
            <w:gridSpan w:val="2"/>
          </w:tcPr>
          <w:p w14:paraId="02BB61BE" w14:textId="6EB15588" w:rsidR="003D3E25" w:rsidRDefault="003D3E25" w:rsidP="003D3E25">
            <w:pPr>
              <w:spacing w:beforeLines="40" w:before="96" w:afterLines="40" w:after="96"/>
              <w:rPr>
                <w:rFonts w:ascii="Calibri" w:hAnsi="Calibri" w:cs="Calibri"/>
              </w:rPr>
            </w:pPr>
            <w:r w:rsidRPr="003D3E25">
              <w:rPr>
                <w:rFonts w:ascii="Calibri" w:hAnsi="Calibri" w:cs="Calibri"/>
              </w:rPr>
              <w:t>Objects/things are social and gain meaning through social practices; this meaning is constantly being shaped and changed through the life-use of an object and in part might be drawn from the recursive relationships between people and things.</w:t>
            </w:r>
          </w:p>
        </w:tc>
      </w:tr>
      <w:tr w:rsidR="003D3E25" w14:paraId="79F3335C" w14:textId="77777777" w:rsidTr="003D3E25">
        <w:tc>
          <w:tcPr>
            <w:tcW w:w="562" w:type="dxa"/>
            <w:shd w:val="clear" w:color="auto" w:fill="33CCCC"/>
          </w:tcPr>
          <w:p w14:paraId="71395B16" w14:textId="6827F6E0" w:rsidR="003D3E25" w:rsidRPr="003D3E25" w:rsidRDefault="003D3E25" w:rsidP="003D3E25">
            <w:pPr>
              <w:spacing w:beforeLines="40" w:before="96" w:afterLines="40" w:after="96"/>
              <w:rPr>
                <w:rFonts w:ascii="Calibri" w:hAnsi="Calibri" w:cs="Calibri"/>
                <w:b/>
                <w:bCs/>
              </w:rPr>
            </w:pPr>
            <w:r w:rsidRPr="003D3E25">
              <w:rPr>
                <w:rFonts w:ascii="Calibri" w:hAnsi="Calibri" w:cs="Calibri"/>
                <w:b/>
                <w:bCs/>
              </w:rPr>
              <w:t>1</w:t>
            </w:r>
          </w:p>
        </w:tc>
        <w:tc>
          <w:tcPr>
            <w:tcW w:w="8454" w:type="dxa"/>
          </w:tcPr>
          <w:p w14:paraId="48E8842B" w14:textId="77777777" w:rsidR="003D3E25" w:rsidRDefault="003D3E25" w:rsidP="003D3E25">
            <w:pPr>
              <w:spacing w:beforeLines="40" w:before="96" w:afterLines="40" w:after="96"/>
              <w:rPr>
                <w:rFonts w:ascii="Calibri" w:hAnsi="Calibri" w:cs="Calibri"/>
              </w:rPr>
            </w:pPr>
            <w:r w:rsidRPr="003D3E25">
              <w:rPr>
                <w:rFonts w:ascii="Calibri" w:hAnsi="Calibri" w:cs="Calibri"/>
              </w:rPr>
              <w:t xml:space="preserve">One way that anthropologists have thought about this process is through the metaphor of the </w:t>
            </w:r>
            <w:r w:rsidRPr="003D3E25">
              <w:rPr>
                <w:rFonts w:ascii="Calibri" w:hAnsi="Calibri" w:cs="Calibri"/>
                <w:b/>
              </w:rPr>
              <w:t>biography of object</w:t>
            </w:r>
            <w:r w:rsidRPr="003D3E25">
              <w:rPr>
                <w:rFonts w:ascii="Calibri" w:hAnsi="Calibri" w:cs="Calibri"/>
              </w:rPr>
              <w:t>, informed by the work of Kopytoff (1986), who argues that objects, like people, can be said to have social lives with their own distinct biography.</w:t>
            </w:r>
          </w:p>
          <w:p w14:paraId="33E730CA" w14:textId="77777777" w:rsidR="003D3E25" w:rsidRDefault="003D3E25" w:rsidP="003D3E25">
            <w:pPr>
              <w:spacing w:beforeLines="40" w:before="96" w:afterLines="40" w:after="96"/>
              <w:rPr>
                <w:rFonts w:ascii="Calibri" w:hAnsi="Calibri" w:cs="Calibri"/>
              </w:rPr>
            </w:pPr>
            <w:r w:rsidRPr="003D3E25">
              <w:rPr>
                <w:rFonts w:ascii="Calibri" w:hAnsi="Calibri" w:cs="Calibri"/>
              </w:rPr>
              <w:t xml:space="preserve">This approach links the </w:t>
            </w:r>
            <w:r w:rsidRPr="003D3E25">
              <w:rPr>
                <w:rFonts w:ascii="Calibri" w:hAnsi="Calibri" w:cs="Calibri"/>
                <w:b/>
                <w:bCs/>
              </w:rPr>
              <w:t>socialisation</w:t>
            </w:r>
            <w:r w:rsidRPr="003D3E25">
              <w:rPr>
                <w:rFonts w:ascii="Calibri" w:hAnsi="Calibri" w:cs="Calibri"/>
              </w:rPr>
              <w:t xml:space="preserve"> of an object to the </w:t>
            </w:r>
            <w:r w:rsidRPr="003D3E25">
              <w:rPr>
                <w:rFonts w:ascii="Calibri" w:hAnsi="Calibri" w:cs="Calibri"/>
                <w:b/>
                <w:bCs/>
              </w:rPr>
              <w:t>concept of personhood</w:t>
            </w:r>
            <w:r w:rsidRPr="003D3E25">
              <w:rPr>
                <w:rFonts w:ascii="Calibri" w:hAnsi="Calibri" w:cs="Calibri"/>
              </w:rPr>
              <w:t xml:space="preserve"> and how within a biography it acquires distinct identities and histories over time. </w:t>
            </w:r>
          </w:p>
          <w:p w14:paraId="717D9489" w14:textId="77777777" w:rsidR="003D3E25" w:rsidRDefault="003D3E25" w:rsidP="003D3E25">
            <w:pPr>
              <w:spacing w:beforeLines="40" w:before="96" w:afterLines="40" w:after="96"/>
              <w:rPr>
                <w:rFonts w:ascii="Calibri" w:hAnsi="Calibri" w:cs="Calibri"/>
              </w:rPr>
            </w:pPr>
            <w:r w:rsidRPr="003D3E25">
              <w:rPr>
                <w:rFonts w:ascii="Calibri" w:hAnsi="Calibri" w:cs="Calibri"/>
              </w:rPr>
              <w:t>Moreover, there is an understanding, particularly in archaeological thought that the stages in an object’s existence, from creation (birth) through to final use, possibly destruction and discard (death) can be compared to a life history.</w:t>
            </w:r>
          </w:p>
          <w:p w14:paraId="40683CD9" w14:textId="1BED164F" w:rsidR="003D3E25" w:rsidRDefault="003D3E25" w:rsidP="003D3E25">
            <w:pPr>
              <w:spacing w:beforeLines="40" w:before="96" w:afterLines="40" w:after="96"/>
              <w:rPr>
                <w:rFonts w:ascii="Calibri" w:hAnsi="Calibri" w:cs="Calibri"/>
              </w:rPr>
            </w:pPr>
            <w:r w:rsidRPr="003D3E25">
              <w:rPr>
                <w:rFonts w:ascii="Calibri" w:hAnsi="Calibri" w:cs="Calibri"/>
              </w:rPr>
              <w:t>This approach has had enormous impact on archaeological analyses of the material world (and indeed continues to do so).</w:t>
            </w:r>
          </w:p>
        </w:tc>
      </w:tr>
      <w:tr w:rsidR="003D3E25" w14:paraId="6BA18839" w14:textId="77777777" w:rsidTr="003D3E25">
        <w:tc>
          <w:tcPr>
            <w:tcW w:w="562" w:type="dxa"/>
            <w:shd w:val="clear" w:color="auto" w:fill="33CCCC"/>
          </w:tcPr>
          <w:p w14:paraId="02064B29" w14:textId="721B4F7D" w:rsidR="003D3E25" w:rsidRPr="003D3E25" w:rsidRDefault="003D3E25" w:rsidP="003D3E25">
            <w:pPr>
              <w:spacing w:beforeLines="40" w:before="96" w:afterLines="40" w:after="96"/>
              <w:rPr>
                <w:rFonts w:ascii="Calibri" w:hAnsi="Calibri" w:cs="Calibri"/>
                <w:b/>
                <w:bCs/>
              </w:rPr>
            </w:pPr>
            <w:r w:rsidRPr="003D3E25">
              <w:rPr>
                <w:rFonts w:ascii="Calibri" w:hAnsi="Calibri" w:cs="Calibri"/>
                <w:b/>
                <w:bCs/>
              </w:rPr>
              <w:t>2</w:t>
            </w:r>
          </w:p>
        </w:tc>
        <w:tc>
          <w:tcPr>
            <w:tcW w:w="8454" w:type="dxa"/>
          </w:tcPr>
          <w:p w14:paraId="467E0563" w14:textId="05263DC3" w:rsidR="003D3E25" w:rsidRDefault="003D3E25" w:rsidP="003D3E25">
            <w:pPr>
              <w:spacing w:beforeLines="40" w:before="96" w:afterLines="40" w:after="96"/>
              <w:rPr>
                <w:rFonts w:ascii="Calibri" w:hAnsi="Calibri" w:cs="Calibri"/>
              </w:rPr>
            </w:pPr>
            <w:r w:rsidRPr="003D3E25">
              <w:rPr>
                <w:rFonts w:ascii="Calibri" w:hAnsi="Calibri" w:cs="Calibri"/>
              </w:rPr>
              <w:t xml:space="preserve">Related to object biographies is the concept of </w:t>
            </w:r>
            <w:r w:rsidRPr="003D3E25">
              <w:rPr>
                <w:rFonts w:ascii="Calibri" w:hAnsi="Calibri" w:cs="Calibri"/>
                <w:b/>
              </w:rPr>
              <w:t>biographical</w:t>
            </w:r>
            <w:r w:rsidRPr="003D3E25">
              <w:rPr>
                <w:rFonts w:ascii="Calibri" w:hAnsi="Calibri" w:cs="Calibri"/>
              </w:rPr>
              <w:t xml:space="preserve"> or </w:t>
            </w:r>
            <w:r w:rsidRPr="003D3E25">
              <w:rPr>
                <w:rFonts w:ascii="Calibri" w:hAnsi="Calibri" w:cs="Calibri"/>
                <w:b/>
              </w:rPr>
              <w:t>history object</w:t>
            </w:r>
            <w:r>
              <w:rPr>
                <w:rFonts w:ascii="Calibri" w:hAnsi="Calibri" w:cs="Calibri"/>
                <w:b/>
              </w:rPr>
              <w:t xml:space="preserve"> </w:t>
            </w:r>
            <w:r w:rsidRPr="003D3E25">
              <w:rPr>
                <w:rFonts w:ascii="Calibri" w:hAnsi="Calibri" w:cs="Calibri"/>
              </w:rPr>
              <w:t>(Hoskins 1998): “how things tell the stories of people’s lives”. These are p</w:t>
            </w:r>
            <w:r w:rsidRPr="003D3E25">
              <w:rPr>
                <w:rFonts w:ascii="Calibri" w:eastAsiaTheme="minorEastAsia" w:hAnsi="Calibri" w:cs="Calibri"/>
              </w:rPr>
              <w:t xml:space="preserve">ersonally meaningful possession, distinct from heirlooms </w:t>
            </w:r>
            <w:r w:rsidRPr="003D3E25">
              <w:rPr>
                <w:rFonts w:ascii="Calibri" w:hAnsi="Calibri" w:cs="Calibri"/>
              </w:rPr>
              <w:t>and</w:t>
            </w:r>
            <w:r w:rsidRPr="003D3E25">
              <w:rPr>
                <w:rFonts w:ascii="Calibri" w:eastAsiaTheme="minorEastAsia" w:hAnsi="Calibri" w:cs="Calibri"/>
              </w:rPr>
              <w:t xml:space="preserve"> inalienable possessions</w:t>
            </w:r>
            <w:r w:rsidRPr="003D3E25">
              <w:rPr>
                <w:rFonts w:ascii="Calibri" w:hAnsi="Calibri" w:cs="Calibri"/>
              </w:rPr>
              <w:t>. Their defining characteristics are that they that they share our lives with us and in so doing inform our personhood.</w:t>
            </w:r>
          </w:p>
        </w:tc>
      </w:tr>
      <w:tr w:rsidR="003D3E25" w14:paraId="73B3B021" w14:textId="77777777" w:rsidTr="003D3E25">
        <w:tc>
          <w:tcPr>
            <w:tcW w:w="562" w:type="dxa"/>
            <w:shd w:val="clear" w:color="auto" w:fill="33CCCC"/>
          </w:tcPr>
          <w:p w14:paraId="2EF3DAB5" w14:textId="7CE0F64E" w:rsidR="003D3E25" w:rsidRPr="003D3E25" w:rsidRDefault="003D3E25" w:rsidP="003D3E25">
            <w:pPr>
              <w:spacing w:beforeLines="40" w:before="96" w:afterLines="40" w:after="96"/>
              <w:rPr>
                <w:rFonts w:ascii="Calibri" w:hAnsi="Calibri" w:cs="Calibri"/>
                <w:b/>
                <w:bCs/>
              </w:rPr>
            </w:pPr>
            <w:r>
              <w:rPr>
                <w:rFonts w:ascii="Calibri" w:hAnsi="Calibri" w:cs="Calibri"/>
                <w:b/>
                <w:bCs/>
              </w:rPr>
              <w:t>3</w:t>
            </w:r>
          </w:p>
        </w:tc>
        <w:tc>
          <w:tcPr>
            <w:tcW w:w="8454" w:type="dxa"/>
          </w:tcPr>
          <w:p w14:paraId="5C1A3016" w14:textId="41A7D6C8" w:rsidR="003D3E25" w:rsidRDefault="003D3E25" w:rsidP="003D3E25">
            <w:pPr>
              <w:spacing w:beforeLines="40" w:before="96" w:afterLines="40" w:after="96"/>
              <w:rPr>
                <w:rFonts w:ascii="Calibri" w:hAnsi="Calibri" w:cs="Calibri"/>
              </w:rPr>
            </w:pPr>
            <w:r w:rsidRPr="003D3E25">
              <w:rPr>
                <w:rFonts w:ascii="Calibri" w:hAnsi="Calibri" w:cs="Calibri"/>
              </w:rPr>
              <w:t xml:space="preserve">Most recently archaeologists (Joyce and Gillespie 2015) have developed the notion of </w:t>
            </w:r>
            <w:r w:rsidRPr="003D3E25">
              <w:rPr>
                <w:rFonts w:ascii="Calibri" w:hAnsi="Calibri" w:cs="Calibri"/>
                <w:b/>
              </w:rPr>
              <w:t>itinerary of object</w:t>
            </w:r>
            <w:r w:rsidRPr="003D3E25">
              <w:rPr>
                <w:rFonts w:ascii="Calibri" w:hAnsi="Calibri" w:cs="Calibri"/>
              </w:rPr>
              <w:t>, which examines the spatial movement of an object through significant nodes or points in time and space. This approach assumes that movement (matter flows) is</w:t>
            </w:r>
            <w:r w:rsidRPr="003D3E25">
              <w:rPr>
                <w:rFonts w:ascii="Calibri" w:eastAsiaTheme="minorEastAsia" w:hAnsi="Calibri" w:cs="Calibri"/>
              </w:rPr>
              <w:t xml:space="preserve"> a fundamental capacity of things</w:t>
            </w:r>
            <w:r w:rsidRPr="003D3E25">
              <w:rPr>
                <w:rFonts w:ascii="Calibri" w:hAnsi="Calibri" w:cs="Calibri"/>
              </w:rPr>
              <w:t xml:space="preserve">. It captures </w:t>
            </w:r>
            <w:r w:rsidRPr="003D3E25">
              <w:rPr>
                <w:rFonts w:ascii="Calibri" w:eastAsiaTheme="minorEastAsia" w:hAnsi="Calibri" w:cs="Calibri"/>
              </w:rPr>
              <w:t xml:space="preserve">the dynamics of </w:t>
            </w:r>
            <w:r w:rsidRPr="003D3E25">
              <w:rPr>
                <w:rFonts w:ascii="Calibri" w:hAnsi="Calibri" w:cs="Calibri"/>
              </w:rPr>
              <w:t>an</w:t>
            </w:r>
            <w:r w:rsidRPr="003D3E25">
              <w:rPr>
                <w:rFonts w:ascii="Calibri" w:eastAsiaTheme="minorEastAsia" w:hAnsi="Calibri" w:cs="Calibri"/>
              </w:rPr>
              <w:t xml:space="preserve"> object</w:t>
            </w:r>
            <w:r w:rsidRPr="003D3E25">
              <w:rPr>
                <w:rFonts w:ascii="Calibri" w:hAnsi="Calibri" w:cs="Calibri"/>
              </w:rPr>
              <w:t xml:space="preserve"> as it moves between </w:t>
            </w:r>
            <w:r w:rsidRPr="003D3E25">
              <w:rPr>
                <w:rFonts w:ascii="Calibri" w:eastAsiaTheme="minorEastAsia" w:hAnsi="Calibri" w:cs="Calibri"/>
              </w:rPr>
              <w:t>social contexts</w:t>
            </w:r>
            <w:r w:rsidRPr="003D3E25">
              <w:rPr>
                <w:rFonts w:ascii="Calibri" w:hAnsi="Calibri" w:cs="Calibri"/>
              </w:rPr>
              <w:t>.</w:t>
            </w:r>
          </w:p>
        </w:tc>
      </w:tr>
      <w:tr w:rsidR="003D3E25" w14:paraId="65F167CD" w14:textId="77777777" w:rsidTr="003D3E25">
        <w:tc>
          <w:tcPr>
            <w:tcW w:w="9016" w:type="dxa"/>
            <w:gridSpan w:val="2"/>
            <w:shd w:val="clear" w:color="auto" w:fill="33CCCC"/>
          </w:tcPr>
          <w:p w14:paraId="68E9A1CF" w14:textId="41EDAEC0" w:rsidR="003D3E25" w:rsidRPr="003D3E25" w:rsidRDefault="003D3E25" w:rsidP="003D3E25">
            <w:pPr>
              <w:spacing w:beforeLines="40" w:before="96" w:afterLines="40" w:after="96"/>
              <w:jc w:val="center"/>
              <w:rPr>
                <w:rFonts w:ascii="Calibri" w:hAnsi="Calibri" w:cs="Calibri"/>
                <w:b/>
                <w:bCs/>
              </w:rPr>
            </w:pPr>
            <w:r w:rsidRPr="003D3E25">
              <w:rPr>
                <w:rFonts w:ascii="Calibri" w:hAnsi="Calibri" w:cs="Calibri"/>
                <w:b/>
                <w:bCs/>
              </w:rPr>
              <w:t>Activity</w:t>
            </w:r>
          </w:p>
        </w:tc>
      </w:tr>
      <w:tr w:rsidR="003D3E25" w14:paraId="354AD494" w14:textId="77777777" w:rsidTr="00AC704E">
        <w:tc>
          <w:tcPr>
            <w:tcW w:w="9016" w:type="dxa"/>
            <w:gridSpan w:val="2"/>
          </w:tcPr>
          <w:p w14:paraId="46293108" w14:textId="098F9297" w:rsidR="003D3E25" w:rsidRDefault="003D3E25" w:rsidP="003D3E25">
            <w:pPr>
              <w:spacing w:beforeLines="40" w:before="96" w:afterLines="40" w:after="96"/>
              <w:rPr>
                <w:rFonts w:ascii="Calibri" w:hAnsi="Calibri" w:cs="Calibri"/>
              </w:rPr>
            </w:pPr>
            <w:r w:rsidRPr="003D3E25">
              <w:rPr>
                <w:rFonts w:ascii="Calibri" w:hAnsi="Calibri" w:cs="Calibri"/>
              </w:rPr>
              <w:t xml:space="preserve">In small groups I would like you to discuss </w:t>
            </w:r>
            <w:r>
              <w:rPr>
                <w:rFonts w:ascii="Calibri" w:hAnsi="Calibri" w:cs="Calibri"/>
              </w:rPr>
              <w:t>one of the</w:t>
            </w:r>
            <w:r w:rsidRPr="003D3E25">
              <w:rPr>
                <w:rFonts w:ascii="Calibri" w:hAnsi="Calibri" w:cs="Calibri"/>
              </w:rPr>
              <w:t xml:space="preserve"> object</w:t>
            </w:r>
            <w:r>
              <w:rPr>
                <w:rFonts w:ascii="Calibri" w:hAnsi="Calibri" w:cs="Calibri"/>
              </w:rPr>
              <w:t>s provided</w:t>
            </w:r>
            <w:r w:rsidRPr="003D3E25">
              <w:rPr>
                <w:rFonts w:ascii="Calibri" w:hAnsi="Calibri" w:cs="Calibri"/>
              </w:rPr>
              <w:t>.</w:t>
            </w:r>
          </w:p>
        </w:tc>
      </w:tr>
      <w:tr w:rsidR="003D3E25" w14:paraId="4B7A5763" w14:textId="77777777" w:rsidTr="003D3E25">
        <w:tc>
          <w:tcPr>
            <w:tcW w:w="562" w:type="dxa"/>
            <w:shd w:val="clear" w:color="auto" w:fill="33CCCC"/>
          </w:tcPr>
          <w:p w14:paraId="58B0B150" w14:textId="266E2779" w:rsidR="003D3E25" w:rsidRPr="003D3E25" w:rsidRDefault="003D3E25" w:rsidP="003D3E25">
            <w:pPr>
              <w:spacing w:beforeLines="40" w:before="96" w:afterLines="40" w:after="96"/>
              <w:rPr>
                <w:rFonts w:ascii="Calibri" w:hAnsi="Calibri" w:cs="Calibri"/>
                <w:b/>
                <w:bCs/>
              </w:rPr>
            </w:pPr>
            <w:r w:rsidRPr="003D3E25">
              <w:rPr>
                <w:rFonts w:ascii="Calibri" w:hAnsi="Calibri" w:cs="Calibri"/>
                <w:b/>
                <w:bCs/>
              </w:rPr>
              <w:t>1</w:t>
            </w:r>
          </w:p>
        </w:tc>
        <w:tc>
          <w:tcPr>
            <w:tcW w:w="8454" w:type="dxa"/>
          </w:tcPr>
          <w:p w14:paraId="0D8F3F41" w14:textId="2A1AB1CA" w:rsidR="003D3E25" w:rsidRDefault="003D3E25" w:rsidP="003D3E25">
            <w:pPr>
              <w:spacing w:beforeLines="40" w:before="96" w:afterLines="40" w:after="96"/>
              <w:rPr>
                <w:rFonts w:ascii="Calibri" w:hAnsi="Calibri" w:cs="Calibri"/>
              </w:rPr>
            </w:pPr>
            <w:r w:rsidRPr="003D3E25">
              <w:rPr>
                <w:rFonts w:ascii="Calibri" w:hAnsi="Calibri" w:cs="Calibri"/>
              </w:rPr>
              <w:t>Consider how you might apply the notions of object biography, biographical object and object itinerary to this object</w:t>
            </w:r>
            <w:r>
              <w:rPr>
                <w:rFonts w:ascii="Calibri" w:hAnsi="Calibri" w:cs="Calibri"/>
              </w:rPr>
              <w:t xml:space="preserve">. </w:t>
            </w:r>
          </w:p>
        </w:tc>
      </w:tr>
      <w:tr w:rsidR="003D3E25" w14:paraId="39110F79" w14:textId="77777777" w:rsidTr="003D3E25">
        <w:tc>
          <w:tcPr>
            <w:tcW w:w="562" w:type="dxa"/>
            <w:shd w:val="clear" w:color="auto" w:fill="33CCCC"/>
          </w:tcPr>
          <w:p w14:paraId="1F96F552" w14:textId="6AED029A" w:rsidR="003D3E25" w:rsidRPr="003D3E25" w:rsidRDefault="003D3E25" w:rsidP="003D3E25">
            <w:pPr>
              <w:spacing w:beforeLines="40" w:before="96" w:afterLines="40" w:after="96"/>
              <w:rPr>
                <w:rFonts w:ascii="Calibri" w:hAnsi="Calibri" w:cs="Calibri"/>
                <w:b/>
                <w:bCs/>
              </w:rPr>
            </w:pPr>
            <w:r w:rsidRPr="003D3E25">
              <w:rPr>
                <w:rFonts w:ascii="Calibri" w:hAnsi="Calibri" w:cs="Calibri"/>
                <w:b/>
                <w:bCs/>
              </w:rPr>
              <w:t>2</w:t>
            </w:r>
          </w:p>
        </w:tc>
        <w:tc>
          <w:tcPr>
            <w:tcW w:w="8454" w:type="dxa"/>
          </w:tcPr>
          <w:p w14:paraId="7D4E1F3B" w14:textId="5E1F2DCE" w:rsidR="003D3E25" w:rsidRDefault="003D3E25" w:rsidP="003D3E25">
            <w:pPr>
              <w:spacing w:beforeLines="40" w:before="96" w:afterLines="40" w:after="96"/>
              <w:rPr>
                <w:rFonts w:ascii="Calibri" w:hAnsi="Calibri" w:cs="Calibri"/>
              </w:rPr>
            </w:pPr>
            <w:r w:rsidRPr="003D3E25">
              <w:rPr>
                <w:rFonts w:ascii="Calibri" w:hAnsi="Calibri" w:cs="Calibri"/>
              </w:rPr>
              <w:t>How useful are these concepts for exploring how objects are socialised?</w:t>
            </w:r>
          </w:p>
        </w:tc>
      </w:tr>
      <w:tr w:rsidR="003D3E25" w14:paraId="0051CF56" w14:textId="77777777" w:rsidTr="003D3E25">
        <w:tc>
          <w:tcPr>
            <w:tcW w:w="562" w:type="dxa"/>
            <w:shd w:val="clear" w:color="auto" w:fill="33CCCC"/>
          </w:tcPr>
          <w:p w14:paraId="624B1FF0" w14:textId="2189D03F" w:rsidR="003D3E25" w:rsidRPr="003D3E25" w:rsidRDefault="003D3E25" w:rsidP="003D3E25">
            <w:pPr>
              <w:spacing w:beforeLines="40" w:before="96" w:afterLines="40" w:after="96"/>
              <w:rPr>
                <w:rFonts w:ascii="Calibri" w:hAnsi="Calibri" w:cs="Calibri"/>
                <w:b/>
                <w:bCs/>
              </w:rPr>
            </w:pPr>
            <w:r w:rsidRPr="003D3E25">
              <w:rPr>
                <w:rFonts w:ascii="Calibri" w:hAnsi="Calibri" w:cs="Calibri"/>
                <w:b/>
                <w:bCs/>
              </w:rPr>
              <w:t>3</w:t>
            </w:r>
          </w:p>
        </w:tc>
        <w:tc>
          <w:tcPr>
            <w:tcW w:w="8454" w:type="dxa"/>
          </w:tcPr>
          <w:p w14:paraId="77151EF7" w14:textId="5D23525F" w:rsidR="003D3E25" w:rsidRPr="003D3E25" w:rsidRDefault="003D3E25" w:rsidP="003D3E25">
            <w:pPr>
              <w:spacing w:beforeLines="40" w:before="96" w:afterLines="40" w:after="96"/>
              <w:rPr>
                <w:rFonts w:ascii="Calibri" w:hAnsi="Calibri" w:cs="Calibri"/>
              </w:rPr>
            </w:pPr>
            <w:r>
              <w:rPr>
                <w:rFonts w:ascii="Calibri" w:hAnsi="Calibri" w:cs="Calibri"/>
              </w:rPr>
              <w:t>Do any of these approaches work better for your object and why?</w:t>
            </w:r>
          </w:p>
        </w:tc>
      </w:tr>
      <w:tr w:rsidR="003D3E25" w14:paraId="4EDAD878" w14:textId="77777777" w:rsidTr="003D3E25">
        <w:tc>
          <w:tcPr>
            <w:tcW w:w="562" w:type="dxa"/>
            <w:shd w:val="clear" w:color="auto" w:fill="33CCCC"/>
          </w:tcPr>
          <w:p w14:paraId="35437F30" w14:textId="3F06D5EE" w:rsidR="003D3E25" w:rsidRPr="003D3E25" w:rsidRDefault="003D3E25" w:rsidP="003D3E25">
            <w:pPr>
              <w:spacing w:beforeLines="40" w:before="96" w:afterLines="40" w:after="96"/>
              <w:rPr>
                <w:rFonts w:ascii="Calibri" w:hAnsi="Calibri" w:cs="Calibri"/>
                <w:b/>
                <w:bCs/>
              </w:rPr>
            </w:pPr>
            <w:r w:rsidRPr="003D3E25">
              <w:rPr>
                <w:rFonts w:ascii="Calibri" w:hAnsi="Calibri" w:cs="Calibri"/>
                <w:b/>
                <w:bCs/>
              </w:rPr>
              <w:t>4</w:t>
            </w:r>
          </w:p>
        </w:tc>
        <w:tc>
          <w:tcPr>
            <w:tcW w:w="8454" w:type="dxa"/>
          </w:tcPr>
          <w:p w14:paraId="79731433" w14:textId="30B3FBC3" w:rsidR="003D3E25" w:rsidRPr="003D3E25" w:rsidRDefault="003D3E25" w:rsidP="003D3E25">
            <w:pPr>
              <w:spacing w:beforeLines="40" w:before="96" w:afterLines="40" w:after="96"/>
              <w:rPr>
                <w:rFonts w:ascii="Calibri" w:hAnsi="Calibri" w:cs="Calibri"/>
              </w:rPr>
            </w:pPr>
            <w:r w:rsidRPr="003D3E25">
              <w:rPr>
                <w:rFonts w:ascii="Calibri" w:hAnsi="Calibri" w:cs="Calibri"/>
              </w:rPr>
              <w:t>Does it help us further categorise objects beyond alienable/inalienable or gift/commodity?</w:t>
            </w:r>
          </w:p>
        </w:tc>
      </w:tr>
    </w:tbl>
    <w:p w14:paraId="03422280" w14:textId="77AFBBAC" w:rsidR="00FC31C8" w:rsidRPr="003D3E25" w:rsidRDefault="00FC31C8" w:rsidP="00FC31C8">
      <w:pPr>
        <w:rPr>
          <w:rFonts w:ascii="Calibri" w:hAnsi="Calibri" w:cs="Calibri"/>
        </w:rPr>
      </w:pPr>
    </w:p>
    <w:sectPr w:rsidR="00FC31C8" w:rsidRPr="003D3E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1E3B4C"/>
    <w:multiLevelType w:val="hybridMultilevel"/>
    <w:tmpl w:val="44D6550E"/>
    <w:lvl w:ilvl="0" w:tplc="7CF2C8CC">
      <w:start w:val="1"/>
      <w:numFmt w:val="bullet"/>
      <w:lvlText w:val=""/>
      <w:lvlJc w:val="left"/>
      <w:pPr>
        <w:tabs>
          <w:tab w:val="num" w:pos="720"/>
        </w:tabs>
        <w:ind w:left="720" w:hanging="360"/>
      </w:pPr>
      <w:rPr>
        <w:rFonts w:ascii="Wingdings" w:hAnsi="Wingdings" w:hint="default"/>
      </w:rPr>
    </w:lvl>
    <w:lvl w:ilvl="1" w:tplc="DFF2D67C">
      <w:start w:val="1"/>
      <w:numFmt w:val="bullet"/>
      <w:lvlText w:val=""/>
      <w:lvlJc w:val="left"/>
      <w:pPr>
        <w:tabs>
          <w:tab w:val="num" w:pos="1440"/>
        </w:tabs>
        <w:ind w:left="1440" w:hanging="360"/>
      </w:pPr>
      <w:rPr>
        <w:rFonts w:ascii="Wingdings" w:hAnsi="Wingdings" w:hint="default"/>
      </w:rPr>
    </w:lvl>
    <w:lvl w:ilvl="2" w:tplc="F5B4B2C0" w:tentative="1">
      <w:start w:val="1"/>
      <w:numFmt w:val="bullet"/>
      <w:lvlText w:val=""/>
      <w:lvlJc w:val="left"/>
      <w:pPr>
        <w:tabs>
          <w:tab w:val="num" w:pos="2160"/>
        </w:tabs>
        <w:ind w:left="2160" w:hanging="360"/>
      </w:pPr>
      <w:rPr>
        <w:rFonts w:ascii="Wingdings" w:hAnsi="Wingdings" w:hint="default"/>
      </w:rPr>
    </w:lvl>
    <w:lvl w:ilvl="3" w:tplc="173CB886" w:tentative="1">
      <w:start w:val="1"/>
      <w:numFmt w:val="bullet"/>
      <w:lvlText w:val=""/>
      <w:lvlJc w:val="left"/>
      <w:pPr>
        <w:tabs>
          <w:tab w:val="num" w:pos="2880"/>
        </w:tabs>
        <w:ind w:left="2880" w:hanging="360"/>
      </w:pPr>
      <w:rPr>
        <w:rFonts w:ascii="Wingdings" w:hAnsi="Wingdings" w:hint="default"/>
      </w:rPr>
    </w:lvl>
    <w:lvl w:ilvl="4" w:tplc="60A4090E" w:tentative="1">
      <w:start w:val="1"/>
      <w:numFmt w:val="bullet"/>
      <w:lvlText w:val=""/>
      <w:lvlJc w:val="left"/>
      <w:pPr>
        <w:tabs>
          <w:tab w:val="num" w:pos="3600"/>
        </w:tabs>
        <w:ind w:left="3600" w:hanging="360"/>
      </w:pPr>
      <w:rPr>
        <w:rFonts w:ascii="Wingdings" w:hAnsi="Wingdings" w:hint="default"/>
      </w:rPr>
    </w:lvl>
    <w:lvl w:ilvl="5" w:tplc="AA2846A2" w:tentative="1">
      <w:start w:val="1"/>
      <w:numFmt w:val="bullet"/>
      <w:lvlText w:val=""/>
      <w:lvlJc w:val="left"/>
      <w:pPr>
        <w:tabs>
          <w:tab w:val="num" w:pos="4320"/>
        </w:tabs>
        <w:ind w:left="4320" w:hanging="360"/>
      </w:pPr>
      <w:rPr>
        <w:rFonts w:ascii="Wingdings" w:hAnsi="Wingdings" w:hint="default"/>
      </w:rPr>
    </w:lvl>
    <w:lvl w:ilvl="6" w:tplc="03122640" w:tentative="1">
      <w:start w:val="1"/>
      <w:numFmt w:val="bullet"/>
      <w:lvlText w:val=""/>
      <w:lvlJc w:val="left"/>
      <w:pPr>
        <w:tabs>
          <w:tab w:val="num" w:pos="5040"/>
        </w:tabs>
        <w:ind w:left="5040" w:hanging="360"/>
      </w:pPr>
      <w:rPr>
        <w:rFonts w:ascii="Wingdings" w:hAnsi="Wingdings" w:hint="default"/>
      </w:rPr>
    </w:lvl>
    <w:lvl w:ilvl="7" w:tplc="B5F2AFAC" w:tentative="1">
      <w:start w:val="1"/>
      <w:numFmt w:val="bullet"/>
      <w:lvlText w:val=""/>
      <w:lvlJc w:val="left"/>
      <w:pPr>
        <w:tabs>
          <w:tab w:val="num" w:pos="5760"/>
        </w:tabs>
        <w:ind w:left="5760" w:hanging="360"/>
      </w:pPr>
      <w:rPr>
        <w:rFonts w:ascii="Wingdings" w:hAnsi="Wingdings" w:hint="default"/>
      </w:rPr>
    </w:lvl>
    <w:lvl w:ilvl="8" w:tplc="EF203B7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647AB"/>
    <w:multiLevelType w:val="hybridMultilevel"/>
    <w:tmpl w:val="4B02F2C8"/>
    <w:lvl w:ilvl="0" w:tplc="732487FE">
      <w:start w:val="1"/>
      <w:numFmt w:val="bullet"/>
      <w:lvlText w:val=""/>
      <w:lvlJc w:val="left"/>
      <w:pPr>
        <w:tabs>
          <w:tab w:val="num" w:pos="720"/>
        </w:tabs>
        <w:ind w:left="720" w:hanging="360"/>
      </w:pPr>
      <w:rPr>
        <w:rFonts w:ascii="Wingdings" w:hAnsi="Wingdings" w:hint="default"/>
      </w:rPr>
    </w:lvl>
    <w:lvl w:ilvl="1" w:tplc="B8C8511E">
      <w:start w:val="1"/>
      <w:numFmt w:val="bullet"/>
      <w:lvlText w:val=""/>
      <w:lvlJc w:val="left"/>
      <w:pPr>
        <w:tabs>
          <w:tab w:val="num" w:pos="1440"/>
        </w:tabs>
        <w:ind w:left="1440" w:hanging="360"/>
      </w:pPr>
      <w:rPr>
        <w:rFonts w:ascii="Wingdings" w:hAnsi="Wingdings" w:hint="default"/>
      </w:rPr>
    </w:lvl>
    <w:lvl w:ilvl="2" w:tplc="5EB0E06A" w:tentative="1">
      <w:start w:val="1"/>
      <w:numFmt w:val="bullet"/>
      <w:lvlText w:val=""/>
      <w:lvlJc w:val="left"/>
      <w:pPr>
        <w:tabs>
          <w:tab w:val="num" w:pos="2160"/>
        </w:tabs>
        <w:ind w:left="2160" w:hanging="360"/>
      </w:pPr>
      <w:rPr>
        <w:rFonts w:ascii="Wingdings" w:hAnsi="Wingdings" w:hint="default"/>
      </w:rPr>
    </w:lvl>
    <w:lvl w:ilvl="3" w:tplc="CFE64D34" w:tentative="1">
      <w:start w:val="1"/>
      <w:numFmt w:val="bullet"/>
      <w:lvlText w:val=""/>
      <w:lvlJc w:val="left"/>
      <w:pPr>
        <w:tabs>
          <w:tab w:val="num" w:pos="2880"/>
        </w:tabs>
        <w:ind w:left="2880" w:hanging="360"/>
      </w:pPr>
      <w:rPr>
        <w:rFonts w:ascii="Wingdings" w:hAnsi="Wingdings" w:hint="default"/>
      </w:rPr>
    </w:lvl>
    <w:lvl w:ilvl="4" w:tplc="59F4668E" w:tentative="1">
      <w:start w:val="1"/>
      <w:numFmt w:val="bullet"/>
      <w:lvlText w:val=""/>
      <w:lvlJc w:val="left"/>
      <w:pPr>
        <w:tabs>
          <w:tab w:val="num" w:pos="3600"/>
        </w:tabs>
        <w:ind w:left="3600" w:hanging="360"/>
      </w:pPr>
      <w:rPr>
        <w:rFonts w:ascii="Wingdings" w:hAnsi="Wingdings" w:hint="default"/>
      </w:rPr>
    </w:lvl>
    <w:lvl w:ilvl="5" w:tplc="BDE23822" w:tentative="1">
      <w:start w:val="1"/>
      <w:numFmt w:val="bullet"/>
      <w:lvlText w:val=""/>
      <w:lvlJc w:val="left"/>
      <w:pPr>
        <w:tabs>
          <w:tab w:val="num" w:pos="4320"/>
        </w:tabs>
        <w:ind w:left="4320" w:hanging="360"/>
      </w:pPr>
      <w:rPr>
        <w:rFonts w:ascii="Wingdings" w:hAnsi="Wingdings" w:hint="default"/>
      </w:rPr>
    </w:lvl>
    <w:lvl w:ilvl="6" w:tplc="02B4364E" w:tentative="1">
      <w:start w:val="1"/>
      <w:numFmt w:val="bullet"/>
      <w:lvlText w:val=""/>
      <w:lvlJc w:val="left"/>
      <w:pPr>
        <w:tabs>
          <w:tab w:val="num" w:pos="5040"/>
        </w:tabs>
        <w:ind w:left="5040" w:hanging="360"/>
      </w:pPr>
      <w:rPr>
        <w:rFonts w:ascii="Wingdings" w:hAnsi="Wingdings" w:hint="default"/>
      </w:rPr>
    </w:lvl>
    <w:lvl w:ilvl="7" w:tplc="CDDC2B5E" w:tentative="1">
      <w:start w:val="1"/>
      <w:numFmt w:val="bullet"/>
      <w:lvlText w:val=""/>
      <w:lvlJc w:val="left"/>
      <w:pPr>
        <w:tabs>
          <w:tab w:val="num" w:pos="5760"/>
        </w:tabs>
        <w:ind w:left="5760" w:hanging="360"/>
      </w:pPr>
      <w:rPr>
        <w:rFonts w:ascii="Wingdings" w:hAnsi="Wingdings" w:hint="default"/>
      </w:rPr>
    </w:lvl>
    <w:lvl w:ilvl="8" w:tplc="4398A6F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7F475EE"/>
    <w:multiLevelType w:val="hybridMultilevel"/>
    <w:tmpl w:val="F0F6AF1E"/>
    <w:lvl w:ilvl="0" w:tplc="B23AC97A">
      <w:start w:val="1"/>
      <w:numFmt w:val="bullet"/>
      <w:lvlText w:val=""/>
      <w:lvlJc w:val="left"/>
      <w:pPr>
        <w:tabs>
          <w:tab w:val="num" w:pos="720"/>
        </w:tabs>
        <w:ind w:left="720" w:hanging="360"/>
      </w:pPr>
      <w:rPr>
        <w:rFonts w:ascii="Wingdings 2" w:hAnsi="Wingdings 2" w:hint="default"/>
      </w:rPr>
    </w:lvl>
    <w:lvl w:ilvl="1" w:tplc="F58E1224" w:tentative="1">
      <w:start w:val="1"/>
      <w:numFmt w:val="bullet"/>
      <w:lvlText w:val=""/>
      <w:lvlJc w:val="left"/>
      <w:pPr>
        <w:tabs>
          <w:tab w:val="num" w:pos="1440"/>
        </w:tabs>
        <w:ind w:left="1440" w:hanging="360"/>
      </w:pPr>
      <w:rPr>
        <w:rFonts w:ascii="Wingdings 2" w:hAnsi="Wingdings 2" w:hint="default"/>
      </w:rPr>
    </w:lvl>
    <w:lvl w:ilvl="2" w:tplc="4A040F6C" w:tentative="1">
      <w:start w:val="1"/>
      <w:numFmt w:val="bullet"/>
      <w:lvlText w:val=""/>
      <w:lvlJc w:val="left"/>
      <w:pPr>
        <w:tabs>
          <w:tab w:val="num" w:pos="2160"/>
        </w:tabs>
        <w:ind w:left="2160" w:hanging="360"/>
      </w:pPr>
      <w:rPr>
        <w:rFonts w:ascii="Wingdings 2" w:hAnsi="Wingdings 2" w:hint="default"/>
      </w:rPr>
    </w:lvl>
    <w:lvl w:ilvl="3" w:tplc="F9920B38" w:tentative="1">
      <w:start w:val="1"/>
      <w:numFmt w:val="bullet"/>
      <w:lvlText w:val=""/>
      <w:lvlJc w:val="left"/>
      <w:pPr>
        <w:tabs>
          <w:tab w:val="num" w:pos="2880"/>
        </w:tabs>
        <w:ind w:left="2880" w:hanging="360"/>
      </w:pPr>
      <w:rPr>
        <w:rFonts w:ascii="Wingdings 2" w:hAnsi="Wingdings 2" w:hint="default"/>
      </w:rPr>
    </w:lvl>
    <w:lvl w:ilvl="4" w:tplc="A2A875F6" w:tentative="1">
      <w:start w:val="1"/>
      <w:numFmt w:val="bullet"/>
      <w:lvlText w:val=""/>
      <w:lvlJc w:val="left"/>
      <w:pPr>
        <w:tabs>
          <w:tab w:val="num" w:pos="3600"/>
        </w:tabs>
        <w:ind w:left="3600" w:hanging="360"/>
      </w:pPr>
      <w:rPr>
        <w:rFonts w:ascii="Wingdings 2" w:hAnsi="Wingdings 2" w:hint="default"/>
      </w:rPr>
    </w:lvl>
    <w:lvl w:ilvl="5" w:tplc="D86E8F40" w:tentative="1">
      <w:start w:val="1"/>
      <w:numFmt w:val="bullet"/>
      <w:lvlText w:val=""/>
      <w:lvlJc w:val="left"/>
      <w:pPr>
        <w:tabs>
          <w:tab w:val="num" w:pos="4320"/>
        </w:tabs>
        <w:ind w:left="4320" w:hanging="360"/>
      </w:pPr>
      <w:rPr>
        <w:rFonts w:ascii="Wingdings 2" w:hAnsi="Wingdings 2" w:hint="default"/>
      </w:rPr>
    </w:lvl>
    <w:lvl w:ilvl="6" w:tplc="18D4D246" w:tentative="1">
      <w:start w:val="1"/>
      <w:numFmt w:val="bullet"/>
      <w:lvlText w:val=""/>
      <w:lvlJc w:val="left"/>
      <w:pPr>
        <w:tabs>
          <w:tab w:val="num" w:pos="5040"/>
        </w:tabs>
        <w:ind w:left="5040" w:hanging="360"/>
      </w:pPr>
      <w:rPr>
        <w:rFonts w:ascii="Wingdings 2" w:hAnsi="Wingdings 2" w:hint="default"/>
      </w:rPr>
    </w:lvl>
    <w:lvl w:ilvl="7" w:tplc="4B64CECA" w:tentative="1">
      <w:start w:val="1"/>
      <w:numFmt w:val="bullet"/>
      <w:lvlText w:val=""/>
      <w:lvlJc w:val="left"/>
      <w:pPr>
        <w:tabs>
          <w:tab w:val="num" w:pos="5760"/>
        </w:tabs>
        <w:ind w:left="5760" w:hanging="360"/>
      </w:pPr>
      <w:rPr>
        <w:rFonts w:ascii="Wingdings 2" w:hAnsi="Wingdings 2" w:hint="default"/>
      </w:rPr>
    </w:lvl>
    <w:lvl w:ilvl="8" w:tplc="9DB0CF54"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5CE5058E"/>
    <w:multiLevelType w:val="hybridMultilevel"/>
    <w:tmpl w:val="CF9E66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51810813">
    <w:abstractNumId w:val="1"/>
  </w:num>
  <w:num w:numId="2" w16cid:durableId="1916089155">
    <w:abstractNumId w:val="0"/>
  </w:num>
  <w:num w:numId="3" w16cid:durableId="754936356">
    <w:abstractNumId w:val="2"/>
  </w:num>
  <w:num w:numId="4" w16cid:durableId="6164473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31C8"/>
    <w:rsid w:val="00351FA1"/>
    <w:rsid w:val="003824AB"/>
    <w:rsid w:val="003D3E25"/>
    <w:rsid w:val="005B0C5B"/>
    <w:rsid w:val="006912BA"/>
    <w:rsid w:val="00761527"/>
    <w:rsid w:val="00CF1529"/>
    <w:rsid w:val="00D56B8C"/>
    <w:rsid w:val="00FC31C8"/>
    <w:rsid w:val="00FC3E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652F2"/>
  <w15:chartTrackingRefBased/>
  <w15:docId w15:val="{5F1FC8C8-8023-4283-9AA9-AC7D75E99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2"/>
        <w:lang w:val="en-GB" w:eastAsia="en-US" w:bidi="ar-SA"/>
      </w:rPr>
    </w:rPrDefault>
    <w:pPrDefault>
      <w:pPr>
        <w:spacing w:after="12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31C8"/>
    <w:pPr>
      <w:spacing w:after="0" w:line="240" w:lineRule="auto"/>
      <w:ind w:left="720"/>
      <w:contextualSpacing/>
    </w:pPr>
    <w:rPr>
      <w:rFonts w:eastAsia="Times New Roman"/>
      <w:szCs w:val="24"/>
      <w:lang w:eastAsia="en-GB"/>
    </w:rPr>
  </w:style>
  <w:style w:type="paragraph" w:styleId="BalloonText">
    <w:name w:val="Balloon Text"/>
    <w:basedOn w:val="Normal"/>
    <w:link w:val="BalloonTextChar"/>
    <w:uiPriority w:val="99"/>
    <w:semiHidden/>
    <w:unhideWhenUsed/>
    <w:rsid w:val="003824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24AB"/>
    <w:rPr>
      <w:rFonts w:ascii="Segoe UI" w:hAnsi="Segoe UI" w:cs="Segoe UI"/>
      <w:sz w:val="18"/>
      <w:szCs w:val="18"/>
    </w:rPr>
  </w:style>
  <w:style w:type="table" w:styleId="TableGrid">
    <w:name w:val="Table Grid"/>
    <w:basedOn w:val="TableNormal"/>
    <w:uiPriority w:val="39"/>
    <w:rsid w:val="003D3E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7911457">
      <w:bodyDiv w:val="1"/>
      <w:marLeft w:val="0"/>
      <w:marRight w:val="0"/>
      <w:marTop w:val="0"/>
      <w:marBottom w:val="0"/>
      <w:divBdr>
        <w:top w:val="none" w:sz="0" w:space="0" w:color="auto"/>
        <w:left w:val="none" w:sz="0" w:space="0" w:color="auto"/>
        <w:bottom w:val="none" w:sz="0" w:space="0" w:color="auto"/>
        <w:right w:val="none" w:sz="0" w:space="0" w:color="auto"/>
      </w:divBdr>
      <w:divsChild>
        <w:div w:id="265427181">
          <w:marLeft w:val="691"/>
          <w:marRight w:val="0"/>
          <w:marTop w:val="0"/>
          <w:marBottom w:val="0"/>
          <w:divBdr>
            <w:top w:val="none" w:sz="0" w:space="0" w:color="auto"/>
            <w:left w:val="none" w:sz="0" w:space="0" w:color="auto"/>
            <w:bottom w:val="none" w:sz="0" w:space="0" w:color="auto"/>
            <w:right w:val="none" w:sz="0" w:space="0" w:color="auto"/>
          </w:divBdr>
        </w:div>
      </w:divsChild>
    </w:div>
    <w:div w:id="1841197563">
      <w:bodyDiv w:val="1"/>
      <w:marLeft w:val="0"/>
      <w:marRight w:val="0"/>
      <w:marTop w:val="0"/>
      <w:marBottom w:val="0"/>
      <w:divBdr>
        <w:top w:val="none" w:sz="0" w:space="0" w:color="auto"/>
        <w:left w:val="none" w:sz="0" w:space="0" w:color="auto"/>
        <w:bottom w:val="none" w:sz="0" w:space="0" w:color="auto"/>
        <w:right w:val="none" w:sz="0" w:space="0" w:color="auto"/>
      </w:divBdr>
      <w:divsChild>
        <w:div w:id="183903094">
          <w:marLeft w:val="1152"/>
          <w:marRight w:val="0"/>
          <w:marTop w:val="115"/>
          <w:marBottom w:val="0"/>
          <w:divBdr>
            <w:top w:val="none" w:sz="0" w:space="0" w:color="auto"/>
            <w:left w:val="none" w:sz="0" w:space="0" w:color="auto"/>
            <w:bottom w:val="none" w:sz="0" w:space="0" w:color="auto"/>
            <w:right w:val="none" w:sz="0" w:space="0" w:color="auto"/>
          </w:divBdr>
        </w:div>
      </w:divsChild>
    </w:div>
    <w:div w:id="2005401953">
      <w:bodyDiv w:val="1"/>
      <w:marLeft w:val="0"/>
      <w:marRight w:val="0"/>
      <w:marTop w:val="0"/>
      <w:marBottom w:val="0"/>
      <w:divBdr>
        <w:top w:val="none" w:sz="0" w:space="0" w:color="auto"/>
        <w:left w:val="none" w:sz="0" w:space="0" w:color="auto"/>
        <w:bottom w:val="none" w:sz="0" w:space="0" w:color="auto"/>
        <w:right w:val="none" w:sz="0" w:space="0" w:color="auto"/>
      </w:divBdr>
      <w:divsChild>
        <w:div w:id="29376246">
          <w:marLeft w:val="1152"/>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333</Words>
  <Characters>1899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Steel</dc:creator>
  <cp:keywords/>
  <dc:description/>
  <cp:lastModifiedBy>Louise Steel</cp:lastModifiedBy>
  <cp:revision>4</cp:revision>
  <cp:lastPrinted>2019-10-31T17:11:00Z</cp:lastPrinted>
  <dcterms:created xsi:type="dcterms:W3CDTF">2019-10-31T13:42:00Z</dcterms:created>
  <dcterms:modified xsi:type="dcterms:W3CDTF">2025-09-08T13:56:00Z</dcterms:modified>
</cp:coreProperties>
</file>