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C44DA" w14:textId="0264DBA3" w:rsidR="00405BC2" w:rsidRDefault="00405BC2" w:rsidP="00405BC2">
      <w:pPr>
        <w:pStyle w:val="Title"/>
        <w:rPr>
          <w:rFonts w:eastAsia="Aptos"/>
        </w:rPr>
      </w:pPr>
      <w:r w:rsidRPr="00405BC2">
        <w:rPr>
          <w:rFonts w:eastAsia="Aptos"/>
        </w:rPr>
        <w:t>Marketing Environment Analysis:</w:t>
      </w:r>
      <w:r>
        <w:rPr>
          <w:rFonts w:eastAsia="Aptos"/>
        </w:rPr>
        <w:t xml:space="preserve"> </w:t>
      </w:r>
      <w:r w:rsidRPr="00405BC2">
        <w:rPr>
          <w:rFonts w:eastAsia="Aptos"/>
        </w:rPr>
        <w:t>Tata Steel</w:t>
      </w:r>
      <w:r w:rsidRPr="00405BC2">
        <w:rPr>
          <w:rFonts w:eastAsia="Aptos"/>
        </w:rPr>
        <w:br/>
      </w:r>
    </w:p>
    <w:p w14:paraId="665F7468" w14:textId="5C9950C4" w:rsidR="00405BC2" w:rsidRPr="00405BC2" w:rsidRDefault="00405BC2" w:rsidP="00405BC2">
      <w:pPr>
        <w:spacing w:line="360" w:lineRule="auto"/>
        <w:rPr>
          <w:rFonts w:ascii="Arial" w:eastAsia="Aptos" w:hAnsi="Arial" w:cs="Arial"/>
        </w:rPr>
      </w:pPr>
      <w:r w:rsidRPr="00405BC2">
        <w:rPr>
          <w:rFonts w:ascii="Arial" w:eastAsia="Aptos" w:hAnsi="Arial" w:cs="Arial"/>
        </w:rPr>
        <w:t>Assessment Component 1</w:t>
      </w:r>
    </w:p>
    <w:p w14:paraId="770194AB" w14:textId="0FBEA6F5" w:rsidR="00405BC2" w:rsidRPr="00405BC2" w:rsidRDefault="00405BC2" w:rsidP="00405BC2">
      <w:pPr>
        <w:spacing w:line="360" w:lineRule="auto"/>
        <w:rPr>
          <w:rFonts w:ascii="Arial" w:eastAsia="Aptos" w:hAnsi="Arial" w:cs="Arial"/>
        </w:rPr>
      </w:pPr>
      <w:r w:rsidRPr="00405BC2">
        <w:rPr>
          <w:rFonts w:ascii="Arial" w:eastAsia="Aptos" w:hAnsi="Arial" w:cs="Arial"/>
        </w:rPr>
        <w:t>Programme: Master of Business Administration</w:t>
      </w:r>
      <w:r w:rsidRPr="00405BC2">
        <w:rPr>
          <w:rFonts w:ascii="Arial" w:eastAsia="Aptos" w:hAnsi="Arial" w:cs="Arial"/>
        </w:rPr>
        <w:br/>
        <w:t>Module: Marketing Management</w:t>
      </w:r>
      <w:r w:rsidRPr="00405BC2">
        <w:rPr>
          <w:rFonts w:ascii="Arial" w:eastAsia="Aptos" w:hAnsi="Arial" w:cs="Arial"/>
        </w:rPr>
        <w:br/>
        <w:t>Module code: LCMB7024</w:t>
      </w:r>
      <w:r w:rsidRPr="00405BC2">
        <w:rPr>
          <w:rFonts w:ascii="Arial" w:eastAsia="Aptos" w:hAnsi="Arial" w:cs="Arial"/>
        </w:rPr>
        <w:br/>
        <w:t xml:space="preserve">Student ID: </w:t>
      </w:r>
      <w:r>
        <w:rPr>
          <w:rFonts w:ascii="Arial" w:eastAsia="Aptos" w:hAnsi="Arial" w:cs="Arial"/>
        </w:rPr>
        <w:t>Juwayriyah Bibi 2315837</w:t>
      </w:r>
      <w:r w:rsidRPr="00405BC2">
        <w:rPr>
          <w:rFonts w:ascii="Arial" w:eastAsia="Aptos" w:hAnsi="Arial" w:cs="Arial"/>
        </w:rPr>
        <w:br/>
        <w:t xml:space="preserve">Lecturer: Taonga Kaonga </w:t>
      </w:r>
      <w:proofErr w:type="spellStart"/>
      <w:r w:rsidRPr="00405BC2">
        <w:rPr>
          <w:rFonts w:ascii="Arial" w:eastAsia="Aptos" w:hAnsi="Arial" w:cs="Arial"/>
        </w:rPr>
        <w:t>Sobere-Snithers</w:t>
      </w:r>
      <w:proofErr w:type="spellEnd"/>
      <w:r w:rsidRPr="00405BC2">
        <w:rPr>
          <w:rFonts w:ascii="Arial" w:eastAsia="Aptos" w:hAnsi="Arial" w:cs="Arial"/>
        </w:rPr>
        <w:br/>
        <w:t>Submission date: 22 October 2026</w:t>
      </w:r>
      <w:r w:rsidRPr="00405BC2">
        <w:rPr>
          <w:rFonts w:ascii="Arial" w:eastAsia="Aptos" w:hAnsi="Arial" w:cs="Arial"/>
        </w:rPr>
        <w:br/>
        <w:t xml:space="preserve">Word count: </w:t>
      </w:r>
      <w:r w:rsidR="00BB11BD">
        <w:rPr>
          <w:rFonts w:ascii="Arial" w:eastAsia="Aptos" w:hAnsi="Arial" w:cs="Arial"/>
        </w:rPr>
        <w:t>2714</w:t>
      </w:r>
    </w:p>
    <w:p w14:paraId="1F8F24BD" w14:textId="77777777" w:rsidR="003547E6" w:rsidRDefault="003547E6" w:rsidP="00ED4D73">
      <w:pPr>
        <w:spacing w:line="360" w:lineRule="auto"/>
        <w:jc w:val="both"/>
        <w:rPr>
          <w:rFonts w:ascii="Arial" w:eastAsia="Aptos" w:hAnsi="Arial" w:cs="Arial"/>
          <w:b/>
          <w:bCs/>
        </w:rPr>
      </w:pPr>
    </w:p>
    <w:p w14:paraId="2E457994" w14:textId="77777777" w:rsidR="00F62950" w:rsidRDefault="00F62950" w:rsidP="00ED4D73">
      <w:pPr>
        <w:spacing w:line="360" w:lineRule="auto"/>
        <w:jc w:val="both"/>
        <w:rPr>
          <w:rFonts w:ascii="Arial" w:eastAsia="Aptos" w:hAnsi="Arial" w:cs="Arial"/>
          <w:b/>
          <w:bCs/>
        </w:rPr>
      </w:pPr>
    </w:p>
    <w:p w14:paraId="0ED1631B" w14:textId="77777777" w:rsidR="00F62950" w:rsidRDefault="00F62950" w:rsidP="00ED4D73">
      <w:pPr>
        <w:spacing w:line="360" w:lineRule="auto"/>
        <w:jc w:val="both"/>
        <w:rPr>
          <w:rFonts w:ascii="Arial" w:eastAsia="Aptos" w:hAnsi="Arial" w:cs="Arial"/>
          <w:b/>
          <w:bCs/>
        </w:rPr>
      </w:pPr>
    </w:p>
    <w:p w14:paraId="03525132" w14:textId="77777777" w:rsidR="00F62950" w:rsidRDefault="00F62950" w:rsidP="00ED4D73">
      <w:pPr>
        <w:spacing w:line="360" w:lineRule="auto"/>
        <w:jc w:val="both"/>
        <w:rPr>
          <w:rFonts w:ascii="Arial" w:eastAsia="Aptos" w:hAnsi="Arial" w:cs="Arial"/>
          <w:b/>
          <w:bCs/>
        </w:rPr>
      </w:pPr>
    </w:p>
    <w:p w14:paraId="3E782A8D" w14:textId="77777777" w:rsidR="00F62950" w:rsidRDefault="00F62950" w:rsidP="00ED4D73">
      <w:pPr>
        <w:spacing w:line="360" w:lineRule="auto"/>
        <w:jc w:val="both"/>
        <w:rPr>
          <w:rFonts w:ascii="Arial" w:eastAsia="Aptos" w:hAnsi="Arial" w:cs="Arial"/>
          <w:b/>
          <w:bCs/>
        </w:rPr>
      </w:pPr>
    </w:p>
    <w:p w14:paraId="189FC006" w14:textId="77777777" w:rsidR="00F62950" w:rsidRDefault="00F62950" w:rsidP="00ED4D73">
      <w:pPr>
        <w:spacing w:line="360" w:lineRule="auto"/>
        <w:jc w:val="both"/>
        <w:rPr>
          <w:rFonts w:ascii="Arial" w:eastAsia="Aptos" w:hAnsi="Arial" w:cs="Arial"/>
          <w:b/>
          <w:bCs/>
        </w:rPr>
      </w:pPr>
    </w:p>
    <w:p w14:paraId="78E93FFC" w14:textId="77777777" w:rsidR="00F62950" w:rsidRDefault="00F62950" w:rsidP="00ED4D73">
      <w:pPr>
        <w:spacing w:line="360" w:lineRule="auto"/>
        <w:jc w:val="both"/>
        <w:rPr>
          <w:rFonts w:ascii="Arial" w:eastAsia="Aptos" w:hAnsi="Arial" w:cs="Arial"/>
          <w:b/>
          <w:bCs/>
        </w:rPr>
      </w:pPr>
    </w:p>
    <w:p w14:paraId="2A4E78C5" w14:textId="77777777" w:rsidR="00F62950" w:rsidRDefault="00F62950" w:rsidP="00ED4D73">
      <w:pPr>
        <w:spacing w:line="360" w:lineRule="auto"/>
        <w:jc w:val="both"/>
        <w:rPr>
          <w:rFonts w:ascii="Arial" w:eastAsia="Aptos" w:hAnsi="Arial" w:cs="Arial"/>
          <w:b/>
          <w:bCs/>
        </w:rPr>
      </w:pPr>
    </w:p>
    <w:p w14:paraId="702E5534" w14:textId="77777777" w:rsidR="00F62950" w:rsidRDefault="00F62950" w:rsidP="00ED4D73">
      <w:pPr>
        <w:spacing w:line="360" w:lineRule="auto"/>
        <w:jc w:val="both"/>
        <w:rPr>
          <w:rFonts w:ascii="Arial" w:eastAsia="Aptos" w:hAnsi="Arial" w:cs="Arial"/>
          <w:b/>
          <w:bCs/>
        </w:rPr>
      </w:pPr>
    </w:p>
    <w:p w14:paraId="3960E33B" w14:textId="77777777" w:rsidR="00F62950" w:rsidRDefault="00F62950" w:rsidP="00ED4D73">
      <w:pPr>
        <w:spacing w:line="360" w:lineRule="auto"/>
        <w:jc w:val="both"/>
        <w:rPr>
          <w:rFonts w:ascii="Arial" w:eastAsia="Aptos" w:hAnsi="Arial" w:cs="Arial"/>
          <w:b/>
          <w:bCs/>
        </w:rPr>
      </w:pPr>
    </w:p>
    <w:p w14:paraId="1B947ADB" w14:textId="77777777" w:rsidR="00F62950" w:rsidRDefault="00F62950" w:rsidP="00ED4D73">
      <w:pPr>
        <w:spacing w:line="360" w:lineRule="auto"/>
        <w:jc w:val="both"/>
        <w:rPr>
          <w:rFonts w:ascii="Arial" w:eastAsia="Aptos" w:hAnsi="Arial" w:cs="Arial"/>
          <w:b/>
          <w:bCs/>
        </w:rPr>
      </w:pPr>
    </w:p>
    <w:p w14:paraId="08939F17" w14:textId="77777777" w:rsidR="00F62950" w:rsidRDefault="00F62950" w:rsidP="00ED4D73">
      <w:pPr>
        <w:spacing w:line="360" w:lineRule="auto"/>
        <w:jc w:val="both"/>
        <w:rPr>
          <w:rFonts w:ascii="Arial" w:eastAsia="Aptos" w:hAnsi="Arial" w:cs="Arial"/>
          <w:b/>
          <w:bCs/>
        </w:rPr>
      </w:pPr>
    </w:p>
    <w:p w14:paraId="30851186" w14:textId="77777777" w:rsidR="00F62950" w:rsidRDefault="00F62950" w:rsidP="00ED4D73">
      <w:pPr>
        <w:spacing w:line="360" w:lineRule="auto"/>
        <w:jc w:val="both"/>
        <w:rPr>
          <w:rFonts w:ascii="Arial" w:eastAsia="Aptos" w:hAnsi="Arial" w:cs="Arial"/>
          <w:b/>
          <w:bCs/>
        </w:rPr>
      </w:pPr>
    </w:p>
    <w:p w14:paraId="5D1C7E60" w14:textId="77777777" w:rsidR="00F62950" w:rsidRDefault="00F62950" w:rsidP="00ED4D73">
      <w:pPr>
        <w:spacing w:line="360" w:lineRule="auto"/>
        <w:jc w:val="both"/>
        <w:rPr>
          <w:rFonts w:ascii="Arial" w:eastAsia="Aptos" w:hAnsi="Arial" w:cs="Arial"/>
          <w:b/>
          <w:bCs/>
        </w:rPr>
      </w:pPr>
    </w:p>
    <w:sdt>
      <w:sdtPr>
        <w:rPr>
          <w:rFonts w:asciiTheme="minorHAnsi" w:eastAsiaTheme="minorEastAsia" w:hAnsiTheme="minorHAnsi" w:cstheme="minorBidi"/>
          <w:color w:val="auto"/>
          <w:sz w:val="24"/>
          <w:szCs w:val="24"/>
          <w:lang w:eastAsia="ja-JP"/>
        </w:rPr>
        <w:id w:val="-1726754602"/>
        <w:docPartObj>
          <w:docPartGallery w:val="Table of Contents"/>
          <w:docPartUnique/>
        </w:docPartObj>
      </w:sdtPr>
      <w:sdtEndPr>
        <w:rPr>
          <w:b/>
          <w:bCs/>
        </w:rPr>
      </w:sdtEndPr>
      <w:sdtContent>
        <w:p w14:paraId="404E3192" w14:textId="7C43B52A" w:rsidR="00464C2B" w:rsidRDefault="00464C2B">
          <w:pPr>
            <w:pStyle w:val="TOCHeading"/>
          </w:pPr>
          <w:r>
            <w:t>Contents</w:t>
          </w:r>
        </w:p>
        <w:p w14:paraId="39B1AA13" w14:textId="15D4B1BB" w:rsidR="000D1257" w:rsidRDefault="00464C2B">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43523582" w:history="1">
            <w:r w:rsidR="000D1257" w:rsidRPr="00A9719D">
              <w:rPr>
                <w:rStyle w:val="Hyperlink"/>
                <w:rFonts w:eastAsia="Aptos"/>
                <w:noProof/>
              </w:rPr>
              <w:t>1. Marketing environmental analysis</w:t>
            </w:r>
            <w:r w:rsidR="000D1257">
              <w:rPr>
                <w:noProof/>
                <w:webHidden/>
              </w:rPr>
              <w:tab/>
            </w:r>
            <w:r w:rsidR="000D1257">
              <w:rPr>
                <w:noProof/>
                <w:webHidden/>
              </w:rPr>
              <w:fldChar w:fldCharType="begin"/>
            </w:r>
            <w:r w:rsidR="000D1257">
              <w:rPr>
                <w:noProof/>
                <w:webHidden/>
              </w:rPr>
              <w:instrText xml:space="preserve"> PAGEREF _Toc243523582 \h </w:instrText>
            </w:r>
            <w:r w:rsidR="000D1257">
              <w:rPr>
                <w:noProof/>
                <w:webHidden/>
              </w:rPr>
            </w:r>
            <w:r w:rsidR="000D1257">
              <w:rPr>
                <w:noProof/>
                <w:webHidden/>
              </w:rPr>
              <w:fldChar w:fldCharType="separate"/>
            </w:r>
            <w:r w:rsidR="000D1257">
              <w:rPr>
                <w:noProof/>
                <w:webHidden/>
              </w:rPr>
              <w:t>3</w:t>
            </w:r>
            <w:r w:rsidR="000D1257">
              <w:rPr>
                <w:noProof/>
                <w:webHidden/>
              </w:rPr>
              <w:fldChar w:fldCharType="end"/>
            </w:r>
          </w:hyperlink>
        </w:p>
        <w:p w14:paraId="6FD6671A" w14:textId="3CB96AF3" w:rsidR="000D1257" w:rsidRDefault="000D1257">
          <w:pPr>
            <w:pStyle w:val="TOC2"/>
            <w:tabs>
              <w:tab w:val="right" w:leader="dot" w:pos="9016"/>
            </w:tabs>
            <w:rPr>
              <w:noProof/>
              <w:kern w:val="2"/>
              <w:lang w:eastAsia="en-GB"/>
              <w14:ligatures w14:val="standardContextual"/>
            </w:rPr>
          </w:pPr>
          <w:hyperlink w:anchor="_Toc243523583" w:history="1">
            <w:r w:rsidRPr="00A9719D">
              <w:rPr>
                <w:rStyle w:val="Hyperlink"/>
                <w:rFonts w:eastAsia="Aptos"/>
                <w:noProof/>
              </w:rPr>
              <w:t>1.1 Introduction: Company context and scope</w:t>
            </w:r>
            <w:r>
              <w:rPr>
                <w:noProof/>
                <w:webHidden/>
              </w:rPr>
              <w:tab/>
            </w:r>
            <w:r>
              <w:rPr>
                <w:noProof/>
                <w:webHidden/>
              </w:rPr>
              <w:fldChar w:fldCharType="begin"/>
            </w:r>
            <w:r>
              <w:rPr>
                <w:noProof/>
                <w:webHidden/>
              </w:rPr>
              <w:instrText xml:space="preserve"> PAGEREF _Toc243523583 \h </w:instrText>
            </w:r>
            <w:r>
              <w:rPr>
                <w:noProof/>
                <w:webHidden/>
              </w:rPr>
            </w:r>
            <w:r>
              <w:rPr>
                <w:noProof/>
                <w:webHidden/>
              </w:rPr>
              <w:fldChar w:fldCharType="separate"/>
            </w:r>
            <w:r>
              <w:rPr>
                <w:noProof/>
                <w:webHidden/>
              </w:rPr>
              <w:t>3</w:t>
            </w:r>
            <w:r>
              <w:rPr>
                <w:noProof/>
                <w:webHidden/>
              </w:rPr>
              <w:fldChar w:fldCharType="end"/>
            </w:r>
          </w:hyperlink>
        </w:p>
        <w:p w14:paraId="0F3E463C" w14:textId="7058BBED" w:rsidR="000D1257" w:rsidRDefault="000D1257">
          <w:pPr>
            <w:pStyle w:val="TOC2"/>
            <w:tabs>
              <w:tab w:val="right" w:leader="dot" w:pos="9016"/>
            </w:tabs>
            <w:rPr>
              <w:noProof/>
              <w:kern w:val="2"/>
              <w:lang w:eastAsia="en-GB"/>
              <w14:ligatures w14:val="standardContextual"/>
            </w:rPr>
          </w:pPr>
          <w:hyperlink w:anchor="_Toc243523584" w:history="1">
            <w:r w:rsidRPr="00A9719D">
              <w:rPr>
                <w:rStyle w:val="Hyperlink"/>
                <w:rFonts w:eastAsia="Aptos"/>
                <w:noProof/>
              </w:rPr>
              <w:t>1.2 Environmental factors</w:t>
            </w:r>
            <w:r>
              <w:rPr>
                <w:noProof/>
                <w:webHidden/>
              </w:rPr>
              <w:tab/>
            </w:r>
            <w:r>
              <w:rPr>
                <w:noProof/>
                <w:webHidden/>
              </w:rPr>
              <w:fldChar w:fldCharType="begin"/>
            </w:r>
            <w:r>
              <w:rPr>
                <w:noProof/>
                <w:webHidden/>
              </w:rPr>
              <w:instrText xml:space="preserve"> PAGEREF _Toc243523584 \h </w:instrText>
            </w:r>
            <w:r>
              <w:rPr>
                <w:noProof/>
                <w:webHidden/>
              </w:rPr>
            </w:r>
            <w:r>
              <w:rPr>
                <w:noProof/>
                <w:webHidden/>
              </w:rPr>
              <w:fldChar w:fldCharType="separate"/>
            </w:r>
            <w:r>
              <w:rPr>
                <w:noProof/>
                <w:webHidden/>
              </w:rPr>
              <w:t>3</w:t>
            </w:r>
            <w:r>
              <w:rPr>
                <w:noProof/>
                <w:webHidden/>
              </w:rPr>
              <w:fldChar w:fldCharType="end"/>
            </w:r>
          </w:hyperlink>
        </w:p>
        <w:p w14:paraId="631933F3" w14:textId="686F6C4E" w:rsidR="000D1257" w:rsidRDefault="000D1257">
          <w:pPr>
            <w:pStyle w:val="TOC2"/>
            <w:tabs>
              <w:tab w:val="right" w:leader="dot" w:pos="9016"/>
            </w:tabs>
            <w:rPr>
              <w:noProof/>
              <w:kern w:val="2"/>
              <w:lang w:eastAsia="en-GB"/>
              <w14:ligatures w14:val="standardContextual"/>
            </w:rPr>
          </w:pPr>
          <w:hyperlink w:anchor="_Toc243523585" w:history="1">
            <w:r w:rsidRPr="00A9719D">
              <w:rPr>
                <w:rStyle w:val="Hyperlink"/>
                <w:rFonts w:eastAsia="Aptos"/>
                <w:noProof/>
              </w:rPr>
              <w:t>1.3 Political/legal factors</w:t>
            </w:r>
            <w:r>
              <w:rPr>
                <w:noProof/>
                <w:webHidden/>
              </w:rPr>
              <w:tab/>
            </w:r>
            <w:r>
              <w:rPr>
                <w:noProof/>
                <w:webHidden/>
              </w:rPr>
              <w:fldChar w:fldCharType="begin"/>
            </w:r>
            <w:r>
              <w:rPr>
                <w:noProof/>
                <w:webHidden/>
              </w:rPr>
              <w:instrText xml:space="preserve"> PAGEREF _Toc243523585 \h </w:instrText>
            </w:r>
            <w:r>
              <w:rPr>
                <w:noProof/>
                <w:webHidden/>
              </w:rPr>
            </w:r>
            <w:r>
              <w:rPr>
                <w:noProof/>
                <w:webHidden/>
              </w:rPr>
              <w:fldChar w:fldCharType="separate"/>
            </w:r>
            <w:r>
              <w:rPr>
                <w:noProof/>
                <w:webHidden/>
              </w:rPr>
              <w:t>5</w:t>
            </w:r>
            <w:r>
              <w:rPr>
                <w:noProof/>
                <w:webHidden/>
              </w:rPr>
              <w:fldChar w:fldCharType="end"/>
            </w:r>
          </w:hyperlink>
        </w:p>
        <w:p w14:paraId="58EAEE68" w14:textId="727CE6CB" w:rsidR="000D1257" w:rsidRDefault="000D1257">
          <w:pPr>
            <w:pStyle w:val="TOC2"/>
            <w:tabs>
              <w:tab w:val="right" w:leader="dot" w:pos="9016"/>
            </w:tabs>
            <w:rPr>
              <w:noProof/>
              <w:kern w:val="2"/>
              <w:lang w:eastAsia="en-GB"/>
              <w14:ligatures w14:val="standardContextual"/>
            </w:rPr>
          </w:pPr>
          <w:hyperlink w:anchor="_Toc243523586" w:history="1">
            <w:r w:rsidRPr="00A9719D">
              <w:rPr>
                <w:rStyle w:val="Hyperlink"/>
                <w:rFonts w:eastAsia="Aptos"/>
                <w:noProof/>
              </w:rPr>
              <w:t>1.4 Economic factors</w:t>
            </w:r>
            <w:r>
              <w:rPr>
                <w:noProof/>
                <w:webHidden/>
              </w:rPr>
              <w:tab/>
            </w:r>
            <w:r>
              <w:rPr>
                <w:noProof/>
                <w:webHidden/>
              </w:rPr>
              <w:fldChar w:fldCharType="begin"/>
            </w:r>
            <w:r>
              <w:rPr>
                <w:noProof/>
                <w:webHidden/>
              </w:rPr>
              <w:instrText xml:space="preserve"> PAGEREF _Toc243523586 \h </w:instrText>
            </w:r>
            <w:r>
              <w:rPr>
                <w:noProof/>
                <w:webHidden/>
              </w:rPr>
            </w:r>
            <w:r>
              <w:rPr>
                <w:noProof/>
                <w:webHidden/>
              </w:rPr>
              <w:fldChar w:fldCharType="separate"/>
            </w:r>
            <w:r>
              <w:rPr>
                <w:noProof/>
                <w:webHidden/>
              </w:rPr>
              <w:t>6</w:t>
            </w:r>
            <w:r>
              <w:rPr>
                <w:noProof/>
                <w:webHidden/>
              </w:rPr>
              <w:fldChar w:fldCharType="end"/>
            </w:r>
          </w:hyperlink>
        </w:p>
        <w:p w14:paraId="47C8F2A8" w14:textId="20670910" w:rsidR="000D1257" w:rsidRDefault="000D1257">
          <w:pPr>
            <w:pStyle w:val="TOC2"/>
            <w:tabs>
              <w:tab w:val="right" w:leader="dot" w:pos="9016"/>
            </w:tabs>
            <w:rPr>
              <w:noProof/>
              <w:kern w:val="2"/>
              <w:lang w:eastAsia="en-GB"/>
              <w14:ligatures w14:val="standardContextual"/>
            </w:rPr>
          </w:pPr>
          <w:hyperlink w:anchor="_Toc243523587" w:history="1">
            <w:r w:rsidRPr="00A9719D">
              <w:rPr>
                <w:rStyle w:val="Hyperlink"/>
                <w:rFonts w:eastAsia="Aptos"/>
                <w:noProof/>
              </w:rPr>
              <w:t>1.5 Overall judgement: critical analysis</w:t>
            </w:r>
            <w:r>
              <w:rPr>
                <w:noProof/>
                <w:webHidden/>
              </w:rPr>
              <w:tab/>
            </w:r>
            <w:r>
              <w:rPr>
                <w:noProof/>
                <w:webHidden/>
              </w:rPr>
              <w:fldChar w:fldCharType="begin"/>
            </w:r>
            <w:r>
              <w:rPr>
                <w:noProof/>
                <w:webHidden/>
              </w:rPr>
              <w:instrText xml:space="preserve"> PAGEREF _Toc243523587 \h </w:instrText>
            </w:r>
            <w:r>
              <w:rPr>
                <w:noProof/>
                <w:webHidden/>
              </w:rPr>
            </w:r>
            <w:r>
              <w:rPr>
                <w:noProof/>
                <w:webHidden/>
              </w:rPr>
              <w:fldChar w:fldCharType="separate"/>
            </w:r>
            <w:r>
              <w:rPr>
                <w:noProof/>
                <w:webHidden/>
              </w:rPr>
              <w:t>6</w:t>
            </w:r>
            <w:r>
              <w:rPr>
                <w:noProof/>
                <w:webHidden/>
              </w:rPr>
              <w:fldChar w:fldCharType="end"/>
            </w:r>
          </w:hyperlink>
        </w:p>
        <w:p w14:paraId="0311FFEF" w14:textId="695611B6" w:rsidR="000D1257" w:rsidRDefault="000D1257">
          <w:pPr>
            <w:pStyle w:val="TOC1"/>
            <w:tabs>
              <w:tab w:val="right" w:leader="dot" w:pos="9016"/>
            </w:tabs>
            <w:rPr>
              <w:noProof/>
              <w:kern w:val="2"/>
              <w:lang w:eastAsia="en-GB"/>
              <w14:ligatures w14:val="standardContextual"/>
            </w:rPr>
          </w:pPr>
          <w:hyperlink w:anchor="_Toc243523588" w:history="1">
            <w:r w:rsidRPr="00A9719D">
              <w:rPr>
                <w:rStyle w:val="Hyperlink"/>
                <w:rFonts w:eastAsia="Aptos"/>
                <w:noProof/>
              </w:rPr>
              <w:t>2. Strategic Growth and Competitive Positioning</w:t>
            </w:r>
            <w:r>
              <w:rPr>
                <w:noProof/>
                <w:webHidden/>
              </w:rPr>
              <w:tab/>
            </w:r>
            <w:r>
              <w:rPr>
                <w:noProof/>
                <w:webHidden/>
              </w:rPr>
              <w:fldChar w:fldCharType="begin"/>
            </w:r>
            <w:r>
              <w:rPr>
                <w:noProof/>
                <w:webHidden/>
              </w:rPr>
              <w:instrText xml:space="preserve"> PAGEREF _Toc243523588 \h </w:instrText>
            </w:r>
            <w:r>
              <w:rPr>
                <w:noProof/>
                <w:webHidden/>
              </w:rPr>
            </w:r>
            <w:r>
              <w:rPr>
                <w:noProof/>
                <w:webHidden/>
              </w:rPr>
              <w:fldChar w:fldCharType="separate"/>
            </w:r>
            <w:r>
              <w:rPr>
                <w:noProof/>
                <w:webHidden/>
              </w:rPr>
              <w:t>7</w:t>
            </w:r>
            <w:r>
              <w:rPr>
                <w:noProof/>
                <w:webHidden/>
              </w:rPr>
              <w:fldChar w:fldCharType="end"/>
            </w:r>
          </w:hyperlink>
        </w:p>
        <w:p w14:paraId="649432B0" w14:textId="616FC043" w:rsidR="000D1257" w:rsidRDefault="000D1257">
          <w:pPr>
            <w:pStyle w:val="TOC2"/>
            <w:tabs>
              <w:tab w:val="right" w:leader="dot" w:pos="9016"/>
            </w:tabs>
            <w:rPr>
              <w:noProof/>
              <w:kern w:val="2"/>
              <w:lang w:eastAsia="en-GB"/>
              <w14:ligatures w14:val="standardContextual"/>
            </w:rPr>
          </w:pPr>
          <w:hyperlink w:anchor="_Toc243523589" w:history="1">
            <w:r w:rsidRPr="00A9719D">
              <w:rPr>
                <w:rStyle w:val="Hyperlink"/>
                <w:rFonts w:eastAsia="Aptos"/>
                <w:noProof/>
              </w:rPr>
              <w:t>2.1 Recommended growth strategy: Ansoff Matrix</w:t>
            </w:r>
            <w:r>
              <w:rPr>
                <w:noProof/>
                <w:webHidden/>
              </w:rPr>
              <w:tab/>
            </w:r>
            <w:r>
              <w:rPr>
                <w:noProof/>
                <w:webHidden/>
              </w:rPr>
              <w:fldChar w:fldCharType="begin"/>
            </w:r>
            <w:r>
              <w:rPr>
                <w:noProof/>
                <w:webHidden/>
              </w:rPr>
              <w:instrText xml:space="preserve"> PAGEREF _Toc243523589 \h </w:instrText>
            </w:r>
            <w:r>
              <w:rPr>
                <w:noProof/>
                <w:webHidden/>
              </w:rPr>
            </w:r>
            <w:r>
              <w:rPr>
                <w:noProof/>
                <w:webHidden/>
              </w:rPr>
              <w:fldChar w:fldCharType="separate"/>
            </w:r>
            <w:r>
              <w:rPr>
                <w:noProof/>
                <w:webHidden/>
              </w:rPr>
              <w:t>7</w:t>
            </w:r>
            <w:r>
              <w:rPr>
                <w:noProof/>
                <w:webHidden/>
              </w:rPr>
              <w:fldChar w:fldCharType="end"/>
            </w:r>
          </w:hyperlink>
        </w:p>
        <w:p w14:paraId="246972FE" w14:textId="1AA8DFA7" w:rsidR="000D1257" w:rsidRDefault="000D1257">
          <w:pPr>
            <w:pStyle w:val="TOC2"/>
            <w:tabs>
              <w:tab w:val="right" w:leader="dot" w:pos="9016"/>
            </w:tabs>
            <w:rPr>
              <w:noProof/>
              <w:kern w:val="2"/>
              <w:lang w:eastAsia="en-GB"/>
              <w14:ligatures w14:val="standardContextual"/>
            </w:rPr>
          </w:pPr>
          <w:hyperlink w:anchor="_Toc243523590" w:history="1">
            <w:r w:rsidRPr="00A9719D">
              <w:rPr>
                <w:rStyle w:val="Hyperlink"/>
                <w:rFonts w:eastAsia="Aptos"/>
                <w:noProof/>
              </w:rPr>
              <w:t>2.2 Achieving competitive advantage: Porter’s Generic Strategies</w:t>
            </w:r>
            <w:r>
              <w:rPr>
                <w:noProof/>
                <w:webHidden/>
              </w:rPr>
              <w:tab/>
            </w:r>
            <w:r>
              <w:rPr>
                <w:noProof/>
                <w:webHidden/>
              </w:rPr>
              <w:fldChar w:fldCharType="begin"/>
            </w:r>
            <w:r>
              <w:rPr>
                <w:noProof/>
                <w:webHidden/>
              </w:rPr>
              <w:instrText xml:space="preserve"> PAGEREF _Toc243523590 \h </w:instrText>
            </w:r>
            <w:r>
              <w:rPr>
                <w:noProof/>
                <w:webHidden/>
              </w:rPr>
            </w:r>
            <w:r>
              <w:rPr>
                <w:noProof/>
                <w:webHidden/>
              </w:rPr>
              <w:fldChar w:fldCharType="separate"/>
            </w:r>
            <w:r>
              <w:rPr>
                <w:noProof/>
                <w:webHidden/>
              </w:rPr>
              <w:t>9</w:t>
            </w:r>
            <w:r>
              <w:rPr>
                <w:noProof/>
                <w:webHidden/>
              </w:rPr>
              <w:fldChar w:fldCharType="end"/>
            </w:r>
          </w:hyperlink>
        </w:p>
        <w:p w14:paraId="7C6D37B6" w14:textId="0E076155" w:rsidR="000D1257" w:rsidRDefault="000D1257">
          <w:pPr>
            <w:pStyle w:val="TOC2"/>
            <w:tabs>
              <w:tab w:val="right" w:leader="dot" w:pos="9016"/>
            </w:tabs>
            <w:rPr>
              <w:noProof/>
              <w:kern w:val="2"/>
              <w:lang w:eastAsia="en-GB"/>
              <w14:ligatures w14:val="standardContextual"/>
            </w:rPr>
          </w:pPr>
          <w:hyperlink w:anchor="_Toc243523591" w:history="1">
            <w:r w:rsidRPr="00A9719D">
              <w:rPr>
                <w:rStyle w:val="Hyperlink"/>
                <w:rFonts w:eastAsia="Aptos"/>
                <w:noProof/>
              </w:rPr>
              <w:t>2.3 Implementation and evaluation</w:t>
            </w:r>
            <w:r>
              <w:rPr>
                <w:noProof/>
                <w:webHidden/>
              </w:rPr>
              <w:tab/>
            </w:r>
            <w:r>
              <w:rPr>
                <w:noProof/>
                <w:webHidden/>
              </w:rPr>
              <w:fldChar w:fldCharType="begin"/>
            </w:r>
            <w:r>
              <w:rPr>
                <w:noProof/>
                <w:webHidden/>
              </w:rPr>
              <w:instrText xml:space="preserve"> PAGEREF _Toc243523591 \h </w:instrText>
            </w:r>
            <w:r>
              <w:rPr>
                <w:noProof/>
                <w:webHidden/>
              </w:rPr>
            </w:r>
            <w:r>
              <w:rPr>
                <w:noProof/>
                <w:webHidden/>
              </w:rPr>
              <w:fldChar w:fldCharType="separate"/>
            </w:r>
            <w:r>
              <w:rPr>
                <w:noProof/>
                <w:webHidden/>
              </w:rPr>
              <w:t>11</w:t>
            </w:r>
            <w:r>
              <w:rPr>
                <w:noProof/>
                <w:webHidden/>
              </w:rPr>
              <w:fldChar w:fldCharType="end"/>
            </w:r>
          </w:hyperlink>
        </w:p>
        <w:p w14:paraId="04FF3F3A" w14:textId="0F746CD4" w:rsidR="000D1257" w:rsidRDefault="000D1257">
          <w:pPr>
            <w:pStyle w:val="TOC1"/>
            <w:tabs>
              <w:tab w:val="right" w:leader="dot" w:pos="9016"/>
            </w:tabs>
            <w:rPr>
              <w:noProof/>
              <w:kern w:val="2"/>
              <w:lang w:eastAsia="en-GB"/>
              <w14:ligatures w14:val="standardContextual"/>
            </w:rPr>
          </w:pPr>
          <w:hyperlink w:anchor="_Toc243523592" w:history="1">
            <w:r w:rsidRPr="00A9719D">
              <w:rPr>
                <w:rStyle w:val="Hyperlink"/>
                <w:rFonts w:eastAsia="Aptos"/>
                <w:noProof/>
              </w:rPr>
              <w:t>3. Managerial and Professional Reflection</w:t>
            </w:r>
            <w:r>
              <w:rPr>
                <w:noProof/>
                <w:webHidden/>
              </w:rPr>
              <w:tab/>
            </w:r>
            <w:r>
              <w:rPr>
                <w:noProof/>
                <w:webHidden/>
              </w:rPr>
              <w:fldChar w:fldCharType="begin"/>
            </w:r>
            <w:r>
              <w:rPr>
                <w:noProof/>
                <w:webHidden/>
              </w:rPr>
              <w:instrText xml:space="preserve"> PAGEREF _Toc243523592 \h </w:instrText>
            </w:r>
            <w:r>
              <w:rPr>
                <w:noProof/>
                <w:webHidden/>
              </w:rPr>
            </w:r>
            <w:r>
              <w:rPr>
                <w:noProof/>
                <w:webHidden/>
              </w:rPr>
              <w:fldChar w:fldCharType="separate"/>
            </w:r>
            <w:r>
              <w:rPr>
                <w:noProof/>
                <w:webHidden/>
              </w:rPr>
              <w:t>11</w:t>
            </w:r>
            <w:r>
              <w:rPr>
                <w:noProof/>
                <w:webHidden/>
              </w:rPr>
              <w:fldChar w:fldCharType="end"/>
            </w:r>
          </w:hyperlink>
        </w:p>
        <w:p w14:paraId="4F293C28" w14:textId="3F97E7CC" w:rsidR="000D1257" w:rsidRDefault="000D1257">
          <w:pPr>
            <w:pStyle w:val="TOC1"/>
            <w:tabs>
              <w:tab w:val="right" w:leader="dot" w:pos="9016"/>
            </w:tabs>
            <w:rPr>
              <w:noProof/>
              <w:kern w:val="2"/>
              <w:lang w:eastAsia="en-GB"/>
              <w14:ligatures w14:val="standardContextual"/>
            </w:rPr>
          </w:pPr>
          <w:hyperlink w:anchor="_Toc243523593" w:history="1">
            <w:r w:rsidRPr="00A9719D">
              <w:rPr>
                <w:rStyle w:val="Hyperlink"/>
                <w:rFonts w:eastAsia="Aptos"/>
                <w:noProof/>
              </w:rPr>
              <w:t>References</w:t>
            </w:r>
            <w:r>
              <w:rPr>
                <w:noProof/>
                <w:webHidden/>
              </w:rPr>
              <w:tab/>
            </w:r>
            <w:r>
              <w:rPr>
                <w:noProof/>
                <w:webHidden/>
              </w:rPr>
              <w:fldChar w:fldCharType="begin"/>
            </w:r>
            <w:r>
              <w:rPr>
                <w:noProof/>
                <w:webHidden/>
              </w:rPr>
              <w:instrText xml:space="preserve"> PAGEREF _Toc243523593 \h </w:instrText>
            </w:r>
            <w:r>
              <w:rPr>
                <w:noProof/>
                <w:webHidden/>
              </w:rPr>
            </w:r>
            <w:r>
              <w:rPr>
                <w:noProof/>
                <w:webHidden/>
              </w:rPr>
              <w:fldChar w:fldCharType="separate"/>
            </w:r>
            <w:r>
              <w:rPr>
                <w:noProof/>
                <w:webHidden/>
              </w:rPr>
              <w:t>14</w:t>
            </w:r>
            <w:r>
              <w:rPr>
                <w:noProof/>
                <w:webHidden/>
              </w:rPr>
              <w:fldChar w:fldCharType="end"/>
            </w:r>
          </w:hyperlink>
        </w:p>
        <w:p w14:paraId="12D07F6A" w14:textId="7BF5AB2F" w:rsidR="00464C2B" w:rsidRDefault="00464C2B">
          <w:r>
            <w:rPr>
              <w:b/>
              <w:bCs/>
            </w:rPr>
            <w:fldChar w:fldCharType="end"/>
          </w:r>
        </w:p>
      </w:sdtContent>
    </w:sdt>
    <w:p w14:paraId="29CC44F1" w14:textId="77777777" w:rsidR="00F62950" w:rsidRDefault="00F62950" w:rsidP="00ED4D73">
      <w:pPr>
        <w:spacing w:line="360" w:lineRule="auto"/>
        <w:jc w:val="both"/>
        <w:rPr>
          <w:rFonts w:ascii="Arial" w:eastAsia="Aptos" w:hAnsi="Arial" w:cs="Arial"/>
          <w:b/>
          <w:bCs/>
        </w:rPr>
      </w:pPr>
    </w:p>
    <w:p w14:paraId="18FA5179" w14:textId="77777777" w:rsidR="00F62950" w:rsidRDefault="00F62950" w:rsidP="00ED4D73">
      <w:pPr>
        <w:spacing w:line="360" w:lineRule="auto"/>
        <w:jc w:val="both"/>
        <w:rPr>
          <w:rFonts w:ascii="Arial" w:eastAsia="Aptos" w:hAnsi="Arial" w:cs="Arial"/>
          <w:b/>
          <w:bCs/>
        </w:rPr>
      </w:pPr>
    </w:p>
    <w:p w14:paraId="63E35B5F" w14:textId="77777777" w:rsidR="00F62950" w:rsidRDefault="00F62950" w:rsidP="00ED4D73">
      <w:pPr>
        <w:spacing w:line="360" w:lineRule="auto"/>
        <w:jc w:val="both"/>
        <w:rPr>
          <w:rFonts w:ascii="Arial" w:eastAsia="Aptos" w:hAnsi="Arial" w:cs="Arial"/>
          <w:b/>
          <w:bCs/>
        </w:rPr>
      </w:pPr>
    </w:p>
    <w:p w14:paraId="28E35CF8" w14:textId="77777777" w:rsidR="00F62950" w:rsidRDefault="00F62950" w:rsidP="00ED4D73">
      <w:pPr>
        <w:spacing w:line="360" w:lineRule="auto"/>
        <w:jc w:val="both"/>
        <w:rPr>
          <w:rFonts w:ascii="Arial" w:eastAsia="Aptos" w:hAnsi="Arial" w:cs="Arial"/>
          <w:b/>
          <w:bCs/>
        </w:rPr>
      </w:pPr>
    </w:p>
    <w:p w14:paraId="7EDE9C4A" w14:textId="77777777" w:rsidR="00F62950" w:rsidRDefault="00F62950" w:rsidP="00ED4D73">
      <w:pPr>
        <w:spacing w:line="360" w:lineRule="auto"/>
        <w:jc w:val="both"/>
        <w:rPr>
          <w:rFonts w:ascii="Arial" w:eastAsia="Aptos" w:hAnsi="Arial" w:cs="Arial"/>
          <w:b/>
          <w:bCs/>
        </w:rPr>
      </w:pPr>
    </w:p>
    <w:p w14:paraId="616B2683" w14:textId="77777777" w:rsidR="00F62950" w:rsidRDefault="00F62950" w:rsidP="00ED4D73">
      <w:pPr>
        <w:spacing w:line="360" w:lineRule="auto"/>
        <w:jc w:val="both"/>
        <w:rPr>
          <w:rFonts w:ascii="Arial" w:eastAsia="Aptos" w:hAnsi="Arial" w:cs="Arial"/>
          <w:b/>
          <w:bCs/>
        </w:rPr>
      </w:pPr>
    </w:p>
    <w:p w14:paraId="3C631B3A" w14:textId="77777777" w:rsidR="00F62950" w:rsidRDefault="00F62950" w:rsidP="00ED4D73">
      <w:pPr>
        <w:spacing w:line="360" w:lineRule="auto"/>
        <w:jc w:val="both"/>
        <w:rPr>
          <w:rFonts w:ascii="Arial" w:eastAsia="Aptos" w:hAnsi="Arial" w:cs="Arial"/>
          <w:b/>
          <w:bCs/>
        </w:rPr>
      </w:pPr>
    </w:p>
    <w:p w14:paraId="5BA04F73" w14:textId="77777777" w:rsidR="00F62950" w:rsidRDefault="00F62950" w:rsidP="00ED4D73">
      <w:pPr>
        <w:spacing w:line="360" w:lineRule="auto"/>
        <w:jc w:val="both"/>
        <w:rPr>
          <w:rFonts w:ascii="Arial" w:eastAsia="Aptos" w:hAnsi="Arial" w:cs="Arial"/>
          <w:b/>
          <w:bCs/>
        </w:rPr>
      </w:pPr>
    </w:p>
    <w:p w14:paraId="287B05E8" w14:textId="77777777" w:rsidR="00F62950" w:rsidRDefault="00F62950" w:rsidP="00ED4D73">
      <w:pPr>
        <w:spacing w:line="360" w:lineRule="auto"/>
        <w:jc w:val="both"/>
        <w:rPr>
          <w:rFonts w:ascii="Arial" w:eastAsia="Aptos" w:hAnsi="Arial" w:cs="Arial"/>
          <w:b/>
          <w:bCs/>
        </w:rPr>
      </w:pPr>
    </w:p>
    <w:p w14:paraId="63396882" w14:textId="77777777" w:rsidR="00F62950" w:rsidRDefault="00F62950" w:rsidP="00ED4D73">
      <w:pPr>
        <w:spacing w:line="360" w:lineRule="auto"/>
        <w:jc w:val="both"/>
        <w:rPr>
          <w:rFonts w:ascii="Arial" w:eastAsia="Aptos" w:hAnsi="Arial" w:cs="Arial"/>
          <w:b/>
          <w:bCs/>
        </w:rPr>
      </w:pPr>
    </w:p>
    <w:p w14:paraId="28EA1170" w14:textId="77777777" w:rsidR="00F62950" w:rsidRDefault="00F62950" w:rsidP="00ED4D73">
      <w:pPr>
        <w:spacing w:line="360" w:lineRule="auto"/>
        <w:jc w:val="both"/>
        <w:rPr>
          <w:rFonts w:ascii="Arial" w:eastAsia="Aptos" w:hAnsi="Arial" w:cs="Arial"/>
          <w:b/>
          <w:bCs/>
        </w:rPr>
      </w:pPr>
    </w:p>
    <w:p w14:paraId="2B877E3C" w14:textId="77777777" w:rsidR="00F62950" w:rsidRDefault="00F62950" w:rsidP="00ED4D73">
      <w:pPr>
        <w:spacing w:line="360" w:lineRule="auto"/>
        <w:jc w:val="both"/>
        <w:rPr>
          <w:rFonts w:ascii="Arial" w:eastAsia="Aptos" w:hAnsi="Arial" w:cs="Arial"/>
          <w:b/>
          <w:bCs/>
        </w:rPr>
      </w:pPr>
    </w:p>
    <w:p w14:paraId="648F089B" w14:textId="77777777" w:rsidR="00F62950" w:rsidRDefault="00F62950" w:rsidP="00ED4D73">
      <w:pPr>
        <w:spacing w:line="360" w:lineRule="auto"/>
        <w:jc w:val="both"/>
        <w:rPr>
          <w:rFonts w:ascii="Arial" w:eastAsia="Aptos" w:hAnsi="Arial" w:cs="Arial"/>
          <w:b/>
          <w:bCs/>
        </w:rPr>
      </w:pPr>
    </w:p>
    <w:p w14:paraId="584F647C" w14:textId="0E0C28C1" w:rsidR="00F62950" w:rsidRPr="00ED4D73" w:rsidRDefault="00D415C8" w:rsidP="00D415C8">
      <w:pPr>
        <w:pStyle w:val="Heading1"/>
        <w:rPr>
          <w:rFonts w:eastAsia="Aptos"/>
        </w:rPr>
      </w:pPr>
      <w:bookmarkStart w:id="0" w:name="_Toc243523582"/>
      <w:r>
        <w:rPr>
          <w:rFonts w:eastAsia="Aptos"/>
        </w:rPr>
        <w:lastRenderedPageBreak/>
        <w:t xml:space="preserve">1. Marketing environmental </w:t>
      </w:r>
      <w:r w:rsidR="00520873">
        <w:rPr>
          <w:rFonts w:eastAsia="Aptos"/>
        </w:rPr>
        <w:t>analysis</w:t>
      </w:r>
      <w:bookmarkEnd w:id="0"/>
    </w:p>
    <w:p w14:paraId="1FDB6B33" w14:textId="21A24C63" w:rsidR="00C325C2" w:rsidRPr="001500CC" w:rsidRDefault="00D415C8" w:rsidP="00D415C8">
      <w:pPr>
        <w:pStyle w:val="Heading2"/>
      </w:pPr>
      <w:bookmarkStart w:id="1" w:name="_Toc243523583"/>
      <w:r>
        <w:rPr>
          <w:rFonts w:eastAsia="Aptos"/>
        </w:rPr>
        <w:t xml:space="preserve">1.1 </w:t>
      </w:r>
      <w:r w:rsidR="001500CC">
        <w:rPr>
          <w:rFonts w:eastAsia="Aptos"/>
        </w:rPr>
        <w:t>I</w:t>
      </w:r>
      <w:r w:rsidR="00EF5074" w:rsidRPr="001500CC">
        <w:rPr>
          <w:rFonts w:eastAsia="Aptos"/>
        </w:rPr>
        <w:t xml:space="preserve">ntroduction: </w:t>
      </w:r>
      <w:r w:rsidR="00A2A3DA" w:rsidRPr="001500CC">
        <w:rPr>
          <w:rFonts w:eastAsia="Aptos"/>
        </w:rPr>
        <w:t>Company context and scope</w:t>
      </w:r>
      <w:bookmarkEnd w:id="1"/>
    </w:p>
    <w:p w14:paraId="07BDA67D" w14:textId="690D38FD"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Tata Steel is an international steel producer operating across India, the Netherlands, the United Kingdom and Thailand. Its UK business supplies construction, automotive, packaging and engineering markets (Tata Steel, 2026b). The group’s ambition to achieve net zero emissions by 2045 </w:t>
      </w:r>
      <w:proofErr w:type="gramStart"/>
      <w:r w:rsidR="00D23069" w:rsidRPr="00ED4D73">
        <w:rPr>
          <w:rFonts w:ascii="Arial" w:eastAsia="Aptos" w:hAnsi="Arial" w:cs="Arial"/>
        </w:rPr>
        <w:t>make</w:t>
      </w:r>
      <w:r w:rsidR="00D23069">
        <w:rPr>
          <w:rFonts w:ascii="Arial" w:eastAsia="Aptos" w:hAnsi="Arial" w:cs="Arial"/>
        </w:rPr>
        <w:t>s</w:t>
      </w:r>
      <w:proofErr w:type="gramEnd"/>
      <w:r w:rsidRPr="00ED4D73">
        <w:rPr>
          <w:rFonts w:ascii="Arial" w:eastAsia="Aptos" w:hAnsi="Arial" w:cs="Arial"/>
        </w:rPr>
        <w:t xml:space="preserve"> it a relevant case for examining the transition towards lower-carbon products (Tata Steel, 2026a). This report analyses environmental, political/legal and economic factors, using UK operations to illustrate wider group challenges. It evaluates how these pressures influence customer value, market opportunities and competitive positioning, </w:t>
      </w:r>
      <w:r w:rsidR="00D25E95" w:rsidRPr="00ED4D73">
        <w:rPr>
          <w:rFonts w:ascii="Arial" w:eastAsia="Aptos" w:hAnsi="Arial" w:cs="Arial"/>
        </w:rPr>
        <w:t>before applying the Ansoff Matrix to recommend growth and Porter’s Generic Strategies to establish competitive positioning</w:t>
      </w:r>
      <w:r w:rsidR="006E58F1" w:rsidRPr="00ED4D73">
        <w:rPr>
          <w:rFonts w:ascii="Arial" w:eastAsia="Aptos" w:hAnsi="Arial" w:cs="Arial"/>
        </w:rPr>
        <w:t>.</w:t>
      </w:r>
      <w:r w:rsidRPr="00ED4D73">
        <w:rPr>
          <w:rFonts w:ascii="Arial" w:eastAsia="Aptos" w:hAnsi="Arial" w:cs="Arial"/>
        </w:rPr>
        <w:t xml:space="preserve"> Corporate commitments are assessed critically rather than treated as demonstrated outcomes.</w:t>
      </w:r>
    </w:p>
    <w:p w14:paraId="3CE6B961" w14:textId="398CF679" w:rsidR="00C325C2" w:rsidRPr="00ED4D73" w:rsidRDefault="00A2A3DA" w:rsidP="001500CC">
      <w:pPr>
        <w:pStyle w:val="Heading2"/>
      </w:pPr>
      <w:bookmarkStart w:id="2" w:name="_Toc243523584"/>
      <w:r w:rsidRPr="00ED4D73">
        <w:rPr>
          <w:rFonts w:eastAsia="Aptos"/>
        </w:rPr>
        <w:t>1.</w:t>
      </w:r>
      <w:r w:rsidR="00D415C8">
        <w:rPr>
          <w:rFonts w:eastAsia="Aptos"/>
        </w:rPr>
        <w:t>2</w:t>
      </w:r>
      <w:r w:rsidRPr="00ED4D73">
        <w:rPr>
          <w:rFonts w:eastAsia="Aptos"/>
        </w:rPr>
        <w:t xml:space="preserve"> Environmental factors</w:t>
      </w:r>
      <w:bookmarkEnd w:id="2"/>
    </w:p>
    <w:p w14:paraId="5B0E3780" w14:textId="234E098A"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Environmental </w:t>
      </w:r>
      <w:r w:rsidR="00DB3563" w:rsidRPr="00ED4D73">
        <w:rPr>
          <w:rFonts w:ascii="Arial" w:eastAsia="Aptos" w:hAnsi="Arial" w:cs="Arial"/>
        </w:rPr>
        <w:t>pressures</w:t>
      </w:r>
      <w:r w:rsidRPr="00ED4D73">
        <w:rPr>
          <w:rFonts w:ascii="Arial" w:eastAsia="Aptos" w:hAnsi="Arial" w:cs="Arial"/>
        </w:rPr>
        <w:t xml:space="preserve"> are reshaping the value proposition of steel: customers need materials that meet technical requirements while supporting emissions reduction. Rippy, Bell and Leick (2024) identify conventional ironmaking as a major source of emissions and explain why alternative production routes are necessary. For Tata Steel, this creates an opportunity to compete through demonstrably lower product emissions. However, environmental concern alone does not establish demand: the International Energy Agency (IEA, 2025) finds that purchasing commitments remain insufficient to accelerate the transition at the required scale. Tata must therefore distinguish customers stated sustainability ambitions from their willingness to enter binding purchasing agreements.</w:t>
      </w:r>
    </w:p>
    <w:p w14:paraId="429B2AA8" w14:textId="5C9CFA26" w:rsidR="00C325C2" w:rsidRPr="00ED4D73" w:rsidRDefault="00A2A3DA" w:rsidP="00ED4D73">
      <w:pPr>
        <w:spacing w:line="360" w:lineRule="auto"/>
        <w:jc w:val="both"/>
        <w:rPr>
          <w:rFonts w:ascii="Arial" w:eastAsia="Aptos" w:hAnsi="Arial" w:cs="Arial"/>
        </w:rPr>
      </w:pPr>
      <w:r w:rsidRPr="00ED4D73">
        <w:rPr>
          <w:rFonts w:ascii="Arial" w:eastAsia="Aptos" w:hAnsi="Arial" w:cs="Arial"/>
        </w:rPr>
        <w:t xml:space="preserve">Port Talbot illustrates Tata’s response. Its electric arc furnace project will recycle scrap rather than continue traditional blast-furnace ironmaking. Tata Steel (2025) projects approximately 90% lower site carbon emissions, with commissioning planned for late 2027 or early 2028. This could strengthen its proposition to construction and automotive buyers seeking lower-carbon inputs. Nevertheless, the percentage is a forecast concerning the site, not proof that every finished product will have a 90% smaller lifecycle footprint. </w:t>
      </w:r>
      <w:r w:rsidR="004D4787" w:rsidRPr="00ED4D73">
        <w:rPr>
          <w:rFonts w:ascii="Arial" w:eastAsia="Aptos" w:hAnsi="Arial" w:cs="Arial"/>
        </w:rPr>
        <w:t xml:space="preserve">During construction, Tata imports steel slabs and hot-rolled coil to maintain downstream manufacturing and supply customers while steelmaking at Port Talbot is paused (Tata Steel, 2025). Consequently, lower emissions at Port </w:t>
      </w:r>
      <w:r w:rsidR="004D4787" w:rsidRPr="00ED4D73">
        <w:rPr>
          <w:rFonts w:ascii="Arial" w:eastAsia="Aptos" w:hAnsi="Arial" w:cs="Arial"/>
        </w:rPr>
        <w:lastRenderedPageBreak/>
        <w:t>Talbot alone cannot demonstrate equivalent reductions across the supply chain so the emissions associated with producing and transporting imported steel must also be assessed. In addition, m</w:t>
      </w:r>
      <w:r w:rsidRPr="00ED4D73">
        <w:rPr>
          <w:rFonts w:ascii="Arial" w:eastAsia="Aptos" w:hAnsi="Arial" w:cs="Arial"/>
        </w:rPr>
        <w:t>arketing should distinguish future production benefits from the emissions associated with products supplied during the transition.</w:t>
      </w:r>
    </w:p>
    <w:p w14:paraId="0E4F1AD7" w14:textId="76A0C8BD" w:rsidR="00C325C2" w:rsidRPr="00ED4D73" w:rsidRDefault="00A2A3DA" w:rsidP="00ED4D73">
      <w:pPr>
        <w:spacing w:line="360" w:lineRule="auto"/>
        <w:jc w:val="both"/>
        <w:rPr>
          <w:rFonts w:ascii="Arial" w:hAnsi="Arial" w:cs="Arial"/>
        </w:rPr>
      </w:pPr>
      <w:r w:rsidRPr="00ED4D73">
        <w:rPr>
          <w:rFonts w:ascii="Arial" w:eastAsia="Aptos" w:hAnsi="Arial" w:cs="Arial"/>
        </w:rPr>
        <w:t>The environmental benefits of electrification also depend on upstream conditions. Rippy, Bell and Leick (2024) emphasise the importance of low-carbon electricity and identify scrap availability and contamination as constraints. This challenges any assumption that installing an electric arc furnace automatically produces near-zero-emission steel. Tata’s own reporting acknowledges geographic differences in clean-energy access and scrap supply (Tata Steel, 2026a). The marketing implication is that claims should reflect the production route and electricity supply of the relevant product, rather than transferring UK expectations across the group. Otherwise, a consistent corporate message could conceal materially different environmental performance between locations.</w:t>
      </w:r>
    </w:p>
    <w:p w14:paraId="4B0CB48B" w14:textId="4EF318A6" w:rsidR="00C325C2" w:rsidRPr="00ED4D73" w:rsidRDefault="00A2A3DA" w:rsidP="00ED4D73">
      <w:pPr>
        <w:spacing w:line="360" w:lineRule="auto"/>
        <w:jc w:val="both"/>
        <w:rPr>
          <w:rFonts w:ascii="Arial" w:hAnsi="Arial" w:cs="Arial"/>
        </w:rPr>
      </w:pPr>
      <w:r w:rsidRPr="00ED4D73">
        <w:rPr>
          <w:rFonts w:ascii="Arial" w:eastAsia="Aptos" w:hAnsi="Arial" w:cs="Arial"/>
        </w:rPr>
        <w:t>Circular production also creates a quality trade-off. Scrap impurities can restrict the manufacture of demanding grades, including automotive applications (Rippy, Bell and Leick, 2024). This is relevant because Tata serves markets where safety, consistency and technical specifications remain essential. Lower emissions therefore cannot compensate for inadequate performance. Tata should substantiate both environmental and functional benefits through product testing and customer qualification, while securing suitable feedstock. Its competitive opportunity lies in combining credible emissions reductions with dependable quality, rather than positioning recycled content as sufficient evidence of superiority.</w:t>
      </w:r>
    </w:p>
    <w:p w14:paraId="40722C69" w14:textId="6AF3C69E"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Finally, environmental differentiation depends on credible measurement. The IEA (2025) highlights the need for comparable emissions methodologies, transparent supply-chain accounting and robust verification. For Tata, independently verified product data could support buyers’ supplier comparisons and reduce uncertainty surrounding environmental claims. However, company reports establish intentions and reported progress, not independent confirmation of all outcomes. The environmental factor therefore presents a conditional opportunity: lower-carbon production can strengthen customer value and market access only where emissions reductions are substantiated, technical requirements are maintained and demand </w:t>
      </w:r>
      <w:r w:rsidRPr="00ED4D73">
        <w:rPr>
          <w:rFonts w:ascii="Arial" w:eastAsia="Aptos" w:hAnsi="Arial" w:cs="Arial"/>
        </w:rPr>
        <w:lastRenderedPageBreak/>
        <w:t>converts into purchases. This connects environmental ambition to the political and economic conditions examined below.</w:t>
      </w:r>
    </w:p>
    <w:p w14:paraId="5640EB95" w14:textId="2AD0E48D"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 </w:t>
      </w:r>
    </w:p>
    <w:p w14:paraId="7DCB07FC" w14:textId="5B4CE985" w:rsidR="00C325C2" w:rsidRPr="00ED4D73" w:rsidRDefault="00A2A3DA" w:rsidP="001500CC">
      <w:pPr>
        <w:pStyle w:val="Heading2"/>
      </w:pPr>
      <w:bookmarkStart w:id="3" w:name="_Toc243523585"/>
      <w:r w:rsidRPr="00ED4D73">
        <w:rPr>
          <w:rFonts w:eastAsia="Aptos"/>
        </w:rPr>
        <w:t>1.</w:t>
      </w:r>
      <w:r w:rsidR="00D415C8">
        <w:rPr>
          <w:rFonts w:eastAsia="Aptos"/>
        </w:rPr>
        <w:t>3</w:t>
      </w:r>
      <w:r w:rsidRPr="00ED4D73">
        <w:rPr>
          <w:rFonts w:eastAsia="Aptos"/>
        </w:rPr>
        <w:t xml:space="preserve"> Political/legal factors</w:t>
      </w:r>
      <w:bookmarkEnd w:id="3"/>
    </w:p>
    <w:p w14:paraId="2984259F" w14:textId="2C71F83D" w:rsidR="00C325C2" w:rsidRPr="00ED4D73" w:rsidRDefault="00A2A3DA" w:rsidP="00ED4D73">
      <w:pPr>
        <w:spacing w:line="360" w:lineRule="auto"/>
        <w:jc w:val="both"/>
        <w:rPr>
          <w:rFonts w:ascii="Arial" w:hAnsi="Arial" w:cs="Arial"/>
        </w:rPr>
      </w:pPr>
      <w:r w:rsidRPr="00ED4D73">
        <w:rPr>
          <w:rFonts w:ascii="Arial" w:eastAsia="Aptos" w:hAnsi="Arial" w:cs="Arial"/>
        </w:rPr>
        <w:t>Political and legal pressures influence whether Tata’s environmental transition becomes commercially viable. The UK Government’s £500 million contribution to Port Talbot reduces the investment burden, but funding includes conditions allowing recovery of public money if Tata fails to meet commitments, including employment requirements (Department for Business and Trade et al., 2024). Government support therefore enables cleaner production while creating accountability beyond emissions reduction. For marketing, Tata must demonstrate credible progress and continuity of supply; financial assistance alone does not establish customer preference or prove competitive advantage.</w:t>
      </w:r>
    </w:p>
    <w:p w14:paraId="4D02996F" w14:textId="437F28E5" w:rsidR="00C325C2" w:rsidRPr="00ED4D73" w:rsidRDefault="00A2A3DA" w:rsidP="00ED4D73">
      <w:pPr>
        <w:spacing w:line="360" w:lineRule="auto"/>
        <w:jc w:val="both"/>
        <w:rPr>
          <w:rFonts w:ascii="Arial" w:hAnsi="Arial" w:cs="Arial"/>
        </w:rPr>
      </w:pPr>
      <w:r w:rsidRPr="00ED4D73">
        <w:rPr>
          <w:rFonts w:ascii="Arial" w:eastAsia="Aptos" w:hAnsi="Arial" w:cs="Arial"/>
        </w:rPr>
        <w:t>Carbon pricing also changes the competitive environment. The UK Carbon Border Adjustment Mechanism (CBAM), scheduled to commence on 1 January 2027, will apply to specified iron and steel imports. It aims to align their carbon costs with those faced by UK manufacturers, reducing incentives to shift emissions-intensive production overseas (HM Revenue &amp; Customs, 2026). For Tata, this could reduce the price advantage of imports facing lower carbon charges and strengthen the commercial case for lower-emission domestic steel. However, the policy does not guarantee protection from all lower-priced imports: liability depends on covered products, embodied emissions and eligible overseas carbon-price deductions.</w:t>
      </w:r>
    </w:p>
    <w:p w14:paraId="59298AA2" w14:textId="757C0C3E" w:rsidR="00C325C2" w:rsidRPr="00ED4D73" w:rsidRDefault="00A2A3DA" w:rsidP="00ED4D73">
      <w:pPr>
        <w:spacing w:line="360" w:lineRule="auto"/>
        <w:jc w:val="both"/>
        <w:rPr>
          <w:rFonts w:ascii="Arial" w:hAnsi="Arial" w:cs="Arial"/>
        </w:rPr>
      </w:pPr>
      <w:r w:rsidRPr="00ED4D73">
        <w:rPr>
          <w:rFonts w:ascii="Arial" w:eastAsia="Aptos" w:hAnsi="Arial" w:cs="Arial"/>
        </w:rPr>
        <w:t>There is also a transitional tension. Tata’s reliance on imported steel while its new furnace is constructed could expose relevant imports to CBAM, depending on sourcing and applicable rules (Tata Steel, 2025; HM Revenue &amp; Customs, 2026). A policy supporting future domestic production may therefore increase interim supply costs. Tata should assess product-specific liabilities and communicate reliable delivery and evidenced carbon performance to customers. Political/legal support strengthens the transition only when compliance, employment commitments and supply-chain planning are managed alongside the environmental investment, rather than assuming policy automatically delivers profitable growth.</w:t>
      </w:r>
    </w:p>
    <w:p w14:paraId="516CCBC1" w14:textId="23DF5483" w:rsidR="00C325C2" w:rsidRPr="00ED4D73" w:rsidRDefault="00A2A3DA" w:rsidP="001500CC">
      <w:pPr>
        <w:pStyle w:val="Heading2"/>
      </w:pPr>
      <w:bookmarkStart w:id="4" w:name="_Toc243523586"/>
      <w:r w:rsidRPr="00ED4D73">
        <w:rPr>
          <w:rFonts w:eastAsia="Aptos"/>
        </w:rPr>
        <w:lastRenderedPageBreak/>
        <w:t>1.</w:t>
      </w:r>
      <w:r w:rsidR="00D415C8">
        <w:rPr>
          <w:rFonts w:eastAsia="Aptos"/>
        </w:rPr>
        <w:t>4</w:t>
      </w:r>
      <w:r w:rsidRPr="00ED4D73">
        <w:rPr>
          <w:rFonts w:eastAsia="Aptos"/>
        </w:rPr>
        <w:t xml:space="preserve"> Economic factors</w:t>
      </w:r>
      <w:bookmarkEnd w:id="4"/>
    </w:p>
    <w:p w14:paraId="704B268D" w14:textId="50DBB889"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Economic conditions determine whether Tata can translate lower-carbon production into profitable sales. The OECD (2026) projects global steel excess capacity of 745 million tonnes by 2028, alongside </w:t>
      </w:r>
      <w:r w:rsidR="004C7BF0" w:rsidRPr="00ED4D73">
        <w:rPr>
          <w:rFonts w:ascii="Arial" w:eastAsia="Aptos" w:hAnsi="Arial" w:cs="Arial"/>
        </w:rPr>
        <w:t>slow</w:t>
      </w:r>
      <w:r w:rsidRPr="00ED4D73">
        <w:rPr>
          <w:rFonts w:ascii="Arial" w:eastAsia="Aptos" w:hAnsi="Arial" w:cs="Arial"/>
        </w:rPr>
        <w:t xml:space="preserve"> demand growth. This creates downward pressure on prices and profitability, challenging the assumption that environmental differentiation will automatically command a premium. For Tata, buyers facing cheaper alternatives may prioritise price, particularly where their own margins are constrained. Lower-carbon steel therefore needs a clear customer benefit, supported by evidence, rather than relying on sustainability commitments alone.</w:t>
      </w:r>
    </w:p>
    <w:p w14:paraId="08199073" w14:textId="2F85C998" w:rsidR="00C325C2" w:rsidRPr="00ED4D73" w:rsidRDefault="00A2A3DA" w:rsidP="00ED4D73">
      <w:pPr>
        <w:spacing w:line="360" w:lineRule="auto"/>
        <w:jc w:val="both"/>
        <w:rPr>
          <w:rFonts w:ascii="Arial" w:hAnsi="Arial" w:cs="Arial"/>
        </w:rPr>
      </w:pPr>
      <w:r w:rsidRPr="00ED4D73">
        <w:rPr>
          <w:rFonts w:ascii="Arial" w:eastAsia="Aptos" w:hAnsi="Arial" w:cs="Arial"/>
        </w:rPr>
        <w:t>Electricity costs are particularly important as Tata moves towards electric arc furnace production. The Department for Business and Trade (2026) estimates that government electricity support reduces average steel-sector prices from £168</w:t>
      </w:r>
      <w:r w:rsidR="004C7BF0" w:rsidRPr="00ED4D73">
        <w:rPr>
          <w:rFonts w:ascii="Arial" w:eastAsia="Aptos" w:hAnsi="Arial" w:cs="Arial"/>
        </w:rPr>
        <w:t xml:space="preserve"> per megawatt-hour (</w:t>
      </w:r>
      <w:r w:rsidRPr="00ED4D73">
        <w:rPr>
          <w:rFonts w:ascii="Arial" w:eastAsia="Aptos" w:hAnsi="Arial" w:cs="Arial"/>
        </w:rPr>
        <w:t>MWh</w:t>
      </w:r>
      <w:r w:rsidR="004C7BF0" w:rsidRPr="00ED4D73">
        <w:rPr>
          <w:rFonts w:ascii="Arial" w:eastAsia="Aptos" w:hAnsi="Arial" w:cs="Arial"/>
        </w:rPr>
        <w:t>)</w:t>
      </w:r>
      <w:r w:rsidRPr="00ED4D73">
        <w:rPr>
          <w:rFonts w:ascii="Arial" w:eastAsia="Aptos" w:hAnsi="Arial" w:cs="Arial"/>
        </w:rPr>
        <w:t xml:space="preserve"> to £86/MWh, lowering modelled furnace production costs by approximately £40 per tonne. This indicates the importance of energy support to competitiveness, but these are sector-level estimates, not verified savings for Tata. Its commercial case requires site-specific electricity contracts, consumption and feedstock costs. Consequently, a cleaner production route may strengthen environmental positioning without ensuring a cost advantage against overseas competitors.</w:t>
      </w:r>
    </w:p>
    <w:p w14:paraId="5AE843DB" w14:textId="4C5D3DA0" w:rsidR="00C325C2" w:rsidRPr="00ED4D73" w:rsidRDefault="00A2A3DA" w:rsidP="00ED4D73">
      <w:pPr>
        <w:spacing w:line="360" w:lineRule="auto"/>
        <w:jc w:val="both"/>
        <w:rPr>
          <w:rFonts w:ascii="Arial" w:hAnsi="Arial" w:cs="Arial"/>
        </w:rPr>
      </w:pPr>
      <w:r w:rsidRPr="00ED4D73">
        <w:rPr>
          <w:rFonts w:ascii="Arial" w:eastAsia="Aptos" w:hAnsi="Arial" w:cs="Arial"/>
        </w:rPr>
        <w:t>Demand uncertainty also affects investment recovery. The IEA (2025) identifies firm purchasing agreements as important for reducing suppliers’ investment risk. Tata should therefore prioritise customers able to specify emissions requirements and commit volumes, testing whether any price premium covers additional costs. Long-term agreements could improve revenue visibility, although they may restrict pricing flexibility if energy or scrap costs change. Economic analysis thus supports selective differentiation rather than an assumption of universal premium demand: Tata must assess customer willingness to pay, competitor prices and contribution margins before expanding its lower-carbon offer. Environmental value becomes commercially meaningful when buyers can justify its cost.</w:t>
      </w:r>
    </w:p>
    <w:p w14:paraId="70DCDE7F" w14:textId="7E63BDD2" w:rsidR="00C325C2" w:rsidRPr="00ED4D73" w:rsidRDefault="00A2A3DA" w:rsidP="001500CC">
      <w:pPr>
        <w:pStyle w:val="Heading2"/>
      </w:pPr>
      <w:bookmarkStart w:id="5" w:name="_Toc243523587"/>
      <w:r w:rsidRPr="00ED4D73">
        <w:rPr>
          <w:rFonts w:eastAsia="Aptos"/>
        </w:rPr>
        <w:t>1.</w:t>
      </w:r>
      <w:r w:rsidR="00D415C8">
        <w:rPr>
          <w:rFonts w:eastAsia="Aptos"/>
        </w:rPr>
        <w:t>5</w:t>
      </w:r>
      <w:r w:rsidRPr="00ED4D73">
        <w:rPr>
          <w:rFonts w:eastAsia="Aptos"/>
        </w:rPr>
        <w:t xml:space="preserve"> Overall judgement</w:t>
      </w:r>
      <w:r w:rsidR="001500CC">
        <w:rPr>
          <w:rFonts w:eastAsia="Aptos"/>
        </w:rPr>
        <w:t>: critical analysis</w:t>
      </w:r>
      <w:bookmarkEnd w:id="5"/>
    </w:p>
    <w:p w14:paraId="40FEBF05" w14:textId="77777777" w:rsidR="006835F6" w:rsidRPr="00ED4D73" w:rsidRDefault="006835F6" w:rsidP="00ED4D73">
      <w:pPr>
        <w:spacing w:line="360" w:lineRule="auto"/>
        <w:jc w:val="both"/>
        <w:rPr>
          <w:rFonts w:ascii="Arial" w:eastAsia="Aptos" w:hAnsi="Arial" w:cs="Arial"/>
        </w:rPr>
      </w:pPr>
      <w:r w:rsidRPr="00ED4D73">
        <w:rPr>
          <w:rFonts w:ascii="Arial" w:eastAsia="Aptos" w:hAnsi="Arial" w:cs="Arial"/>
        </w:rPr>
        <w:t xml:space="preserve">Together, the three factors create a conditional growth opportunity. Environmental pressure supports lower-carbon differentiation, political/legal measures help shape investment and competition, and economic conditions determine affordability and </w:t>
      </w:r>
      <w:r w:rsidRPr="00ED4D73">
        <w:rPr>
          <w:rFonts w:ascii="Arial" w:eastAsia="Aptos" w:hAnsi="Arial" w:cs="Arial"/>
        </w:rPr>
        <w:lastRenderedPageBreak/>
        <w:t>returns. Tata should therefore link verified product benefits to committed customer demand, while controlling transition costs.</w:t>
      </w:r>
    </w:p>
    <w:p w14:paraId="7B479474" w14:textId="0E7B8170" w:rsidR="00C325C2" w:rsidRPr="00ED4D73" w:rsidRDefault="006835F6" w:rsidP="00ED4D73">
      <w:pPr>
        <w:spacing w:line="360" w:lineRule="auto"/>
        <w:jc w:val="both"/>
        <w:rPr>
          <w:rFonts w:ascii="Arial" w:eastAsia="Aptos" w:hAnsi="Arial" w:cs="Arial"/>
        </w:rPr>
      </w:pPr>
      <w:r w:rsidRPr="00ED4D73">
        <w:rPr>
          <w:rFonts w:ascii="Arial" w:eastAsia="Aptos" w:hAnsi="Arial" w:cs="Arial"/>
        </w:rPr>
        <w:t xml:space="preserve">However, environmental pressure does not automatically translate into profitable demand, and political support cannot guarantee commercial viability. Subsidies reduce investment costs, while weak demand and excess capacity constrain premium pricing. Economic conditions therefore determine whether environmental differentiation generates returns. Tata should pursue growth only where verified emissions </w:t>
      </w:r>
      <w:r w:rsidR="00D23069" w:rsidRPr="00ED4D73">
        <w:rPr>
          <w:rFonts w:ascii="Arial" w:eastAsia="Aptos" w:hAnsi="Arial" w:cs="Arial"/>
        </w:rPr>
        <w:t>benefit</w:t>
      </w:r>
      <w:r w:rsidRPr="00ED4D73">
        <w:rPr>
          <w:rFonts w:ascii="Arial" w:eastAsia="Aptos" w:hAnsi="Arial" w:cs="Arial"/>
        </w:rPr>
        <w:t xml:space="preserve"> secure customer commitments sufficient to justify transition costs. This judgement informs the growth recommendation in Task 2.</w:t>
      </w:r>
      <w:r w:rsidR="00A2A3DA" w:rsidRPr="00ED4D73">
        <w:rPr>
          <w:rFonts w:ascii="Arial" w:eastAsia="Aptos" w:hAnsi="Arial" w:cs="Arial"/>
        </w:rPr>
        <w:t xml:space="preserve"> </w:t>
      </w:r>
    </w:p>
    <w:p w14:paraId="06B41AA2" w14:textId="6F599D6C" w:rsidR="006835F6" w:rsidRPr="00ED4D73" w:rsidRDefault="006835F6" w:rsidP="001500CC">
      <w:pPr>
        <w:pStyle w:val="Heading1"/>
        <w:rPr>
          <w:rFonts w:eastAsia="Aptos"/>
        </w:rPr>
      </w:pPr>
      <w:bookmarkStart w:id="6" w:name="_Toc243523588"/>
      <w:r w:rsidRPr="00ED4D73">
        <w:rPr>
          <w:rFonts w:eastAsia="Aptos"/>
        </w:rPr>
        <w:t>2. Strategic Growth and Competitive Positioning</w:t>
      </w:r>
      <w:bookmarkEnd w:id="6"/>
    </w:p>
    <w:p w14:paraId="6254E84A" w14:textId="14BF372B" w:rsidR="00D25E95" w:rsidRPr="00ED4D73" w:rsidRDefault="00D25E95" w:rsidP="00ED4D73">
      <w:pPr>
        <w:spacing w:line="360" w:lineRule="auto"/>
        <w:jc w:val="both"/>
        <w:rPr>
          <w:rFonts w:ascii="Arial" w:eastAsia="Aptos" w:hAnsi="Arial" w:cs="Arial"/>
        </w:rPr>
      </w:pPr>
      <w:r w:rsidRPr="00ED4D73">
        <w:rPr>
          <w:rFonts w:ascii="Arial" w:eastAsia="Aptos" w:hAnsi="Arial" w:cs="Arial"/>
        </w:rPr>
        <w:t>This section applies the Ansoff Matrix to recommend a growth strategy for Tata Steel, then uses Porter’s Generic Strategies to explain its competitive positioning. It concludes with implementation priorities and measures for evaluating success.</w:t>
      </w:r>
    </w:p>
    <w:p w14:paraId="1BCCF38A" w14:textId="64C2BD4E" w:rsidR="00C325C2" w:rsidRPr="00ED4D73" w:rsidRDefault="00A2A3DA" w:rsidP="001500CC">
      <w:pPr>
        <w:pStyle w:val="Heading2"/>
      </w:pPr>
      <w:bookmarkStart w:id="7" w:name="_Toc243523589"/>
      <w:r w:rsidRPr="00ED4D73">
        <w:rPr>
          <w:rFonts w:eastAsia="Aptos"/>
        </w:rPr>
        <w:t>2.1 Recommended growth strategy</w:t>
      </w:r>
      <w:r w:rsidR="00152293" w:rsidRPr="00ED4D73">
        <w:rPr>
          <w:rFonts w:eastAsia="Aptos"/>
        </w:rPr>
        <w:t>: Ansoff Matrix</w:t>
      </w:r>
      <w:bookmarkEnd w:id="7"/>
    </w:p>
    <w:p w14:paraId="56D1CB36" w14:textId="37B9966C" w:rsidR="00C325C2" w:rsidRDefault="00A2A3DA" w:rsidP="00ED4D73">
      <w:pPr>
        <w:spacing w:line="360" w:lineRule="auto"/>
        <w:jc w:val="both"/>
        <w:rPr>
          <w:rFonts w:ascii="Arial" w:eastAsia="Aptos" w:hAnsi="Arial" w:cs="Arial"/>
        </w:rPr>
      </w:pPr>
      <w:r w:rsidRPr="00ED4D73">
        <w:rPr>
          <w:rFonts w:ascii="Arial" w:eastAsia="Aptos" w:hAnsi="Arial" w:cs="Arial"/>
        </w:rPr>
        <w:t xml:space="preserve">Ansoff (1957) distinguishes four growth directions: market penetration, market development, product development and diversification. </w:t>
      </w:r>
      <w:r w:rsidR="00ED4D73" w:rsidRPr="00ED4D73">
        <w:rPr>
          <w:rFonts w:ascii="Arial" w:eastAsia="Aptos" w:hAnsi="Arial" w:cs="Arial"/>
        </w:rPr>
        <w:t xml:space="preserve">Product development is recommended for Tata Steel, involving the introduction of independently verified lower-carbon steel variants to existing construction and automotive markets, initially through its UK business. </w:t>
      </w:r>
      <w:r w:rsidRPr="00ED4D73">
        <w:rPr>
          <w:rFonts w:ascii="Arial" w:eastAsia="Aptos" w:hAnsi="Arial" w:cs="Arial"/>
        </w:rPr>
        <w:t>This builds on established customer relationships while responding to the environmental pressures identified in Task 1. The proposed offering would combine reduced embodied emissions, traceable product data and maintained technical performance.</w:t>
      </w:r>
    </w:p>
    <w:p w14:paraId="597C6A3F" w14:textId="7684B257" w:rsidR="002170F7" w:rsidRPr="00ED4D73" w:rsidRDefault="002170F7" w:rsidP="00ED4D73">
      <w:pPr>
        <w:spacing w:line="360" w:lineRule="auto"/>
        <w:jc w:val="both"/>
        <w:rPr>
          <w:rFonts w:ascii="Arial" w:eastAsia="Aptos" w:hAnsi="Arial" w:cs="Arial"/>
        </w:rPr>
      </w:pPr>
      <w:r>
        <w:rPr>
          <w:rFonts w:ascii="Arial" w:eastAsia="Aptos" w:hAnsi="Arial" w:cs="Arial"/>
          <w:noProof/>
        </w:rPr>
        <w:lastRenderedPageBreak/>
        <w:drawing>
          <wp:anchor distT="0" distB="0" distL="114300" distR="114300" simplePos="0" relativeHeight="251659264" behindDoc="0" locked="0" layoutInCell="1" allowOverlap="1" wp14:anchorId="5BBAA62B" wp14:editId="74CB2F5E">
            <wp:simplePos x="0" y="0"/>
            <wp:positionH relativeFrom="margin">
              <wp:align>right</wp:align>
            </wp:positionH>
            <wp:positionV relativeFrom="paragraph">
              <wp:posOffset>0</wp:posOffset>
            </wp:positionV>
            <wp:extent cx="5727700" cy="3149600"/>
            <wp:effectExtent l="0" t="0" r="6350" b="0"/>
            <wp:wrapSquare wrapText="bothSides"/>
            <wp:docPr id="2159497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49778" name="Picture 21594977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149600"/>
                    </a:xfrm>
                    <a:prstGeom prst="rect">
                      <a:avLst/>
                    </a:prstGeom>
                  </pic:spPr>
                </pic:pic>
              </a:graphicData>
            </a:graphic>
            <wp14:sizeRelH relativeFrom="page">
              <wp14:pctWidth>0</wp14:pctWidth>
            </wp14:sizeRelH>
            <wp14:sizeRelV relativeFrom="page">
              <wp14:pctHeight>0</wp14:pctHeight>
            </wp14:sizeRelV>
          </wp:anchor>
        </w:drawing>
      </w:r>
    </w:p>
    <w:p w14:paraId="2FEA8CDB" w14:textId="73C9C2E3" w:rsidR="00B133ED" w:rsidRPr="00ED4D73" w:rsidRDefault="00B133ED" w:rsidP="00ED4D73">
      <w:pPr>
        <w:spacing w:line="360" w:lineRule="auto"/>
        <w:jc w:val="both"/>
        <w:rPr>
          <w:rFonts w:ascii="Arial" w:hAnsi="Arial" w:cs="Arial"/>
        </w:rPr>
      </w:pPr>
      <w:r w:rsidRPr="00ED4D73">
        <w:rPr>
          <w:rFonts w:ascii="Arial" w:hAnsi="Arial" w:cs="Arial"/>
        </w:rPr>
        <w:t>Figure 1: Ansoff Matrix applied to Tata Steel. Independently created based on Ansoff (1957); Tata applications represent the report’s analysis.</w:t>
      </w:r>
    </w:p>
    <w:p w14:paraId="7C9668AF" w14:textId="77777777" w:rsidR="00926814" w:rsidRPr="00ED4D73" w:rsidRDefault="00926814" w:rsidP="00ED4D73">
      <w:pPr>
        <w:spacing w:line="360" w:lineRule="auto"/>
        <w:jc w:val="both"/>
        <w:rPr>
          <w:rFonts w:ascii="Arial" w:eastAsia="Aptos" w:hAnsi="Arial" w:cs="Arial"/>
        </w:rPr>
      </w:pPr>
      <w:r w:rsidRPr="00ED4D73">
        <w:rPr>
          <w:rFonts w:ascii="Arial" w:eastAsia="Aptos" w:hAnsi="Arial" w:cs="Arial"/>
        </w:rPr>
        <w:t>The classification requires care. Ansoff (1957) distinguishes product development, involving new or modified products for existing markets, from market penetration, involving existing products in existing markets. Applying this distinction, changing Tata’s production process alone does not necessarily constitute product development. The classification is justified here where buyers receive a materially enhanced offering with verified environmental attributes relevant to procurement. If Tata instead sells an unchanged offering more efficiently to existing markets, market penetration would be more appropriate. The furnace investment must therefore be linked to a demonstrably enhanced customer offering to support the recommended classification.</w:t>
      </w:r>
    </w:p>
    <w:p w14:paraId="35C88A1F" w14:textId="78AB4BB7"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Compared with market development, the recommendation avoids simultaneously entering unfamiliar markets while managing production change. Diversification would introduce additional uncertainty through both new products and new markets (Ansoff, 1957). Market penetration remains useful for retaining customers during </w:t>
      </w:r>
      <w:r w:rsidR="00ED4D73" w:rsidRPr="00ED4D73">
        <w:rPr>
          <w:rFonts w:ascii="Arial" w:eastAsia="Aptos" w:hAnsi="Arial" w:cs="Arial"/>
        </w:rPr>
        <w:t>construction but</w:t>
      </w:r>
      <w:r w:rsidRPr="00ED4D73">
        <w:rPr>
          <w:rFonts w:ascii="Arial" w:eastAsia="Aptos" w:hAnsi="Arial" w:cs="Arial"/>
        </w:rPr>
        <w:t xml:space="preserve"> may provide limited differentiation where competitors compete aggressively on price. Product development therefore offers the strongest initial fit with the identified opportunity, although it requires technical qualification and evidence of customer willingness to pay.</w:t>
      </w:r>
    </w:p>
    <w:p w14:paraId="36B7814D" w14:textId="4BAC14B5" w:rsidR="00C325C2" w:rsidRPr="00ED4D73" w:rsidRDefault="00A2A3DA" w:rsidP="00ED4D73">
      <w:pPr>
        <w:spacing w:line="360" w:lineRule="auto"/>
        <w:jc w:val="both"/>
        <w:rPr>
          <w:rFonts w:ascii="Arial" w:hAnsi="Arial" w:cs="Arial"/>
        </w:rPr>
      </w:pPr>
      <w:r w:rsidRPr="00ED4D73">
        <w:rPr>
          <w:rFonts w:ascii="Arial" w:eastAsia="Aptos" w:hAnsi="Arial" w:cs="Arial"/>
        </w:rPr>
        <w:lastRenderedPageBreak/>
        <w:t>Growth should be assessed through incremental contribution and customer retention, not sales volume alone. Replacing conventional sales with lower-carbon variants may protect market share without expanding total demand. The strategy is therefore a conditional route to growth, rather than proof that decarbonisation automatically increases revenue.</w:t>
      </w:r>
    </w:p>
    <w:p w14:paraId="2C77520E" w14:textId="1D48AB96"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 </w:t>
      </w:r>
    </w:p>
    <w:p w14:paraId="3112998D" w14:textId="3CADDDD4" w:rsidR="00C325C2" w:rsidRPr="00ED4D73" w:rsidRDefault="00A2A3DA" w:rsidP="001500CC">
      <w:pPr>
        <w:pStyle w:val="Heading2"/>
      </w:pPr>
      <w:bookmarkStart w:id="8" w:name="_Toc243523590"/>
      <w:r w:rsidRPr="00ED4D73">
        <w:rPr>
          <w:rFonts w:eastAsia="Aptos"/>
        </w:rPr>
        <w:t>2.2 Achieving competitive advantage</w:t>
      </w:r>
      <w:r w:rsidR="00152293" w:rsidRPr="00ED4D73">
        <w:rPr>
          <w:rFonts w:eastAsia="Aptos"/>
        </w:rPr>
        <w:t>: Porter’s Generic Strategies</w:t>
      </w:r>
      <w:bookmarkEnd w:id="8"/>
    </w:p>
    <w:p w14:paraId="73F747D9" w14:textId="13D5580A" w:rsidR="00C325C2" w:rsidRPr="00ED4D73" w:rsidRDefault="00B133ED" w:rsidP="00ED4D73">
      <w:pPr>
        <w:spacing w:line="360" w:lineRule="auto"/>
        <w:jc w:val="both"/>
        <w:rPr>
          <w:rFonts w:ascii="Arial" w:hAnsi="Arial" w:cs="Arial"/>
        </w:rPr>
      </w:pPr>
      <w:r w:rsidRPr="00ED4D73">
        <w:rPr>
          <w:rFonts w:ascii="Arial" w:eastAsia="Aptos" w:hAnsi="Arial" w:cs="Arial"/>
        </w:rPr>
        <w:t>Tata should pursue differentiation focus, targeting selected construction and automotive customers whose procurement decisions place measurable value on verified lower emissions.</w:t>
      </w:r>
      <w:r w:rsidR="00A2A3DA" w:rsidRPr="00ED4D73">
        <w:rPr>
          <w:rFonts w:ascii="Arial" w:eastAsia="Aptos" w:hAnsi="Arial" w:cs="Arial"/>
        </w:rPr>
        <w:t xml:space="preserve"> Porter’s positioning framework links differentiation to distinctive customer value that can support a premium price (Institute for Strategy and Competitiveness, n.d.). For Tata, the proposed value proposition combines independently verified product emissions, dependable technical quality and support for customers’ carbon reporting. This connects product development to customer needs rather than presenting cleaner production technology as a benefit in isolation.</w:t>
      </w:r>
    </w:p>
    <w:p w14:paraId="149EC28F" w14:textId="39FF0E0B" w:rsidR="00C325C2" w:rsidRDefault="00A2A3DA" w:rsidP="00ED4D73">
      <w:pPr>
        <w:spacing w:line="360" w:lineRule="auto"/>
        <w:jc w:val="both"/>
        <w:rPr>
          <w:rFonts w:ascii="Arial" w:eastAsia="Aptos" w:hAnsi="Arial" w:cs="Arial"/>
        </w:rPr>
      </w:pPr>
      <w:r w:rsidRPr="00ED4D73">
        <w:rPr>
          <w:rFonts w:ascii="Arial" w:eastAsia="Aptos" w:hAnsi="Arial" w:cs="Arial"/>
        </w:rPr>
        <w:t>However, lower-carbon steel is not unique to Tata.</w:t>
      </w:r>
      <w:r w:rsidR="00262807" w:rsidRPr="00ED4D73">
        <w:rPr>
          <w:rFonts w:ascii="Arial" w:eastAsia="Aptos" w:hAnsi="Arial" w:cs="Arial"/>
        </w:rPr>
        <w:t xml:space="preserve"> </w:t>
      </w:r>
      <w:r w:rsidR="00173341" w:rsidRPr="00ED4D73">
        <w:rPr>
          <w:rFonts w:ascii="Arial" w:eastAsia="Aptos" w:hAnsi="Arial" w:cs="Arial"/>
        </w:rPr>
        <w:t>Swedish</w:t>
      </w:r>
      <w:r w:rsidR="00262807" w:rsidRPr="00ED4D73">
        <w:rPr>
          <w:rFonts w:ascii="Arial" w:eastAsia="Aptos" w:hAnsi="Arial" w:cs="Arial"/>
        </w:rPr>
        <w:t xml:space="preserve"> steelmaker</w:t>
      </w:r>
      <w:r w:rsidRPr="00ED4D73">
        <w:rPr>
          <w:rFonts w:ascii="Arial" w:eastAsia="Aptos" w:hAnsi="Arial" w:cs="Arial"/>
        </w:rPr>
        <w:t xml:space="preserve"> SSAB </w:t>
      </w:r>
      <w:r w:rsidR="00262807" w:rsidRPr="00ED4D73">
        <w:rPr>
          <w:rFonts w:ascii="Arial" w:eastAsia="Aptos" w:hAnsi="Arial" w:cs="Arial"/>
        </w:rPr>
        <w:t xml:space="preserve">(originally Svenskt Stål Aktiebolag, meaning Swedish Steel Limited) </w:t>
      </w:r>
      <w:r w:rsidRPr="00ED4D73">
        <w:rPr>
          <w:rFonts w:ascii="Arial" w:eastAsia="Aptos" w:hAnsi="Arial" w:cs="Arial"/>
        </w:rPr>
        <w:t>markets SSAB Zero, produced using recycled steel and fossil-free energy, and reports low fossil-carbon emissions within specified production boundaries (SSAB, n.d.). This competitor example demonstrates that environmental positioning is already contested. Tata should therefore benchmark competing grades on comparable emissions boundaries, price, availability and technical performance. SSAB’s own claims should</w:t>
      </w:r>
      <w:r w:rsidR="001018DF">
        <w:rPr>
          <w:rFonts w:ascii="Arial" w:eastAsia="Aptos" w:hAnsi="Arial" w:cs="Arial"/>
        </w:rPr>
        <w:t xml:space="preserve"> </w:t>
      </w:r>
      <w:r w:rsidRPr="00ED4D73">
        <w:rPr>
          <w:rFonts w:ascii="Arial" w:eastAsia="Aptos" w:hAnsi="Arial" w:cs="Arial"/>
        </w:rPr>
        <w:t>also be treated as company evidence, rather than independent proof that its products outperform Tata’s.</w:t>
      </w:r>
    </w:p>
    <w:p w14:paraId="2659B01B" w14:textId="405598F8" w:rsidR="001018DF" w:rsidRDefault="001018DF" w:rsidP="00ED4D73">
      <w:pPr>
        <w:spacing w:line="360" w:lineRule="auto"/>
        <w:jc w:val="both"/>
        <w:rPr>
          <w:rFonts w:ascii="Arial" w:eastAsia="Aptos" w:hAnsi="Arial" w:cs="Arial"/>
        </w:rPr>
      </w:pPr>
    </w:p>
    <w:p w14:paraId="63D6562D" w14:textId="0826EA9C" w:rsidR="001018DF" w:rsidRPr="00ED4D73" w:rsidRDefault="001018DF" w:rsidP="00ED4D73">
      <w:pPr>
        <w:spacing w:line="360" w:lineRule="auto"/>
        <w:jc w:val="both"/>
        <w:rPr>
          <w:rFonts w:ascii="Arial" w:eastAsia="Aptos" w:hAnsi="Arial" w:cs="Arial"/>
        </w:rPr>
      </w:pPr>
    </w:p>
    <w:p w14:paraId="31AA5E65" w14:textId="25CD9ECC" w:rsidR="00B133ED" w:rsidRPr="00ED4D73" w:rsidRDefault="001018DF" w:rsidP="00ED4D73">
      <w:pPr>
        <w:spacing w:line="360" w:lineRule="auto"/>
        <w:jc w:val="both"/>
        <w:rPr>
          <w:rFonts w:ascii="Arial" w:eastAsia="Aptos" w:hAnsi="Arial" w:cs="Arial"/>
        </w:rPr>
      </w:pPr>
      <w:r>
        <w:rPr>
          <w:rFonts w:ascii="Arial" w:eastAsia="Aptos" w:hAnsi="Arial" w:cs="Arial"/>
          <w:noProof/>
        </w:rPr>
        <w:lastRenderedPageBreak/>
        <w:drawing>
          <wp:anchor distT="0" distB="0" distL="114300" distR="114300" simplePos="0" relativeHeight="251661312" behindDoc="0" locked="0" layoutInCell="1" allowOverlap="1" wp14:anchorId="0C41B30B" wp14:editId="0D2D2D23">
            <wp:simplePos x="0" y="0"/>
            <wp:positionH relativeFrom="margin">
              <wp:posOffset>-85090</wp:posOffset>
            </wp:positionH>
            <wp:positionV relativeFrom="paragraph">
              <wp:posOffset>123190</wp:posOffset>
            </wp:positionV>
            <wp:extent cx="5731510" cy="3152140"/>
            <wp:effectExtent l="0" t="0" r="2540" b="0"/>
            <wp:wrapSquare wrapText="bothSides"/>
            <wp:docPr id="236578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78943" name="Picture 23657894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14:sizeRelH relativeFrom="page">
              <wp14:pctWidth>0</wp14:pctWidth>
            </wp14:sizeRelH>
            <wp14:sizeRelV relativeFrom="page">
              <wp14:pctHeight>0</wp14:pctHeight>
            </wp14:sizeRelV>
          </wp:anchor>
        </w:drawing>
      </w:r>
      <w:r w:rsidR="00B133ED" w:rsidRPr="00ED4D73">
        <w:rPr>
          <w:rFonts w:ascii="Arial" w:eastAsia="Aptos" w:hAnsi="Arial" w:cs="Arial"/>
        </w:rPr>
        <w:t>Figure 2: Porter’s Generic Strategies applied to Tata Steel. Independently created based on Porter’s framework, as explained by the Institute for Strategy and Competitiveness (n.d.); Tata applications represent the report’s analysis.</w:t>
      </w:r>
    </w:p>
    <w:p w14:paraId="7F68606B" w14:textId="2ABCBDE4" w:rsidR="00B133ED" w:rsidRPr="00ED4D73" w:rsidRDefault="00B133ED" w:rsidP="00ED4D73">
      <w:pPr>
        <w:spacing w:line="360" w:lineRule="auto"/>
        <w:jc w:val="both"/>
        <w:rPr>
          <w:rFonts w:ascii="Arial" w:hAnsi="Arial" w:cs="Arial"/>
        </w:rPr>
      </w:pPr>
    </w:p>
    <w:p w14:paraId="5BCC63E8" w14:textId="3C6E034E" w:rsidR="00C325C2" w:rsidRPr="00ED4D73" w:rsidRDefault="00A2A3DA" w:rsidP="00ED4D73">
      <w:pPr>
        <w:spacing w:line="360" w:lineRule="auto"/>
        <w:jc w:val="both"/>
        <w:rPr>
          <w:rFonts w:ascii="Arial" w:hAnsi="Arial" w:cs="Arial"/>
        </w:rPr>
      </w:pPr>
      <w:r w:rsidRPr="00ED4D73">
        <w:rPr>
          <w:rFonts w:ascii="Arial" w:eastAsia="Aptos" w:hAnsi="Arial" w:cs="Arial"/>
        </w:rPr>
        <w:t>Barney (1991) argues that sustained advantage depends on resources being valuable, rare, difficult to imitate and without strategically equivalent substitutes. An electric arc furnace alone is unlikely to satisfy these conditions because competitors can acquire similar technology. A stronger potential advantage would come from combining technical expertise, customer-specific qualification, reliable supply relationships and credible emissions information. These capabilities could make Tata’s offering more useful and harder to replicate as a complete package, although their rarity and effectiveness require evidence rather than assumption.</w:t>
      </w:r>
    </w:p>
    <w:p w14:paraId="507E3B5A" w14:textId="05D58EE2" w:rsidR="00C325C2" w:rsidRPr="00ED4D73" w:rsidRDefault="00A2A3DA" w:rsidP="00ED4D73">
      <w:pPr>
        <w:spacing w:line="360" w:lineRule="auto"/>
        <w:jc w:val="both"/>
        <w:rPr>
          <w:rFonts w:ascii="Arial" w:hAnsi="Arial" w:cs="Arial"/>
        </w:rPr>
      </w:pPr>
      <w:r w:rsidRPr="00ED4D73">
        <w:rPr>
          <w:rFonts w:ascii="Arial" w:eastAsia="Aptos" w:hAnsi="Arial" w:cs="Arial"/>
        </w:rPr>
        <w:t>Tata should consequently develop the offering jointly with selected existing customers, agreeing technical specifications and emissions requirements before wider launch. Pricing should reflect verified customer value while maintaining cost discipline; differentiation does not remove the need to control energy and scrap expenditure. Success would mean retaining or winning profitable contracts because customers prefer the overall proposition. If competitors match its benefits or buyers reject the premium, environmental performance may become a market-entry requirement rather than a source of sustained superior returns.</w:t>
      </w:r>
    </w:p>
    <w:p w14:paraId="273DBBA8" w14:textId="1C857D20" w:rsidR="00C325C2" w:rsidRPr="00ED4D73" w:rsidRDefault="00A2A3DA" w:rsidP="00ED4D73">
      <w:pPr>
        <w:spacing w:line="360" w:lineRule="auto"/>
        <w:jc w:val="both"/>
        <w:rPr>
          <w:rFonts w:ascii="Arial" w:hAnsi="Arial" w:cs="Arial"/>
        </w:rPr>
      </w:pPr>
      <w:r w:rsidRPr="00ED4D73">
        <w:rPr>
          <w:rFonts w:ascii="Arial" w:eastAsia="Aptos" w:hAnsi="Arial" w:cs="Arial"/>
        </w:rPr>
        <w:lastRenderedPageBreak/>
        <w:t xml:space="preserve"> </w:t>
      </w:r>
    </w:p>
    <w:p w14:paraId="77131488" w14:textId="104988D7" w:rsidR="00C325C2" w:rsidRPr="00ED4D73" w:rsidRDefault="00A2A3DA" w:rsidP="00ED4D73">
      <w:pPr>
        <w:pStyle w:val="Heading2"/>
        <w:jc w:val="both"/>
      </w:pPr>
      <w:bookmarkStart w:id="9" w:name="_Toc243523591"/>
      <w:r w:rsidRPr="00ED4D73">
        <w:rPr>
          <w:rFonts w:eastAsia="Aptos"/>
        </w:rPr>
        <w:t>2.3 Implementation and evaluation</w:t>
      </w:r>
      <w:bookmarkEnd w:id="9"/>
    </w:p>
    <w:p w14:paraId="28A60765" w14:textId="2052277F" w:rsidR="00C325C2" w:rsidRPr="00ED4D73" w:rsidRDefault="00A2A3DA" w:rsidP="00ED4D73">
      <w:pPr>
        <w:spacing w:line="360" w:lineRule="auto"/>
        <w:jc w:val="both"/>
        <w:rPr>
          <w:rFonts w:ascii="Arial" w:hAnsi="Arial" w:cs="Arial"/>
        </w:rPr>
      </w:pPr>
      <w:r w:rsidRPr="00ED4D73">
        <w:rPr>
          <w:rFonts w:ascii="Arial" w:eastAsia="Aptos" w:hAnsi="Arial" w:cs="Arial"/>
        </w:rPr>
        <w:t>Tata should implement product development in stages, beginning with selected existing customers rather than committing immediately to a broad launch. Marketing and technical teams should agree product specifications, emissions boundaries and acceptable pricing, then qualify trial materials before promising commercial supply. The IEA (2025) identifies firm purchasing agreements as a means of reducing investment uncertainty; Tata should therefore seek conditional volume commitments linked to verified performance and delivery milestones.</w:t>
      </w:r>
    </w:p>
    <w:p w14:paraId="7D5C490A" w14:textId="3F52BB86" w:rsidR="00C325C2" w:rsidRPr="00ED4D73" w:rsidRDefault="00A2A3DA" w:rsidP="00ED4D73">
      <w:pPr>
        <w:spacing w:line="360" w:lineRule="auto"/>
        <w:jc w:val="both"/>
        <w:rPr>
          <w:rFonts w:ascii="Arial" w:hAnsi="Arial" w:cs="Arial"/>
        </w:rPr>
      </w:pPr>
      <w:r w:rsidRPr="00ED4D73">
        <w:rPr>
          <w:rFonts w:ascii="Arial" w:eastAsia="Aptos" w:hAnsi="Arial" w:cs="Arial"/>
        </w:rPr>
        <w:t>Before expansion, finance and procurement teams should test profitability under alternative electricity prices, scrap costs and customer premiums. This responds to the competitive pressures identified in Task 1 (OECD, 2026). Management should approve wider sales only where customer qualification, supply readiness and projected margins meet agreed thresholds. If these conditions fail, Tata should revise the offering or delay expansion while maintaining existing customer relationships.</w:t>
      </w:r>
    </w:p>
    <w:p w14:paraId="4780F073" w14:textId="32F67F2A" w:rsidR="00C325C2" w:rsidRPr="00ED4D73" w:rsidRDefault="00A2A3DA" w:rsidP="00ED4D73">
      <w:pPr>
        <w:spacing w:line="360" w:lineRule="auto"/>
        <w:jc w:val="both"/>
        <w:rPr>
          <w:rFonts w:ascii="Arial" w:hAnsi="Arial" w:cs="Arial"/>
        </w:rPr>
      </w:pPr>
      <w:r w:rsidRPr="00ED4D73">
        <w:rPr>
          <w:rFonts w:ascii="Arial" w:eastAsia="Aptos" w:hAnsi="Arial" w:cs="Arial"/>
        </w:rPr>
        <w:t>Evaluation should combine commercial and environmental measures: contribution per tonne, contracted volumes, customer retention, on-time delivery and verified product emissions intensity. These are proposed measures, not reported Tata results. Lower emissions without viable margins would undermine investment recovery, while profitable sales without substantiated environmental benefits would weaken differentiation. Ansoff provides a useful growth direction but cannot establish feasibility; implementation must remain responsive to customer evidence, operating costs and competitor developments.</w:t>
      </w:r>
    </w:p>
    <w:p w14:paraId="1AD10150" w14:textId="21A4EEEB"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 </w:t>
      </w:r>
    </w:p>
    <w:p w14:paraId="62BFBF47" w14:textId="17CA7BA5" w:rsidR="00C325C2" w:rsidRPr="00ED4D73" w:rsidRDefault="00A2A3DA" w:rsidP="00ED4D73">
      <w:pPr>
        <w:pStyle w:val="Heading1"/>
        <w:jc w:val="both"/>
      </w:pPr>
      <w:bookmarkStart w:id="10" w:name="_Toc243523592"/>
      <w:r w:rsidRPr="00ED4D73">
        <w:rPr>
          <w:rFonts w:eastAsia="Aptos"/>
        </w:rPr>
        <w:t>3. Managerial and Professional Reflection</w:t>
      </w:r>
      <w:bookmarkEnd w:id="10"/>
    </w:p>
    <w:p w14:paraId="26ECB432" w14:textId="637D04C4"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I selected Tata Steel because its lower-carbon transition exposes a managerial tension between environmental responsibility and commercial viability. Port Talbot provides a concrete example, while the wider group highlights differences between national operating conditions. For senior leadership, my aim was to identify where environmental change creates customer value and where it introduces risks. However, using UK examples could bias the report towards one geography. I would therefore </w:t>
      </w:r>
      <w:r w:rsidRPr="00ED4D73">
        <w:rPr>
          <w:rFonts w:ascii="Arial" w:eastAsia="Aptos" w:hAnsi="Arial" w:cs="Arial"/>
        </w:rPr>
        <w:lastRenderedPageBreak/>
        <w:t>present the recommendation as an initial UK-focused approach, rather than assume it applies equally across Tata’s operations.</w:t>
      </w:r>
    </w:p>
    <w:p w14:paraId="0DB76902" w14:textId="545BEC80" w:rsidR="00C325C2" w:rsidRPr="00ED4D73" w:rsidRDefault="00A2A3DA" w:rsidP="00ED4D73">
      <w:pPr>
        <w:spacing w:line="360" w:lineRule="auto"/>
        <w:jc w:val="both"/>
        <w:rPr>
          <w:rFonts w:ascii="Arial" w:hAnsi="Arial" w:cs="Arial"/>
        </w:rPr>
      </w:pPr>
      <w:r w:rsidRPr="00ED4D73">
        <w:rPr>
          <w:rFonts w:ascii="Arial" w:eastAsia="Aptos" w:hAnsi="Arial" w:cs="Arial"/>
        </w:rPr>
        <w:t>I prioritised environmental, political/legal and economic factors because they explain connected aspects of the transition: why change is necessary, how policy shapes its feasibility, and whether customers and operating margins can support it. This selection enabled depth within the word limit, but excluded detailed analysis of other influences, including technological development and stakeholder relationships. These remain relevant and should be investigated before a final decision. My analysis also risks treating the selected factors separately when, in practice, electricity support and carbon rules directly affect economic competitiveness.</w:t>
      </w:r>
    </w:p>
    <w:p w14:paraId="372ECF6C" w14:textId="42359E45" w:rsidR="00C325C2" w:rsidRPr="00ED4D73" w:rsidRDefault="00A2A3DA" w:rsidP="00ED4D73">
      <w:pPr>
        <w:spacing w:line="360" w:lineRule="auto"/>
        <w:jc w:val="both"/>
        <w:rPr>
          <w:rFonts w:ascii="Arial" w:hAnsi="Arial" w:cs="Arial"/>
        </w:rPr>
      </w:pPr>
      <w:r w:rsidRPr="00ED4D73">
        <w:rPr>
          <w:rFonts w:ascii="Arial" w:eastAsia="Aptos" w:hAnsi="Arial" w:cs="Arial"/>
        </w:rPr>
        <w:t>I recommended product development for existing markets because it combines a relevant environmental opportunity with established customer relationships. However, I recognised that cleaner production is not automatically a new product. The recommendation depends on customers valuing a demonstrably enhanced offering. If the environmental attributes do not alter purchasing decisions, market penetration may be the more accurate classification. Similarly, differentiation is a proposed route to advantage, not evidence that Tata possesses unique capabilities or can sustain a premium. Presenting these conditions explicitly would help leadership understand the limits of the recommendation.</w:t>
      </w:r>
    </w:p>
    <w:p w14:paraId="0F5DBB0F" w14:textId="79D05B18"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The principal limitation is reliance on publicly available secondary evidence. Corporate reporting is useful for understanding commitments but may emphasise favourable developments. Research on greenwashing identifies selective disclosure and unclear environmental claims as concerns (de Freitas Netto et al., 2020). This does not establish that Tata is greenwashing; it explains why I should distinguish forecasts, </w:t>
      </w:r>
      <w:proofErr w:type="gramStart"/>
      <w:r w:rsidRPr="00ED4D73">
        <w:rPr>
          <w:rFonts w:ascii="Arial" w:eastAsia="Aptos" w:hAnsi="Arial" w:cs="Arial"/>
        </w:rPr>
        <w:t>report</w:t>
      </w:r>
      <w:r w:rsidR="00DB3563">
        <w:rPr>
          <w:rFonts w:ascii="Arial" w:eastAsia="Aptos" w:hAnsi="Arial" w:cs="Arial"/>
        </w:rPr>
        <w:t>ed</w:t>
      </w:r>
      <w:proofErr w:type="gramEnd"/>
      <w:r w:rsidRPr="00ED4D73">
        <w:rPr>
          <w:rFonts w:ascii="Arial" w:eastAsia="Aptos" w:hAnsi="Arial" w:cs="Arial"/>
        </w:rPr>
        <w:t xml:space="preserve"> achievements and independently verified product outcomes. Sector averages also cannot establish Tata’s actual costs, while industry forecasts remain uncertain.</w:t>
      </w:r>
    </w:p>
    <w:p w14:paraId="308449F4" w14:textId="26D73082"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Before advising leadership to expand the offering, I would seek customer interviews, willingness-to-pay evidence, binding demand commitments, grade-specific qualification results and independently verified emissions data. I would also request site-level electricity and scrap contracts, investment forecasts and contribution margins. Sensitivity analysis would test whether the recommendation remains viable </w:t>
      </w:r>
      <w:r w:rsidRPr="00ED4D73">
        <w:rPr>
          <w:rFonts w:ascii="Arial" w:eastAsia="Aptos" w:hAnsi="Arial" w:cs="Arial"/>
        </w:rPr>
        <w:lastRenderedPageBreak/>
        <w:t>under weaker demand or higher costs. HM Treasury (2026) recommends testing key assumptions in public-sector appraisal; I would adapt this principle to Tata’s commercial decision rather than treat that guidance as a corporate requirement.</w:t>
      </w:r>
    </w:p>
    <w:p w14:paraId="136B43FA" w14:textId="44346967" w:rsidR="00C325C2" w:rsidRPr="00ED4D73" w:rsidRDefault="00A2A3DA" w:rsidP="00ED4D73">
      <w:pPr>
        <w:spacing w:line="360" w:lineRule="auto"/>
        <w:jc w:val="both"/>
        <w:rPr>
          <w:rFonts w:ascii="Arial" w:hAnsi="Arial" w:cs="Arial"/>
        </w:rPr>
      </w:pPr>
      <w:r w:rsidRPr="00ED4D73">
        <w:rPr>
          <w:rFonts w:ascii="Arial" w:eastAsia="Aptos" w:hAnsi="Arial" w:cs="Arial"/>
        </w:rPr>
        <w:t>This work reinforces the importance of linking marketing recommendations to evidence and implementation conditions. In developing my professional judgement, I need to challenge attractive sustainability narratives and explain uncertainty clearly. My recommendation to leadership would therefore be conditional approval for customer-led trials, followed by expansion only when technical, environmental and commercial evidence supports it.</w:t>
      </w:r>
    </w:p>
    <w:p w14:paraId="3E5F37A9" w14:textId="77777777" w:rsidR="00A21EBB" w:rsidRDefault="00A21EBB" w:rsidP="00ED4D73">
      <w:pPr>
        <w:spacing w:line="360" w:lineRule="auto"/>
        <w:jc w:val="both"/>
        <w:rPr>
          <w:rFonts w:ascii="Arial" w:eastAsia="Aptos" w:hAnsi="Arial" w:cs="Arial"/>
        </w:rPr>
      </w:pPr>
    </w:p>
    <w:p w14:paraId="33971B96" w14:textId="77777777" w:rsidR="001500CC" w:rsidRDefault="001500CC" w:rsidP="00ED4D73">
      <w:pPr>
        <w:spacing w:line="360" w:lineRule="auto"/>
        <w:jc w:val="both"/>
        <w:rPr>
          <w:rFonts w:ascii="Arial" w:eastAsia="Aptos" w:hAnsi="Arial" w:cs="Arial"/>
        </w:rPr>
      </w:pPr>
    </w:p>
    <w:p w14:paraId="6A874AB9" w14:textId="77777777" w:rsidR="001500CC" w:rsidRDefault="001500CC" w:rsidP="00ED4D73">
      <w:pPr>
        <w:spacing w:line="360" w:lineRule="auto"/>
        <w:jc w:val="both"/>
        <w:rPr>
          <w:rFonts w:ascii="Arial" w:eastAsia="Aptos" w:hAnsi="Arial" w:cs="Arial"/>
        </w:rPr>
      </w:pPr>
    </w:p>
    <w:p w14:paraId="3C1CCC26" w14:textId="77777777" w:rsidR="001500CC" w:rsidRDefault="001500CC" w:rsidP="00ED4D73">
      <w:pPr>
        <w:spacing w:line="360" w:lineRule="auto"/>
        <w:jc w:val="both"/>
        <w:rPr>
          <w:rFonts w:ascii="Arial" w:eastAsia="Aptos" w:hAnsi="Arial" w:cs="Arial"/>
        </w:rPr>
      </w:pPr>
    </w:p>
    <w:p w14:paraId="11277534" w14:textId="77777777" w:rsidR="005E031F" w:rsidRDefault="005E031F" w:rsidP="00ED4D73">
      <w:pPr>
        <w:spacing w:line="360" w:lineRule="auto"/>
        <w:jc w:val="both"/>
        <w:rPr>
          <w:rFonts w:ascii="Arial" w:eastAsia="Aptos" w:hAnsi="Arial" w:cs="Arial"/>
        </w:rPr>
      </w:pPr>
    </w:p>
    <w:p w14:paraId="61C77D5E" w14:textId="77777777" w:rsidR="005E031F" w:rsidRDefault="005E031F" w:rsidP="00ED4D73">
      <w:pPr>
        <w:spacing w:line="360" w:lineRule="auto"/>
        <w:jc w:val="both"/>
        <w:rPr>
          <w:rFonts w:ascii="Arial" w:eastAsia="Aptos" w:hAnsi="Arial" w:cs="Arial"/>
        </w:rPr>
      </w:pPr>
    </w:p>
    <w:p w14:paraId="0908ED8A" w14:textId="77777777" w:rsidR="005E031F" w:rsidRDefault="005E031F" w:rsidP="00ED4D73">
      <w:pPr>
        <w:spacing w:line="360" w:lineRule="auto"/>
        <w:jc w:val="both"/>
        <w:rPr>
          <w:rFonts w:ascii="Arial" w:eastAsia="Aptos" w:hAnsi="Arial" w:cs="Arial"/>
        </w:rPr>
      </w:pPr>
    </w:p>
    <w:p w14:paraId="1579B873" w14:textId="77777777" w:rsidR="005E031F" w:rsidRDefault="005E031F" w:rsidP="00ED4D73">
      <w:pPr>
        <w:spacing w:line="360" w:lineRule="auto"/>
        <w:jc w:val="both"/>
        <w:rPr>
          <w:rFonts w:ascii="Arial" w:eastAsia="Aptos" w:hAnsi="Arial" w:cs="Arial"/>
        </w:rPr>
      </w:pPr>
    </w:p>
    <w:p w14:paraId="60E798EA" w14:textId="77777777" w:rsidR="005E031F" w:rsidRDefault="005E031F" w:rsidP="00ED4D73">
      <w:pPr>
        <w:spacing w:line="360" w:lineRule="auto"/>
        <w:jc w:val="both"/>
        <w:rPr>
          <w:rFonts w:ascii="Arial" w:eastAsia="Aptos" w:hAnsi="Arial" w:cs="Arial"/>
        </w:rPr>
      </w:pPr>
    </w:p>
    <w:p w14:paraId="37F43C3B" w14:textId="77777777" w:rsidR="005E031F" w:rsidRDefault="005E031F" w:rsidP="00ED4D73">
      <w:pPr>
        <w:spacing w:line="360" w:lineRule="auto"/>
        <w:jc w:val="both"/>
        <w:rPr>
          <w:rFonts w:ascii="Arial" w:eastAsia="Aptos" w:hAnsi="Arial" w:cs="Arial"/>
        </w:rPr>
      </w:pPr>
    </w:p>
    <w:p w14:paraId="68A46035" w14:textId="77777777" w:rsidR="005E031F" w:rsidRDefault="005E031F" w:rsidP="00ED4D73">
      <w:pPr>
        <w:spacing w:line="360" w:lineRule="auto"/>
        <w:jc w:val="both"/>
        <w:rPr>
          <w:rFonts w:ascii="Arial" w:eastAsia="Aptos" w:hAnsi="Arial" w:cs="Arial"/>
        </w:rPr>
      </w:pPr>
    </w:p>
    <w:p w14:paraId="1E2DC835" w14:textId="77777777" w:rsidR="005E031F" w:rsidRDefault="005E031F" w:rsidP="00ED4D73">
      <w:pPr>
        <w:spacing w:line="360" w:lineRule="auto"/>
        <w:jc w:val="both"/>
        <w:rPr>
          <w:rFonts w:ascii="Arial" w:eastAsia="Aptos" w:hAnsi="Arial" w:cs="Arial"/>
        </w:rPr>
      </w:pPr>
    </w:p>
    <w:p w14:paraId="368FF371" w14:textId="77777777" w:rsidR="005E031F" w:rsidRDefault="005E031F" w:rsidP="00ED4D73">
      <w:pPr>
        <w:spacing w:line="360" w:lineRule="auto"/>
        <w:jc w:val="both"/>
        <w:rPr>
          <w:rFonts w:ascii="Arial" w:eastAsia="Aptos" w:hAnsi="Arial" w:cs="Arial"/>
        </w:rPr>
      </w:pPr>
    </w:p>
    <w:p w14:paraId="11E3D888" w14:textId="77777777" w:rsidR="005E031F" w:rsidRDefault="005E031F" w:rsidP="00ED4D73">
      <w:pPr>
        <w:spacing w:line="360" w:lineRule="auto"/>
        <w:jc w:val="both"/>
        <w:rPr>
          <w:rFonts w:ascii="Arial" w:eastAsia="Aptos" w:hAnsi="Arial" w:cs="Arial"/>
        </w:rPr>
      </w:pPr>
    </w:p>
    <w:p w14:paraId="0F3255B6" w14:textId="77777777" w:rsidR="005E031F" w:rsidRPr="00ED4D73" w:rsidRDefault="005E031F" w:rsidP="00ED4D73">
      <w:pPr>
        <w:spacing w:line="360" w:lineRule="auto"/>
        <w:jc w:val="both"/>
        <w:rPr>
          <w:rFonts w:ascii="Arial" w:eastAsia="Aptos" w:hAnsi="Arial" w:cs="Arial"/>
        </w:rPr>
      </w:pPr>
    </w:p>
    <w:p w14:paraId="15B2858C" w14:textId="2024C9D2" w:rsidR="00C325C2" w:rsidRPr="00ED4D73" w:rsidRDefault="00A2A3DA" w:rsidP="00ED4D73">
      <w:pPr>
        <w:pStyle w:val="Heading1"/>
        <w:jc w:val="both"/>
      </w:pPr>
      <w:bookmarkStart w:id="11" w:name="_Toc243523593"/>
      <w:r w:rsidRPr="00ED4D73">
        <w:rPr>
          <w:rFonts w:eastAsia="Aptos"/>
        </w:rPr>
        <w:lastRenderedPageBreak/>
        <w:t>References</w:t>
      </w:r>
      <w:bookmarkEnd w:id="11"/>
    </w:p>
    <w:p w14:paraId="32CFE444" w14:textId="4F984924"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Ansoff, H.I. (1957) ‘Strategies for diversification’, </w:t>
      </w:r>
      <w:r w:rsidRPr="00ED4D73">
        <w:rPr>
          <w:rFonts w:ascii="Arial" w:eastAsia="Aptos" w:hAnsi="Arial" w:cs="Arial"/>
          <w:i/>
          <w:iCs/>
        </w:rPr>
        <w:t>Harvard Business Review</w:t>
      </w:r>
      <w:r w:rsidRPr="00ED4D73">
        <w:rPr>
          <w:rFonts w:ascii="Arial" w:eastAsia="Aptos" w:hAnsi="Arial" w:cs="Arial"/>
        </w:rPr>
        <w:t xml:space="preserve">, 35(5), pp. 113–124. Available at: </w:t>
      </w:r>
      <w:hyperlink r:id="rId10">
        <w:r w:rsidRPr="00ED4D73">
          <w:rPr>
            <w:rStyle w:val="Hyperlink"/>
            <w:rFonts w:ascii="Arial" w:hAnsi="Arial" w:cs="Arial"/>
          </w:rPr>
          <w:t>https://studylib.net/doc/27920752/ansoff--h.-</w:t>
        </w:r>
        <w:proofErr w:type="spellStart"/>
        <w:r w:rsidRPr="00ED4D73">
          <w:rPr>
            <w:rStyle w:val="Hyperlink"/>
            <w:rFonts w:ascii="Arial" w:hAnsi="Arial" w:cs="Arial"/>
          </w:rPr>
          <w:t>i</w:t>
        </w:r>
        <w:proofErr w:type="spellEnd"/>
        <w:r w:rsidRPr="00ED4D73">
          <w:rPr>
            <w:rStyle w:val="Hyperlink"/>
            <w:rFonts w:ascii="Arial" w:hAnsi="Arial" w:cs="Arial"/>
          </w:rPr>
          <w:t>.--1957-.-strategies-for-diversification</w:t>
        </w:r>
      </w:hyperlink>
      <w:r w:rsidRPr="00ED4D73">
        <w:rPr>
          <w:rFonts w:ascii="Arial" w:eastAsia="Aptos" w:hAnsi="Arial" w:cs="Arial"/>
        </w:rPr>
        <w:t>?  (Accessed: 14 October 2026).</w:t>
      </w:r>
    </w:p>
    <w:p w14:paraId="552AAEBC" w14:textId="40D2210E"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Barney, J. (1991) ‘Firm resources and sustained competitive advantage’, </w:t>
      </w:r>
      <w:r w:rsidRPr="00ED4D73">
        <w:rPr>
          <w:rFonts w:ascii="Arial" w:eastAsia="Aptos" w:hAnsi="Arial" w:cs="Arial"/>
          <w:i/>
          <w:iCs/>
        </w:rPr>
        <w:t>Journal of Management</w:t>
      </w:r>
      <w:r w:rsidRPr="00ED4D73">
        <w:rPr>
          <w:rFonts w:ascii="Arial" w:eastAsia="Aptos" w:hAnsi="Arial" w:cs="Arial"/>
        </w:rPr>
        <w:t xml:space="preserve">, 17(1), pp. 99–120. Available at: </w:t>
      </w:r>
      <w:hyperlink r:id="rId11">
        <w:r w:rsidRPr="00ED4D73">
          <w:rPr>
            <w:rStyle w:val="Hyperlink"/>
            <w:rFonts w:ascii="Arial" w:hAnsi="Arial" w:cs="Arial"/>
          </w:rPr>
          <w:t>https://doi.org/10.1177/014920639101700108</w:t>
        </w:r>
      </w:hyperlink>
      <w:r w:rsidRPr="00ED4D73">
        <w:rPr>
          <w:rFonts w:ascii="Arial" w:eastAsia="Aptos" w:hAnsi="Arial" w:cs="Arial"/>
        </w:rPr>
        <w:t xml:space="preserve"> (Accessed: 14 October 2026).</w:t>
      </w:r>
    </w:p>
    <w:p w14:paraId="25093D80" w14:textId="267F2C94"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Department for Business and Trade (2026) </w:t>
      </w:r>
      <w:r w:rsidRPr="00ED4D73">
        <w:rPr>
          <w:rFonts w:ascii="Arial" w:eastAsia="Aptos" w:hAnsi="Arial" w:cs="Arial"/>
          <w:i/>
          <w:iCs/>
        </w:rPr>
        <w:t>The UK steel strategy</w:t>
      </w:r>
      <w:r w:rsidRPr="00ED4D73">
        <w:rPr>
          <w:rFonts w:ascii="Arial" w:eastAsia="Aptos" w:hAnsi="Arial" w:cs="Arial"/>
        </w:rPr>
        <w:t xml:space="preserve">. Available at: </w:t>
      </w:r>
      <w:hyperlink r:id="rId12">
        <w:r w:rsidRPr="00ED4D73">
          <w:rPr>
            <w:rStyle w:val="Hyperlink"/>
            <w:rFonts w:ascii="Arial" w:hAnsi="Arial" w:cs="Arial"/>
          </w:rPr>
          <w:t>https://www.gov.uk/government/publications/steel-strategy/the-uk-steel-strategy-web-version</w:t>
        </w:r>
      </w:hyperlink>
      <w:r w:rsidRPr="00ED4D73">
        <w:rPr>
          <w:rFonts w:ascii="Arial" w:eastAsia="Aptos" w:hAnsi="Arial" w:cs="Arial"/>
        </w:rPr>
        <w:t>? (Accessed: 9 October 2026).</w:t>
      </w:r>
    </w:p>
    <w:p w14:paraId="62EAE3B6" w14:textId="1609DF63"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Department for Business and Trade, Wales Office, Reynolds, J. and Stevens, J. (2024) </w:t>
      </w:r>
      <w:r w:rsidRPr="00ED4D73">
        <w:rPr>
          <w:rFonts w:ascii="Arial" w:eastAsia="Aptos" w:hAnsi="Arial" w:cs="Arial"/>
          <w:i/>
          <w:iCs/>
        </w:rPr>
        <w:t>Government puts workers at the heart of new and improved Port Talbot deal</w:t>
      </w:r>
      <w:r w:rsidRPr="00ED4D73">
        <w:rPr>
          <w:rFonts w:ascii="Arial" w:eastAsia="Aptos" w:hAnsi="Arial" w:cs="Arial"/>
        </w:rPr>
        <w:t xml:space="preserve">. 11 September. Available at: </w:t>
      </w:r>
      <w:hyperlink r:id="rId13">
        <w:r w:rsidRPr="00ED4D73">
          <w:rPr>
            <w:rStyle w:val="Hyperlink"/>
            <w:rFonts w:ascii="Arial" w:hAnsi="Arial" w:cs="Arial"/>
          </w:rPr>
          <w:t>https://www.gov.uk/government/news/government-puts-workers-at-the-heart-of-new-and-improved-port-talbot-deal</w:t>
        </w:r>
      </w:hyperlink>
      <w:r w:rsidRPr="00ED4D73">
        <w:rPr>
          <w:rFonts w:ascii="Arial" w:eastAsia="Aptos" w:hAnsi="Arial" w:cs="Arial"/>
        </w:rPr>
        <w:t>? (Accessed: 8 October 2026).</w:t>
      </w:r>
    </w:p>
    <w:p w14:paraId="709BF5D3" w14:textId="4AE647F5"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de Freitas Netto, S.V., Sobral, M.F.F., Ribeiro, A.R.B. and Soares, G.R.L. (2020) ‘Concepts and forms of greenwashing: a systematic review’, </w:t>
      </w:r>
      <w:r w:rsidRPr="00ED4D73">
        <w:rPr>
          <w:rFonts w:ascii="Arial" w:eastAsia="Aptos" w:hAnsi="Arial" w:cs="Arial"/>
          <w:i/>
          <w:iCs/>
        </w:rPr>
        <w:t>Environmental Sciences Europe</w:t>
      </w:r>
      <w:r w:rsidRPr="00ED4D73">
        <w:rPr>
          <w:rFonts w:ascii="Arial" w:eastAsia="Aptos" w:hAnsi="Arial" w:cs="Arial"/>
        </w:rPr>
        <w:t xml:space="preserve">, 32, article 19. Available at: </w:t>
      </w:r>
      <w:hyperlink r:id="rId14">
        <w:r w:rsidRPr="00ED4D73">
          <w:rPr>
            <w:rStyle w:val="Hyperlink"/>
            <w:rFonts w:ascii="Arial" w:hAnsi="Arial" w:cs="Arial"/>
          </w:rPr>
          <w:t>Concepts and forms of greenwashing: a systematic review | Environmental Sciences Europe | Springer Nature Link</w:t>
        </w:r>
      </w:hyperlink>
      <w:r w:rsidRPr="00ED4D73">
        <w:rPr>
          <w:rFonts w:ascii="Arial" w:eastAsia="Aptos" w:hAnsi="Arial" w:cs="Arial"/>
        </w:rPr>
        <w:t xml:space="preserve"> (Accessed: 14 October 2026).</w:t>
      </w:r>
    </w:p>
    <w:p w14:paraId="33685F93" w14:textId="77777777" w:rsidR="00AE6845" w:rsidRPr="00ED4D73" w:rsidRDefault="00AE6845" w:rsidP="00AE6845">
      <w:pPr>
        <w:spacing w:line="360" w:lineRule="auto"/>
        <w:jc w:val="both"/>
        <w:rPr>
          <w:rFonts w:ascii="Arial" w:hAnsi="Arial" w:cs="Arial"/>
        </w:rPr>
      </w:pPr>
      <w:r w:rsidRPr="00ED4D73">
        <w:rPr>
          <w:rFonts w:ascii="Arial" w:eastAsia="Aptos" w:hAnsi="Arial" w:cs="Arial"/>
        </w:rPr>
        <w:t xml:space="preserve">HM Revenue &amp; Customs (2026) </w:t>
      </w:r>
      <w:r w:rsidRPr="00ED4D73">
        <w:rPr>
          <w:rFonts w:ascii="Arial" w:eastAsia="Aptos" w:hAnsi="Arial" w:cs="Arial"/>
          <w:i/>
          <w:iCs/>
        </w:rPr>
        <w:t>Carbon Border Adjustment Mechanism (CBAM): Policy summary</w:t>
      </w:r>
      <w:r w:rsidRPr="00ED4D73">
        <w:rPr>
          <w:rFonts w:ascii="Arial" w:eastAsia="Aptos" w:hAnsi="Arial" w:cs="Arial"/>
        </w:rPr>
        <w:t xml:space="preserve">. 9 September. Available at: </w:t>
      </w:r>
      <w:hyperlink r:id="rId15">
        <w:r w:rsidRPr="00ED4D73">
          <w:rPr>
            <w:rStyle w:val="Hyperlink"/>
            <w:rFonts w:ascii="Arial" w:hAnsi="Arial" w:cs="Arial"/>
          </w:rPr>
          <w:t>https://www.gov.uk/government/publications/carbon-border-adjustment-mechanism-cbam-policy-summary/carbon-border-adjustment-mechanism-cbam-policy-summary</w:t>
        </w:r>
      </w:hyperlink>
      <w:r w:rsidRPr="00ED4D73">
        <w:rPr>
          <w:rFonts w:ascii="Arial" w:eastAsia="Aptos" w:hAnsi="Arial" w:cs="Arial"/>
        </w:rPr>
        <w:t>? (Accessed: 8 October 2026).</w:t>
      </w:r>
    </w:p>
    <w:p w14:paraId="5BC5AA06" w14:textId="20540DBD"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HM Treasury (2026) </w:t>
      </w:r>
      <w:r w:rsidRPr="00ED4D73">
        <w:rPr>
          <w:rFonts w:ascii="Arial" w:eastAsia="Aptos" w:hAnsi="Arial" w:cs="Arial"/>
          <w:i/>
          <w:iCs/>
        </w:rPr>
        <w:t>The Green Book: UK government guidance on appraisal</w:t>
      </w:r>
      <w:r w:rsidRPr="00ED4D73">
        <w:rPr>
          <w:rFonts w:ascii="Arial" w:eastAsia="Aptos" w:hAnsi="Arial" w:cs="Arial"/>
        </w:rPr>
        <w:t xml:space="preserve">. Available at: </w:t>
      </w:r>
      <w:hyperlink r:id="rId16">
        <w:r w:rsidRPr="00ED4D73">
          <w:rPr>
            <w:rStyle w:val="Hyperlink"/>
            <w:rFonts w:ascii="Arial" w:hAnsi="Arial" w:cs="Arial"/>
          </w:rPr>
          <w:t>https://www.gov.uk/government/publications/the-green-book--2/the-green-book-2026</w:t>
        </w:r>
      </w:hyperlink>
      <w:r w:rsidRPr="00ED4D73">
        <w:rPr>
          <w:rFonts w:ascii="Arial" w:eastAsia="Aptos" w:hAnsi="Arial" w:cs="Arial"/>
        </w:rPr>
        <w:t>?  (Accessed: 14 October 2026).</w:t>
      </w:r>
    </w:p>
    <w:p w14:paraId="78ADB18C" w14:textId="4830F1A0"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International Energy Agency (2025) ‘Steel’, </w:t>
      </w:r>
      <w:r w:rsidRPr="00ED4D73">
        <w:rPr>
          <w:rFonts w:ascii="Arial" w:eastAsia="Aptos" w:hAnsi="Arial" w:cs="Arial"/>
          <w:i/>
          <w:iCs/>
        </w:rPr>
        <w:t>Breakthrough Agenda Report 2025</w:t>
      </w:r>
      <w:r w:rsidRPr="00ED4D73">
        <w:rPr>
          <w:rFonts w:ascii="Arial" w:eastAsia="Aptos" w:hAnsi="Arial" w:cs="Arial"/>
        </w:rPr>
        <w:t xml:space="preserve">. Available at: </w:t>
      </w:r>
      <w:hyperlink r:id="rId17">
        <w:r w:rsidRPr="00ED4D73">
          <w:rPr>
            <w:rStyle w:val="Hyperlink"/>
            <w:rFonts w:ascii="Arial" w:hAnsi="Arial" w:cs="Arial"/>
          </w:rPr>
          <w:t>Steel - Breakthrough Agenda Report 2025 - IEA</w:t>
        </w:r>
      </w:hyperlink>
      <w:r w:rsidRPr="00ED4D73">
        <w:rPr>
          <w:rFonts w:ascii="Arial" w:eastAsia="Aptos" w:hAnsi="Arial" w:cs="Arial"/>
        </w:rPr>
        <w:t xml:space="preserve"> (Accessed: 8 October 2026). </w:t>
      </w:r>
    </w:p>
    <w:p w14:paraId="2BCEFFDF" w14:textId="50EC247E" w:rsidR="00C325C2" w:rsidRPr="00ED4D73" w:rsidRDefault="00A2A3DA" w:rsidP="00ED4D73">
      <w:pPr>
        <w:spacing w:line="360" w:lineRule="auto"/>
        <w:jc w:val="both"/>
        <w:rPr>
          <w:rFonts w:ascii="Arial" w:hAnsi="Arial" w:cs="Arial"/>
        </w:rPr>
      </w:pPr>
      <w:r w:rsidRPr="00ED4D73">
        <w:rPr>
          <w:rFonts w:ascii="Arial" w:eastAsia="Aptos" w:hAnsi="Arial" w:cs="Arial"/>
        </w:rPr>
        <w:lastRenderedPageBreak/>
        <w:t xml:space="preserve">Institute for Strategy and Competitiveness (n.d.) </w:t>
      </w:r>
      <w:r w:rsidRPr="00ED4D73">
        <w:rPr>
          <w:rFonts w:ascii="Arial" w:eastAsia="Aptos" w:hAnsi="Arial" w:cs="Arial"/>
          <w:i/>
          <w:iCs/>
        </w:rPr>
        <w:t>Strategic positioning</w:t>
      </w:r>
      <w:r w:rsidRPr="00ED4D73">
        <w:rPr>
          <w:rFonts w:ascii="Arial" w:eastAsia="Aptos" w:hAnsi="Arial" w:cs="Arial"/>
        </w:rPr>
        <w:t xml:space="preserve">. Harvard Business School. Available at: </w:t>
      </w:r>
      <w:hyperlink r:id="rId18">
        <w:r w:rsidRPr="00ED4D73">
          <w:rPr>
            <w:rStyle w:val="Hyperlink"/>
            <w:rFonts w:ascii="Arial" w:hAnsi="Arial" w:cs="Arial"/>
          </w:rPr>
          <w:t>https://www.isc.hbs.edu/strategy/business-strategy/Pages/strategic-positioning.aspx</w:t>
        </w:r>
      </w:hyperlink>
      <w:r w:rsidRPr="00ED4D73">
        <w:rPr>
          <w:rFonts w:ascii="Arial" w:eastAsia="Aptos" w:hAnsi="Arial" w:cs="Arial"/>
        </w:rPr>
        <w:t>?  (Accessed: 14 October 2026).</w:t>
      </w:r>
    </w:p>
    <w:p w14:paraId="595CD921" w14:textId="15B90505"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OECD (2026) </w:t>
      </w:r>
      <w:r w:rsidRPr="00ED4D73">
        <w:rPr>
          <w:rFonts w:ascii="Arial" w:eastAsia="Aptos" w:hAnsi="Arial" w:cs="Arial"/>
          <w:i/>
          <w:iCs/>
        </w:rPr>
        <w:t>OECD Steel Outlook 2026</w:t>
      </w:r>
      <w:r w:rsidRPr="00ED4D73">
        <w:rPr>
          <w:rFonts w:ascii="Arial" w:eastAsia="Aptos" w:hAnsi="Arial" w:cs="Arial"/>
        </w:rPr>
        <w:t xml:space="preserve">. Paris: OECD Publishing. Available at: </w:t>
      </w:r>
      <w:hyperlink r:id="rId19">
        <w:r w:rsidRPr="00ED4D73">
          <w:rPr>
            <w:rStyle w:val="Hyperlink"/>
            <w:rFonts w:ascii="Arial" w:hAnsi="Arial" w:cs="Arial"/>
          </w:rPr>
          <w:t>https://doi.org/10.1787/99ab9b0c-en</w:t>
        </w:r>
      </w:hyperlink>
      <w:r w:rsidRPr="00ED4D73">
        <w:rPr>
          <w:rFonts w:ascii="Arial" w:eastAsia="Aptos" w:hAnsi="Arial" w:cs="Arial"/>
        </w:rPr>
        <w:t xml:space="preserve"> (Accessed: 9 October 2026).</w:t>
      </w:r>
    </w:p>
    <w:p w14:paraId="5A61E345" w14:textId="433DDC6D"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Rippy, K., Bell, R.T. and Leick, N. (2024) ‘Chemical and electrochemical pathways to low-carbon iron and steel’, </w:t>
      </w:r>
      <w:proofErr w:type="spellStart"/>
      <w:r w:rsidRPr="00ED4D73">
        <w:rPr>
          <w:rFonts w:ascii="Arial" w:eastAsia="Aptos" w:hAnsi="Arial" w:cs="Arial"/>
          <w:i/>
          <w:iCs/>
        </w:rPr>
        <w:t>npj</w:t>
      </w:r>
      <w:proofErr w:type="spellEnd"/>
      <w:r w:rsidRPr="00ED4D73">
        <w:rPr>
          <w:rFonts w:ascii="Arial" w:eastAsia="Aptos" w:hAnsi="Arial" w:cs="Arial"/>
          <w:i/>
          <w:iCs/>
        </w:rPr>
        <w:t xml:space="preserve"> Materials Sustainability</w:t>
      </w:r>
      <w:r w:rsidRPr="00ED4D73">
        <w:rPr>
          <w:rFonts w:ascii="Arial" w:eastAsia="Aptos" w:hAnsi="Arial" w:cs="Arial"/>
        </w:rPr>
        <w:t xml:space="preserve">, 2, article 33. Available at: </w:t>
      </w:r>
      <w:hyperlink r:id="rId20">
        <w:r w:rsidRPr="00ED4D73">
          <w:rPr>
            <w:rStyle w:val="Hyperlink"/>
            <w:rFonts w:ascii="Arial" w:hAnsi="Arial" w:cs="Arial"/>
          </w:rPr>
          <w:t xml:space="preserve">Chemical and electrochemical pathways to low-carbon iron and steel | </w:t>
        </w:r>
        <w:proofErr w:type="spellStart"/>
        <w:r w:rsidRPr="00ED4D73">
          <w:rPr>
            <w:rStyle w:val="Hyperlink"/>
            <w:rFonts w:ascii="Arial" w:hAnsi="Arial" w:cs="Arial"/>
          </w:rPr>
          <w:t>npj</w:t>
        </w:r>
        <w:proofErr w:type="spellEnd"/>
        <w:r w:rsidRPr="00ED4D73">
          <w:rPr>
            <w:rStyle w:val="Hyperlink"/>
            <w:rFonts w:ascii="Arial" w:hAnsi="Arial" w:cs="Arial"/>
          </w:rPr>
          <w:t xml:space="preserve"> Materials Sustainability</w:t>
        </w:r>
      </w:hyperlink>
      <w:r w:rsidRPr="00ED4D73">
        <w:rPr>
          <w:rFonts w:ascii="Arial" w:eastAsia="Aptos" w:hAnsi="Arial" w:cs="Arial"/>
        </w:rPr>
        <w:t xml:space="preserve"> (Accessed: 8 October 2026).</w:t>
      </w:r>
    </w:p>
    <w:p w14:paraId="5F638C97" w14:textId="0242A1C0"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SSAB (n.d.) </w:t>
      </w:r>
      <w:r w:rsidRPr="00ED4D73">
        <w:rPr>
          <w:rFonts w:ascii="Arial" w:eastAsia="Aptos" w:hAnsi="Arial" w:cs="Arial"/>
          <w:i/>
          <w:iCs/>
        </w:rPr>
        <w:t>SSAB Zero™ – The next generation of recycled steel</w:t>
      </w:r>
      <w:r w:rsidRPr="00ED4D73">
        <w:rPr>
          <w:rFonts w:ascii="Arial" w:eastAsia="Aptos" w:hAnsi="Arial" w:cs="Arial"/>
        </w:rPr>
        <w:t xml:space="preserve">. Available at: </w:t>
      </w:r>
      <w:hyperlink r:id="rId21">
        <w:r w:rsidRPr="00ED4D73">
          <w:rPr>
            <w:rStyle w:val="Hyperlink"/>
            <w:rFonts w:ascii="Arial" w:hAnsi="Arial" w:cs="Arial"/>
          </w:rPr>
          <w:t>https://www.ssab.com/en-us/fossil-free-steel/ssab-zero</w:t>
        </w:r>
      </w:hyperlink>
      <w:r w:rsidRPr="00ED4D73">
        <w:rPr>
          <w:rFonts w:ascii="Arial" w:eastAsia="Aptos" w:hAnsi="Arial" w:cs="Arial"/>
        </w:rPr>
        <w:t>?  (Accessed: 14 October 2026).</w:t>
      </w:r>
    </w:p>
    <w:p w14:paraId="162975EC" w14:textId="09E2157D"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Tata Steel (2026a) ‘Climate change report’, </w:t>
      </w:r>
      <w:r w:rsidRPr="00ED4D73">
        <w:rPr>
          <w:rFonts w:ascii="Arial" w:eastAsia="Aptos" w:hAnsi="Arial" w:cs="Arial"/>
          <w:i/>
          <w:iCs/>
        </w:rPr>
        <w:t>Integrated report &amp; annual accounts 2025–26</w:t>
      </w:r>
      <w:r w:rsidRPr="00ED4D73">
        <w:rPr>
          <w:rFonts w:ascii="Arial" w:eastAsia="Aptos" w:hAnsi="Arial" w:cs="Arial"/>
        </w:rPr>
        <w:t xml:space="preserve">. Available at: </w:t>
      </w:r>
      <w:hyperlink r:id="rId22">
        <w:r w:rsidRPr="00ED4D73">
          <w:rPr>
            <w:rStyle w:val="Hyperlink"/>
            <w:rFonts w:ascii="Arial" w:hAnsi="Arial" w:cs="Arial"/>
          </w:rPr>
          <w:t>Climate Change Report | Tata Steel Integrated Report &amp; Annual Accounts 2025-26</w:t>
        </w:r>
      </w:hyperlink>
      <w:r w:rsidRPr="00ED4D73">
        <w:rPr>
          <w:rFonts w:ascii="Arial" w:eastAsia="Aptos" w:hAnsi="Arial" w:cs="Arial"/>
        </w:rPr>
        <w:t xml:space="preserve"> (Accessed: 8 October 2026).</w:t>
      </w:r>
    </w:p>
    <w:p w14:paraId="39064651" w14:textId="0223EA86"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Tata Steel (2026b) ‘Corporate portrait’, </w:t>
      </w:r>
      <w:r w:rsidRPr="00ED4D73">
        <w:rPr>
          <w:rFonts w:ascii="Arial" w:eastAsia="Aptos" w:hAnsi="Arial" w:cs="Arial"/>
          <w:i/>
          <w:iCs/>
        </w:rPr>
        <w:t>Integrated report &amp; annual accounts 2025–26</w:t>
      </w:r>
      <w:r w:rsidRPr="00ED4D73">
        <w:rPr>
          <w:rFonts w:ascii="Arial" w:eastAsia="Aptos" w:hAnsi="Arial" w:cs="Arial"/>
        </w:rPr>
        <w:t xml:space="preserve">. Available at: </w:t>
      </w:r>
      <w:hyperlink r:id="rId23">
        <w:r w:rsidRPr="00ED4D73">
          <w:rPr>
            <w:rStyle w:val="Hyperlink"/>
            <w:rFonts w:ascii="Arial" w:hAnsi="Arial" w:cs="Arial"/>
          </w:rPr>
          <w:t>Tata Steel Integrated Report &amp; Annual Accounts 2025-26 | One Dream, 119th Year</w:t>
        </w:r>
      </w:hyperlink>
      <w:r w:rsidRPr="00ED4D73">
        <w:rPr>
          <w:rFonts w:ascii="Arial" w:eastAsia="Aptos" w:hAnsi="Arial" w:cs="Arial"/>
        </w:rPr>
        <w:t xml:space="preserve"> (Accessed: 8 October 2026).</w:t>
      </w:r>
    </w:p>
    <w:p w14:paraId="1A814F59" w14:textId="22604BA6" w:rsidR="00C325C2" w:rsidRPr="00ED4D73" w:rsidRDefault="00A2A3DA" w:rsidP="00ED4D73">
      <w:pPr>
        <w:spacing w:line="360" w:lineRule="auto"/>
        <w:jc w:val="both"/>
        <w:rPr>
          <w:rFonts w:ascii="Arial" w:hAnsi="Arial" w:cs="Arial"/>
        </w:rPr>
      </w:pPr>
      <w:r w:rsidRPr="00ED4D73">
        <w:rPr>
          <w:rFonts w:ascii="Arial" w:eastAsia="Aptos" w:hAnsi="Arial" w:cs="Arial"/>
        </w:rPr>
        <w:t xml:space="preserve">Tata Steel (2025) ‘Tata Group Chairman N. Chandrasekaran marks groundbreaking of new Electric Arc Furnace at Port Talbot’, 14 July. Available at: </w:t>
      </w:r>
      <w:hyperlink r:id="rId24">
        <w:r w:rsidRPr="00ED4D73">
          <w:rPr>
            <w:rStyle w:val="Hyperlink"/>
            <w:rFonts w:ascii="Arial" w:hAnsi="Arial" w:cs="Arial"/>
          </w:rPr>
          <w:t>Tata Group Chairman N. Chandrasekaran marks groundbreaking of new Electric Arc Furnace at Port Talbot</w:t>
        </w:r>
      </w:hyperlink>
      <w:r w:rsidRPr="00ED4D73">
        <w:rPr>
          <w:rFonts w:ascii="Arial" w:eastAsia="Aptos" w:hAnsi="Arial" w:cs="Arial"/>
        </w:rPr>
        <w:t xml:space="preserve"> (Accessed: 8 October 2026).</w:t>
      </w:r>
    </w:p>
    <w:p w14:paraId="6AB7E0D9" w14:textId="0B1CE64B" w:rsidR="00C325C2" w:rsidRPr="00833793" w:rsidRDefault="00A2A3DA" w:rsidP="00ED4D73">
      <w:pPr>
        <w:spacing w:line="360" w:lineRule="auto"/>
        <w:jc w:val="both"/>
        <w:rPr>
          <w:rFonts w:ascii="Arial" w:hAnsi="Arial" w:cs="Arial"/>
        </w:rPr>
      </w:pPr>
      <w:r w:rsidRPr="00833793">
        <w:rPr>
          <w:rFonts w:ascii="Arial" w:eastAsia="Aptos" w:hAnsi="Arial" w:cs="Arial"/>
        </w:rPr>
        <w:t xml:space="preserve"> </w:t>
      </w:r>
    </w:p>
    <w:p w14:paraId="2A6F873E" w14:textId="4DADDD4B" w:rsidR="00C325C2" w:rsidRDefault="00C325C2" w:rsidP="00ED4D73">
      <w:pPr>
        <w:spacing w:after="0"/>
        <w:jc w:val="both"/>
      </w:pPr>
    </w:p>
    <w:p w14:paraId="5E5787A5" w14:textId="0F9B97DF" w:rsidR="00C325C2" w:rsidRDefault="00C325C2"/>
    <w:sectPr w:rsidR="00C325C2">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8CEE0" w14:textId="77777777" w:rsidR="00D817E7" w:rsidRDefault="00D817E7" w:rsidP="00AD55D2">
      <w:pPr>
        <w:spacing w:after="0" w:line="240" w:lineRule="auto"/>
      </w:pPr>
      <w:r>
        <w:separator/>
      </w:r>
    </w:p>
  </w:endnote>
  <w:endnote w:type="continuationSeparator" w:id="0">
    <w:p w14:paraId="27143996" w14:textId="77777777" w:rsidR="00D817E7" w:rsidRDefault="00D817E7" w:rsidP="00AD5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3393"/>
      <w:docPartObj>
        <w:docPartGallery w:val="Page Numbers (Bottom of Page)"/>
        <w:docPartUnique/>
      </w:docPartObj>
    </w:sdtPr>
    <w:sdtContent>
      <w:p w14:paraId="61DB431A" w14:textId="1AFEABC9" w:rsidR="00AD55D2" w:rsidRDefault="00AD55D2">
        <w:pPr>
          <w:pStyle w:val="Footer"/>
          <w:jc w:val="center"/>
        </w:pPr>
        <w:r>
          <w:fldChar w:fldCharType="begin"/>
        </w:r>
        <w:r>
          <w:instrText>PAGE   \* MERGEFORMAT</w:instrText>
        </w:r>
        <w:r>
          <w:fldChar w:fldCharType="separate"/>
        </w:r>
        <w:r>
          <w:t>2</w:t>
        </w:r>
        <w:r>
          <w:fldChar w:fldCharType="end"/>
        </w:r>
      </w:p>
    </w:sdtContent>
  </w:sdt>
  <w:p w14:paraId="6E6021A7" w14:textId="77777777" w:rsidR="00AD55D2" w:rsidRDefault="00AD5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94522" w14:textId="77777777" w:rsidR="00D817E7" w:rsidRDefault="00D817E7" w:rsidP="00AD55D2">
      <w:pPr>
        <w:spacing w:after="0" w:line="240" w:lineRule="auto"/>
      </w:pPr>
      <w:r>
        <w:separator/>
      </w:r>
    </w:p>
  </w:footnote>
  <w:footnote w:type="continuationSeparator" w:id="0">
    <w:p w14:paraId="134E9668" w14:textId="77777777" w:rsidR="00D817E7" w:rsidRDefault="00D817E7" w:rsidP="00AD5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4354AD"/>
    <w:multiLevelType w:val="hybridMultilevel"/>
    <w:tmpl w:val="4E9C41E8"/>
    <w:lvl w:ilvl="0" w:tplc="27EE26EA">
      <w:start w:val="1"/>
      <w:numFmt w:val="decimal"/>
      <w:lvlText w:val="%1."/>
      <w:lvlJc w:val="left"/>
      <w:pPr>
        <w:ind w:left="720" w:hanging="360"/>
      </w:pPr>
      <w:rPr>
        <w:rFonts w:eastAsia="Apto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5997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8AD813"/>
    <w:rsid w:val="000D1257"/>
    <w:rsid w:val="001018DF"/>
    <w:rsid w:val="00117CB2"/>
    <w:rsid w:val="001500CC"/>
    <w:rsid w:val="00152293"/>
    <w:rsid w:val="00173341"/>
    <w:rsid w:val="00194318"/>
    <w:rsid w:val="002170F7"/>
    <w:rsid w:val="00262807"/>
    <w:rsid w:val="003547E6"/>
    <w:rsid w:val="00405BC2"/>
    <w:rsid w:val="00464C2B"/>
    <w:rsid w:val="00495900"/>
    <w:rsid w:val="004C7BF0"/>
    <w:rsid w:val="004D4787"/>
    <w:rsid w:val="00520873"/>
    <w:rsid w:val="005517C3"/>
    <w:rsid w:val="00571DAF"/>
    <w:rsid w:val="00572318"/>
    <w:rsid w:val="00584951"/>
    <w:rsid w:val="005E031F"/>
    <w:rsid w:val="0063447F"/>
    <w:rsid w:val="006835F6"/>
    <w:rsid w:val="006E58F1"/>
    <w:rsid w:val="00794C31"/>
    <w:rsid w:val="00833793"/>
    <w:rsid w:val="00926814"/>
    <w:rsid w:val="009B0FB2"/>
    <w:rsid w:val="009B1803"/>
    <w:rsid w:val="009C6F65"/>
    <w:rsid w:val="009F611B"/>
    <w:rsid w:val="00A21EBB"/>
    <w:rsid w:val="00A2A3DA"/>
    <w:rsid w:val="00A80D0B"/>
    <w:rsid w:val="00AD55D2"/>
    <w:rsid w:val="00AE6845"/>
    <w:rsid w:val="00B133ED"/>
    <w:rsid w:val="00BB11BD"/>
    <w:rsid w:val="00C325C2"/>
    <w:rsid w:val="00D23069"/>
    <w:rsid w:val="00D25E95"/>
    <w:rsid w:val="00D415C8"/>
    <w:rsid w:val="00D817E7"/>
    <w:rsid w:val="00DB3563"/>
    <w:rsid w:val="00ED4D73"/>
    <w:rsid w:val="00EF5074"/>
    <w:rsid w:val="00F62950"/>
    <w:rsid w:val="00F63C0A"/>
    <w:rsid w:val="108367DC"/>
    <w:rsid w:val="798AD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C851C"/>
  <w15:chartTrackingRefBased/>
  <w15:docId w15:val="{28A401F4-3E55-491C-889E-32842F58C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D7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D4D73"/>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6835F6"/>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08367DC"/>
    <w:rPr>
      <w:color w:val="467886"/>
      <w:u w:val="single"/>
    </w:rPr>
  </w:style>
  <w:style w:type="character" w:styleId="CommentReference">
    <w:name w:val="annotation reference"/>
    <w:basedOn w:val="DefaultParagraphFont"/>
    <w:uiPriority w:val="99"/>
    <w:semiHidden/>
    <w:unhideWhenUsed/>
    <w:rsid w:val="009B1803"/>
    <w:rPr>
      <w:sz w:val="16"/>
      <w:szCs w:val="16"/>
    </w:rPr>
  </w:style>
  <w:style w:type="paragraph" w:styleId="CommentText">
    <w:name w:val="annotation text"/>
    <w:basedOn w:val="Normal"/>
    <w:link w:val="CommentTextChar"/>
    <w:uiPriority w:val="99"/>
    <w:unhideWhenUsed/>
    <w:rsid w:val="009B1803"/>
    <w:pPr>
      <w:spacing w:line="240" w:lineRule="auto"/>
    </w:pPr>
    <w:rPr>
      <w:sz w:val="20"/>
      <w:szCs w:val="20"/>
    </w:rPr>
  </w:style>
  <w:style w:type="character" w:customStyle="1" w:styleId="CommentTextChar">
    <w:name w:val="Comment Text Char"/>
    <w:basedOn w:val="DefaultParagraphFont"/>
    <w:link w:val="CommentText"/>
    <w:uiPriority w:val="99"/>
    <w:rsid w:val="009B1803"/>
    <w:rPr>
      <w:sz w:val="20"/>
      <w:szCs w:val="20"/>
    </w:rPr>
  </w:style>
  <w:style w:type="paragraph" w:styleId="CommentSubject">
    <w:name w:val="annotation subject"/>
    <w:basedOn w:val="CommentText"/>
    <w:next w:val="CommentText"/>
    <w:link w:val="CommentSubjectChar"/>
    <w:uiPriority w:val="99"/>
    <w:semiHidden/>
    <w:unhideWhenUsed/>
    <w:rsid w:val="009B1803"/>
    <w:rPr>
      <w:b/>
      <w:bCs/>
    </w:rPr>
  </w:style>
  <w:style w:type="character" w:customStyle="1" w:styleId="CommentSubjectChar">
    <w:name w:val="Comment Subject Char"/>
    <w:basedOn w:val="CommentTextChar"/>
    <w:link w:val="CommentSubject"/>
    <w:uiPriority w:val="99"/>
    <w:semiHidden/>
    <w:rsid w:val="009B1803"/>
    <w:rPr>
      <w:b/>
      <w:bCs/>
      <w:sz w:val="20"/>
      <w:szCs w:val="20"/>
    </w:rPr>
  </w:style>
  <w:style w:type="paragraph" w:styleId="NormalWeb">
    <w:name w:val="Normal (Web)"/>
    <w:basedOn w:val="Normal"/>
    <w:uiPriority w:val="99"/>
    <w:semiHidden/>
    <w:unhideWhenUsed/>
    <w:rsid w:val="004D4787"/>
    <w:rPr>
      <w:rFonts w:ascii="Times New Roman" w:hAnsi="Times New Roman" w:cs="Times New Roman"/>
    </w:rPr>
  </w:style>
  <w:style w:type="character" w:customStyle="1" w:styleId="Heading3Char">
    <w:name w:val="Heading 3 Char"/>
    <w:basedOn w:val="DefaultParagraphFont"/>
    <w:link w:val="Heading3"/>
    <w:uiPriority w:val="9"/>
    <w:semiHidden/>
    <w:rsid w:val="006835F6"/>
    <w:rPr>
      <w:rFonts w:asciiTheme="majorHAnsi" w:eastAsiaTheme="majorEastAsia" w:hAnsiTheme="majorHAnsi" w:cstheme="majorBidi"/>
      <w:color w:val="0A2F40" w:themeColor="accent1" w:themeShade="7F"/>
    </w:rPr>
  </w:style>
  <w:style w:type="table" w:styleId="GridTable2-Accent1">
    <w:name w:val="Grid Table 2 Accent 1"/>
    <w:basedOn w:val="TableNormal"/>
    <w:uiPriority w:val="47"/>
    <w:rsid w:val="00B133ED"/>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Heading1Char">
    <w:name w:val="Heading 1 Char"/>
    <w:basedOn w:val="DefaultParagraphFont"/>
    <w:link w:val="Heading1"/>
    <w:uiPriority w:val="9"/>
    <w:rsid w:val="00ED4D7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ED4D73"/>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1500CC"/>
    <w:pPr>
      <w:ind w:left="720"/>
      <w:contextualSpacing/>
    </w:pPr>
  </w:style>
  <w:style w:type="paragraph" w:styleId="Title">
    <w:name w:val="Title"/>
    <w:basedOn w:val="Normal"/>
    <w:next w:val="Normal"/>
    <w:link w:val="TitleChar"/>
    <w:uiPriority w:val="10"/>
    <w:qFormat/>
    <w:rsid w:val="00405B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BC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64C2B"/>
    <w:pPr>
      <w:spacing w:line="259" w:lineRule="auto"/>
      <w:outlineLvl w:val="9"/>
    </w:pPr>
    <w:rPr>
      <w:lang w:eastAsia="en-GB"/>
    </w:rPr>
  </w:style>
  <w:style w:type="paragraph" w:styleId="TOC1">
    <w:name w:val="toc 1"/>
    <w:basedOn w:val="Normal"/>
    <w:next w:val="Normal"/>
    <w:autoRedefine/>
    <w:uiPriority w:val="39"/>
    <w:unhideWhenUsed/>
    <w:rsid w:val="00464C2B"/>
    <w:pPr>
      <w:spacing w:after="100"/>
    </w:pPr>
  </w:style>
  <w:style w:type="paragraph" w:styleId="TOC2">
    <w:name w:val="toc 2"/>
    <w:basedOn w:val="Normal"/>
    <w:next w:val="Normal"/>
    <w:autoRedefine/>
    <w:uiPriority w:val="39"/>
    <w:unhideWhenUsed/>
    <w:rsid w:val="00464C2B"/>
    <w:pPr>
      <w:spacing w:after="100"/>
      <w:ind w:left="240"/>
    </w:pPr>
  </w:style>
  <w:style w:type="paragraph" w:styleId="Header">
    <w:name w:val="header"/>
    <w:basedOn w:val="Normal"/>
    <w:link w:val="HeaderChar"/>
    <w:uiPriority w:val="99"/>
    <w:unhideWhenUsed/>
    <w:rsid w:val="00AD5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5D2"/>
  </w:style>
  <w:style w:type="paragraph" w:styleId="Footer">
    <w:name w:val="footer"/>
    <w:basedOn w:val="Normal"/>
    <w:link w:val="FooterChar"/>
    <w:uiPriority w:val="99"/>
    <w:unhideWhenUsed/>
    <w:rsid w:val="00AD5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news/government-puts-workers-at-the-heart-of-new-and-improved-port-talbot-deal" TargetMode="External"/><Relationship Id="rId18" Type="http://schemas.openxmlformats.org/officeDocument/2006/relationships/hyperlink" Target="https://www.isc.hbs.edu/strategy/business-strategy/Pages/strategic-positioning.asp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sab.com/en-us/fossil-free-steel/ssab-zero" TargetMode="External"/><Relationship Id="rId7" Type="http://schemas.openxmlformats.org/officeDocument/2006/relationships/endnotes" Target="endnotes.xml"/><Relationship Id="rId12" Type="http://schemas.openxmlformats.org/officeDocument/2006/relationships/hyperlink" Target="https://www.gov.uk/government/publications/steel-strategy/the-uk-steel-strategy-web-version" TargetMode="External"/><Relationship Id="rId17" Type="http://schemas.openxmlformats.org/officeDocument/2006/relationships/hyperlink" Target="https://www.iea.org/reports/breakthrough-agenda-report-2025/stee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the-green-book--2/the-green-book-2026" TargetMode="External"/><Relationship Id="rId20" Type="http://schemas.openxmlformats.org/officeDocument/2006/relationships/hyperlink" Target="https://www.nature.com/articles/s44296-024-0003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9101700108" TargetMode="External"/><Relationship Id="rId24" Type="http://schemas.openxmlformats.org/officeDocument/2006/relationships/hyperlink" Target="https://www.tatasteel.com/newsroom/press-releases/india/2025/tata-group-chairman-n-chandrasekaran-marks-groundbreaking-of-new-electric-arc-furnace-at-port-talbot/?" TargetMode="External"/><Relationship Id="rId5" Type="http://schemas.openxmlformats.org/officeDocument/2006/relationships/webSettings" Target="webSettings.xml"/><Relationship Id="rId15" Type="http://schemas.openxmlformats.org/officeDocument/2006/relationships/hyperlink" Target="https://www.gov.uk/government/publications/carbon-border-adjustment-mechanism-cbam-policy-summary/carbon-border-adjustment-mechanism-cbam-policy-summary" TargetMode="External"/><Relationship Id="rId23" Type="http://schemas.openxmlformats.org/officeDocument/2006/relationships/hyperlink" Target="https://www.tatasteel.com/investors/integrated-report-2025-26/corporate-portrait.html?" TargetMode="External"/><Relationship Id="rId10" Type="http://schemas.openxmlformats.org/officeDocument/2006/relationships/hyperlink" Target="https://studylib.net/doc/27920752/ansoff--h.-i.--1957-.-strategies-for-diversification" TargetMode="External"/><Relationship Id="rId19" Type="http://schemas.openxmlformats.org/officeDocument/2006/relationships/hyperlink" Target="https://doi.org/10.1787/99ab9b0c-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186/s12302-020-0300-3" TargetMode="External"/><Relationship Id="rId22" Type="http://schemas.openxmlformats.org/officeDocument/2006/relationships/hyperlink" Target="https://www.tatasteel.com/investors/integrated-report-2025-26/climate-change-report.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10FEF-D18C-4E8D-A36A-69E4BC4C6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4180</Words>
  <Characters>23828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Juwayriyah Bibi (2315837)</dc:creator>
  <cp:keywords/>
  <dc:description/>
  <cp:lastModifiedBy>Juwayriyah bibi</cp:lastModifiedBy>
  <cp:revision>12</cp:revision>
  <dcterms:created xsi:type="dcterms:W3CDTF">2026-10-21T23:50:00Z</dcterms:created>
  <dcterms:modified xsi:type="dcterms:W3CDTF">2026-10-22T00:08:00Z</dcterms:modified>
</cp:coreProperties>
</file>