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A2FCD7" w14:textId="63D0C574" w:rsidR="00714C63" w:rsidRPr="00E3068C" w:rsidRDefault="00A41E7A" w:rsidP="008A3260">
      <w:r w:rsidRPr="00E3068C">
        <w:rPr>
          <w:noProof/>
        </w:rPr>
        <w:drawing>
          <wp:anchor distT="0" distB="0" distL="114300" distR="114300" simplePos="0" relativeHeight="251665408" behindDoc="0" locked="0" layoutInCell="1" allowOverlap="1" wp14:anchorId="55DA85D0" wp14:editId="7C777D97">
            <wp:simplePos x="0" y="0"/>
            <wp:positionH relativeFrom="column">
              <wp:posOffset>-395605</wp:posOffset>
            </wp:positionH>
            <wp:positionV relativeFrom="paragraph">
              <wp:posOffset>0</wp:posOffset>
            </wp:positionV>
            <wp:extent cx="1809753" cy="723903"/>
            <wp:effectExtent l="0" t="0" r="0" b="0"/>
            <wp:wrapSquare wrapText="bothSides"/>
            <wp:docPr id="2129078673"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809753" cy="723903"/>
                    </a:xfrm>
                    <a:prstGeom prst="rect">
                      <a:avLst/>
                    </a:prstGeom>
                    <a:noFill/>
                    <a:ln>
                      <a:noFill/>
                      <a:prstDash/>
                    </a:ln>
                  </pic:spPr>
                </pic:pic>
              </a:graphicData>
            </a:graphic>
          </wp:anchor>
        </w:drawing>
      </w:r>
    </w:p>
    <w:p w14:paraId="71CAAAC1" w14:textId="77777777" w:rsidR="00714C63" w:rsidRPr="00E3068C" w:rsidRDefault="00714C63" w:rsidP="008A3260"/>
    <w:p w14:paraId="0705A8A0" w14:textId="0C02D5CD" w:rsidR="00714C63" w:rsidRPr="00E3068C" w:rsidRDefault="00714C63" w:rsidP="008A3260"/>
    <w:p w14:paraId="483BE392" w14:textId="27C60462" w:rsidR="00714C63" w:rsidRDefault="00714C63" w:rsidP="00142A2E">
      <w:pPr>
        <w:jc w:val="center"/>
        <w:rPr>
          <w:color w:val="auto"/>
          <w:sz w:val="40"/>
          <w:szCs w:val="40"/>
        </w:rPr>
      </w:pPr>
    </w:p>
    <w:p w14:paraId="68E5D9C1" w14:textId="77777777" w:rsidR="00142A2E" w:rsidRDefault="00142A2E" w:rsidP="00142A2E">
      <w:pPr>
        <w:jc w:val="center"/>
        <w:rPr>
          <w:color w:val="auto"/>
          <w:sz w:val="40"/>
          <w:szCs w:val="40"/>
        </w:rPr>
      </w:pPr>
    </w:p>
    <w:p w14:paraId="260B1D7B" w14:textId="77777777" w:rsidR="00142A2E" w:rsidRPr="00142A2E" w:rsidRDefault="00142A2E" w:rsidP="00142A2E">
      <w:pPr>
        <w:jc w:val="center"/>
        <w:rPr>
          <w:color w:val="auto"/>
          <w:sz w:val="40"/>
          <w:szCs w:val="40"/>
        </w:rPr>
      </w:pPr>
    </w:p>
    <w:p w14:paraId="6E897E00" w14:textId="77DAC396" w:rsidR="00142A2E" w:rsidRDefault="00142A2E" w:rsidP="00D86CF1">
      <w:pPr>
        <w:spacing w:line="360" w:lineRule="auto"/>
        <w:jc w:val="center"/>
        <w:rPr>
          <w:rFonts w:eastAsiaTheme="majorEastAsia"/>
          <w:b/>
          <w:bCs/>
          <w:color w:val="auto"/>
          <w:sz w:val="44"/>
          <w:szCs w:val="44"/>
        </w:rPr>
      </w:pPr>
      <w:r w:rsidRPr="00D86CF1">
        <w:rPr>
          <w:rFonts w:eastAsiaTheme="majorEastAsia"/>
          <w:b/>
          <w:bCs/>
          <w:color w:val="auto"/>
          <w:sz w:val="44"/>
          <w:szCs w:val="44"/>
        </w:rPr>
        <w:t>Psychopathological Classifications and Provisions</w:t>
      </w:r>
    </w:p>
    <w:p w14:paraId="3562D5DF" w14:textId="3A350665" w:rsidR="00FF6546" w:rsidRPr="00D86CF1" w:rsidRDefault="00FF6546" w:rsidP="00D86CF1">
      <w:pPr>
        <w:spacing w:line="360" w:lineRule="auto"/>
        <w:jc w:val="center"/>
        <w:rPr>
          <w:rFonts w:eastAsiaTheme="majorEastAsia"/>
          <w:b/>
          <w:bCs/>
          <w:color w:val="auto"/>
          <w:sz w:val="44"/>
          <w:szCs w:val="44"/>
        </w:rPr>
      </w:pPr>
      <w:r>
        <w:rPr>
          <w:rFonts w:eastAsiaTheme="majorEastAsia"/>
          <w:b/>
          <w:bCs/>
          <w:color w:val="auto"/>
          <w:sz w:val="44"/>
          <w:szCs w:val="44"/>
        </w:rPr>
        <w:t xml:space="preserve">ICD-11 </w:t>
      </w:r>
    </w:p>
    <w:p w14:paraId="2A0133A3" w14:textId="6377B43D" w:rsidR="00142A2E" w:rsidRPr="00D86CF1" w:rsidRDefault="00D86CF1" w:rsidP="00D86CF1">
      <w:pPr>
        <w:spacing w:line="360" w:lineRule="auto"/>
        <w:jc w:val="center"/>
        <w:rPr>
          <w:rFonts w:eastAsiaTheme="majorEastAsia"/>
          <w:b/>
          <w:bCs/>
          <w:color w:val="auto"/>
          <w:sz w:val="40"/>
          <w:szCs w:val="40"/>
        </w:rPr>
      </w:pPr>
      <w:r w:rsidRPr="00D86CF1">
        <w:rPr>
          <w:b/>
          <w:bCs/>
          <w:sz w:val="40"/>
          <w:szCs w:val="40"/>
        </w:rPr>
        <w:t>6D80</w:t>
      </w:r>
      <w:r w:rsidRPr="00D86CF1">
        <w:rPr>
          <w:sz w:val="40"/>
          <w:szCs w:val="40"/>
        </w:rPr>
        <w:t> Dementia due to Alzheimer's disease</w:t>
      </w:r>
    </w:p>
    <w:p w14:paraId="695FF067" w14:textId="77777777" w:rsidR="00142A2E" w:rsidRDefault="00142A2E" w:rsidP="00142A2E">
      <w:pPr>
        <w:spacing w:line="360" w:lineRule="auto"/>
        <w:jc w:val="both"/>
        <w:rPr>
          <w:rFonts w:eastAsiaTheme="majorEastAsia" w:cstheme="majorBidi"/>
          <w:b/>
          <w:bCs/>
          <w:color w:val="auto"/>
        </w:rPr>
      </w:pPr>
    </w:p>
    <w:p w14:paraId="4D624957" w14:textId="77777777" w:rsidR="00142A2E" w:rsidRDefault="00142A2E" w:rsidP="00142A2E">
      <w:pPr>
        <w:spacing w:line="360" w:lineRule="auto"/>
        <w:jc w:val="both"/>
        <w:rPr>
          <w:rFonts w:eastAsiaTheme="majorEastAsia" w:cstheme="majorBidi"/>
          <w:b/>
          <w:bCs/>
          <w:color w:val="auto"/>
        </w:rPr>
      </w:pPr>
    </w:p>
    <w:p w14:paraId="12C9604A" w14:textId="77777777" w:rsidR="00142A2E" w:rsidRDefault="00142A2E" w:rsidP="00142A2E">
      <w:pPr>
        <w:spacing w:line="360" w:lineRule="auto"/>
        <w:jc w:val="both"/>
        <w:rPr>
          <w:rFonts w:eastAsiaTheme="majorEastAsia" w:cstheme="majorBidi"/>
          <w:b/>
          <w:bCs/>
          <w:color w:val="auto"/>
        </w:rPr>
      </w:pPr>
    </w:p>
    <w:p w14:paraId="084CAADD" w14:textId="77777777" w:rsidR="00142A2E" w:rsidRDefault="00142A2E" w:rsidP="00142A2E">
      <w:pPr>
        <w:spacing w:line="360" w:lineRule="auto"/>
        <w:jc w:val="both"/>
        <w:rPr>
          <w:rFonts w:eastAsiaTheme="majorEastAsia" w:cstheme="majorBidi"/>
          <w:b/>
          <w:bCs/>
          <w:color w:val="auto"/>
        </w:rPr>
      </w:pPr>
    </w:p>
    <w:p w14:paraId="3A9F9BFD" w14:textId="77777777" w:rsidR="00142A2E" w:rsidRDefault="00142A2E" w:rsidP="00142A2E">
      <w:pPr>
        <w:spacing w:line="360" w:lineRule="auto"/>
        <w:jc w:val="both"/>
        <w:rPr>
          <w:rFonts w:eastAsiaTheme="majorEastAsia" w:cstheme="majorBidi"/>
          <w:b/>
          <w:bCs/>
          <w:color w:val="auto"/>
        </w:rPr>
      </w:pPr>
    </w:p>
    <w:p w14:paraId="05832460" w14:textId="77777777" w:rsidR="00142A2E" w:rsidRDefault="00142A2E" w:rsidP="00142A2E">
      <w:pPr>
        <w:spacing w:line="360" w:lineRule="auto"/>
        <w:jc w:val="both"/>
        <w:rPr>
          <w:rFonts w:eastAsiaTheme="majorEastAsia" w:cstheme="majorBidi"/>
          <w:b/>
          <w:bCs/>
          <w:color w:val="auto"/>
        </w:rPr>
      </w:pPr>
    </w:p>
    <w:p w14:paraId="7A6D341D" w14:textId="77777777" w:rsidR="00142A2E" w:rsidRDefault="00142A2E" w:rsidP="00142A2E">
      <w:pPr>
        <w:spacing w:line="360" w:lineRule="auto"/>
        <w:jc w:val="both"/>
        <w:rPr>
          <w:rFonts w:eastAsiaTheme="majorEastAsia" w:cstheme="majorBidi"/>
          <w:b/>
          <w:bCs/>
          <w:color w:val="auto"/>
        </w:rPr>
      </w:pPr>
    </w:p>
    <w:p w14:paraId="0F40497B" w14:textId="77777777" w:rsidR="00142A2E" w:rsidRDefault="00142A2E" w:rsidP="00142A2E">
      <w:pPr>
        <w:spacing w:line="360" w:lineRule="auto"/>
        <w:jc w:val="both"/>
        <w:rPr>
          <w:rFonts w:eastAsiaTheme="majorEastAsia" w:cstheme="majorBidi"/>
          <w:b/>
          <w:bCs/>
          <w:color w:val="auto"/>
        </w:rPr>
      </w:pPr>
    </w:p>
    <w:p w14:paraId="7C7EAE09" w14:textId="77777777" w:rsidR="00142A2E" w:rsidRDefault="00142A2E" w:rsidP="00142A2E">
      <w:pPr>
        <w:spacing w:line="360" w:lineRule="auto"/>
        <w:jc w:val="both"/>
        <w:rPr>
          <w:rFonts w:eastAsiaTheme="majorEastAsia" w:cstheme="majorBidi"/>
          <w:b/>
          <w:bCs/>
          <w:color w:val="auto"/>
        </w:rPr>
      </w:pPr>
    </w:p>
    <w:p w14:paraId="2721D605" w14:textId="77777777" w:rsidR="00142A2E" w:rsidRDefault="00142A2E" w:rsidP="00142A2E">
      <w:pPr>
        <w:spacing w:line="360" w:lineRule="auto"/>
        <w:jc w:val="both"/>
        <w:rPr>
          <w:rFonts w:eastAsiaTheme="majorEastAsia" w:cstheme="majorBidi"/>
          <w:b/>
          <w:bCs/>
          <w:color w:val="auto"/>
        </w:rPr>
      </w:pPr>
    </w:p>
    <w:p w14:paraId="59EF6756" w14:textId="2A2C95B6" w:rsidR="00142A2E" w:rsidRPr="00142A2E" w:rsidRDefault="00142A2E" w:rsidP="00142A2E">
      <w:pPr>
        <w:spacing w:line="360" w:lineRule="auto"/>
        <w:jc w:val="both"/>
        <w:rPr>
          <w:rFonts w:eastAsiaTheme="majorEastAsia" w:cstheme="majorBidi"/>
          <w:b/>
          <w:bCs/>
          <w:color w:val="auto"/>
        </w:rPr>
      </w:pPr>
      <w:r w:rsidRPr="00142A2E">
        <w:rPr>
          <w:rFonts w:eastAsiaTheme="majorEastAsia" w:cstheme="majorBidi"/>
          <w:b/>
          <w:bCs/>
          <w:color w:val="auto"/>
        </w:rPr>
        <w:t>Student Name: Gabriela Dinu</w:t>
      </w:r>
    </w:p>
    <w:p w14:paraId="505C3737" w14:textId="77777777" w:rsidR="00142A2E" w:rsidRPr="00142A2E" w:rsidRDefault="00142A2E" w:rsidP="00142A2E">
      <w:pPr>
        <w:spacing w:line="360" w:lineRule="auto"/>
        <w:jc w:val="both"/>
        <w:rPr>
          <w:rFonts w:eastAsiaTheme="majorEastAsia" w:cstheme="majorBidi"/>
          <w:b/>
          <w:bCs/>
          <w:color w:val="auto"/>
        </w:rPr>
      </w:pPr>
      <w:r w:rsidRPr="00142A2E">
        <w:rPr>
          <w:rFonts w:eastAsiaTheme="majorEastAsia" w:cstheme="majorBidi"/>
          <w:b/>
          <w:bCs/>
          <w:color w:val="auto"/>
        </w:rPr>
        <w:t>Student Number: 2329564</w:t>
      </w:r>
    </w:p>
    <w:p w14:paraId="151EB05C" w14:textId="77777777" w:rsidR="00142A2E" w:rsidRDefault="00142A2E" w:rsidP="00714C63">
      <w:pPr>
        <w:rPr>
          <w:rFonts w:eastAsiaTheme="majorEastAsia" w:cstheme="majorBidi"/>
          <w:b/>
          <w:bCs/>
          <w:color w:val="auto"/>
        </w:rPr>
      </w:pPr>
      <w:r w:rsidRPr="00142A2E">
        <w:rPr>
          <w:rFonts w:eastAsiaTheme="majorEastAsia" w:cstheme="majorBidi"/>
          <w:b/>
          <w:bCs/>
          <w:color w:val="auto"/>
        </w:rPr>
        <w:t>Lecturer Name: Kennedy Obohwemu</w:t>
      </w:r>
    </w:p>
    <w:sdt>
      <w:sdtPr>
        <w:rPr>
          <w:color w:val="auto"/>
          <w:sz w:val="40"/>
          <w:szCs w:val="40"/>
        </w:rPr>
        <w:id w:val="1865859406"/>
        <w:docPartObj>
          <w:docPartGallery w:val="Table of Contents"/>
          <w:docPartUnique/>
        </w:docPartObj>
      </w:sdtPr>
      <w:sdtEndPr>
        <w:rPr>
          <w:b/>
          <w:bCs/>
          <w:noProof/>
          <w:color w:val="000000" w:themeColor="text1"/>
          <w:sz w:val="22"/>
          <w:szCs w:val="22"/>
        </w:rPr>
      </w:sdtEndPr>
      <w:sdtContent>
        <w:p w14:paraId="49526598" w14:textId="4D1AB857" w:rsidR="008A6FBC" w:rsidRPr="00142A2E" w:rsidRDefault="008A6FBC" w:rsidP="00714C63">
          <w:pPr>
            <w:rPr>
              <w:b/>
              <w:bCs/>
              <w:color w:val="auto"/>
              <w:sz w:val="40"/>
              <w:szCs w:val="40"/>
            </w:rPr>
          </w:pPr>
          <w:r w:rsidRPr="008A6FBC">
            <w:rPr>
              <w:color w:val="auto"/>
              <w:sz w:val="40"/>
              <w:szCs w:val="40"/>
            </w:rPr>
            <w:t>Table of Contents</w:t>
          </w:r>
        </w:p>
        <w:p w14:paraId="21587B48" w14:textId="3915F530" w:rsidR="00B6124A" w:rsidRDefault="008A6FBC">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r>
            <w:fldChar w:fldCharType="begin"/>
          </w:r>
          <w:r>
            <w:instrText xml:space="preserve"> TOC \o "1-3" \h \z \u </w:instrText>
          </w:r>
          <w:r>
            <w:fldChar w:fldCharType="separate"/>
          </w:r>
          <w:hyperlink w:anchor="_Toc234945820" w:history="1">
            <w:r w:rsidR="00B6124A" w:rsidRPr="003465E4">
              <w:rPr>
                <w:rStyle w:val="Hyperlink"/>
                <w:noProof/>
              </w:rPr>
              <w:t>Introduction</w:t>
            </w:r>
            <w:r w:rsidR="00B6124A">
              <w:rPr>
                <w:noProof/>
                <w:webHidden/>
              </w:rPr>
              <w:tab/>
            </w:r>
            <w:r w:rsidR="00B6124A">
              <w:rPr>
                <w:noProof/>
                <w:webHidden/>
              </w:rPr>
              <w:fldChar w:fldCharType="begin"/>
            </w:r>
            <w:r w:rsidR="00B6124A">
              <w:rPr>
                <w:noProof/>
                <w:webHidden/>
              </w:rPr>
              <w:instrText xml:space="preserve"> PAGEREF _Toc234945820 \h </w:instrText>
            </w:r>
            <w:r w:rsidR="00B6124A">
              <w:rPr>
                <w:noProof/>
                <w:webHidden/>
              </w:rPr>
            </w:r>
            <w:r w:rsidR="00B6124A">
              <w:rPr>
                <w:noProof/>
                <w:webHidden/>
              </w:rPr>
              <w:fldChar w:fldCharType="separate"/>
            </w:r>
            <w:r w:rsidR="00B6124A">
              <w:rPr>
                <w:noProof/>
                <w:webHidden/>
              </w:rPr>
              <w:t>1</w:t>
            </w:r>
            <w:r w:rsidR="00B6124A">
              <w:rPr>
                <w:noProof/>
                <w:webHidden/>
              </w:rPr>
              <w:fldChar w:fldCharType="end"/>
            </w:r>
          </w:hyperlink>
        </w:p>
        <w:p w14:paraId="5A7E2D3B" w14:textId="3F2B2570" w:rsidR="00B6124A" w:rsidRDefault="00B6124A">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4945821" w:history="1">
            <w:r w:rsidRPr="003465E4">
              <w:rPr>
                <w:rStyle w:val="Hyperlink"/>
                <w:noProof/>
              </w:rPr>
              <w:t>Classification and Diagnosis</w:t>
            </w:r>
            <w:r>
              <w:rPr>
                <w:noProof/>
                <w:webHidden/>
              </w:rPr>
              <w:tab/>
            </w:r>
            <w:r>
              <w:rPr>
                <w:noProof/>
                <w:webHidden/>
              </w:rPr>
              <w:fldChar w:fldCharType="begin"/>
            </w:r>
            <w:r>
              <w:rPr>
                <w:noProof/>
                <w:webHidden/>
              </w:rPr>
              <w:instrText xml:space="preserve"> PAGEREF _Toc234945821 \h </w:instrText>
            </w:r>
            <w:r>
              <w:rPr>
                <w:noProof/>
                <w:webHidden/>
              </w:rPr>
            </w:r>
            <w:r>
              <w:rPr>
                <w:noProof/>
                <w:webHidden/>
              </w:rPr>
              <w:fldChar w:fldCharType="separate"/>
            </w:r>
            <w:r>
              <w:rPr>
                <w:noProof/>
                <w:webHidden/>
              </w:rPr>
              <w:t>2</w:t>
            </w:r>
            <w:r>
              <w:rPr>
                <w:noProof/>
                <w:webHidden/>
              </w:rPr>
              <w:fldChar w:fldCharType="end"/>
            </w:r>
          </w:hyperlink>
        </w:p>
        <w:p w14:paraId="359A137D" w14:textId="691F13D8" w:rsidR="00B6124A" w:rsidRDefault="00B6124A">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4945822" w:history="1">
            <w:r w:rsidRPr="003465E4">
              <w:rPr>
                <w:rStyle w:val="Hyperlink"/>
                <w:noProof/>
              </w:rPr>
              <w:t>Classification under ICD-11</w:t>
            </w:r>
            <w:r>
              <w:rPr>
                <w:noProof/>
                <w:webHidden/>
              </w:rPr>
              <w:tab/>
            </w:r>
            <w:r>
              <w:rPr>
                <w:noProof/>
                <w:webHidden/>
              </w:rPr>
              <w:fldChar w:fldCharType="begin"/>
            </w:r>
            <w:r>
              <w:rPr>
                <w:noProof/>
                <w:webHidden/>
              </w:rPr>
              <w:instrText xml:space="preserve"> PAGEREF _Toc234945822 \h </w:instrText>
            </w:r>
            <w:r>
              <w:rPr>
                <w:noProof/>
                <w:webHidden/>
              </w:rPr>
            </w:r>
            <w:r>
              <w:rPr>
                <w:noProof/>
                <w:webHidden/>
              </w:rPr>
              <w:fldChar w:fldCharType="separate"/>
            </w:r>
            <w:r>
              <w:rPr>
                <w:noProof/>
                <w:webHidden/>
              </w:rPr>
              <w:t>2</w:t>
            </w:r>
            <w:r>
              <w:rPr>
                <w:noProof/>
                <w:webHidden/>
              </w:rPr>
              <w:fldChar w:fldCharType="end"/>
            </w:r>
          </w:hyperlink>
        </w:p>
        <w:p w14:paraId="72EA8131" w14:textId="58D2A4E7" w:rsidR="00B6124A" w:rsidRDefault="00B6124A">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4945823" w:history="1">
            <w:r w:rsidRPr="003465E4">
              <w:rPr>
                <w:rStyle w:val="Hyperlink"/>
                <w:noProof/>
              </w:rPr>
              <w:t>Diagnostic Criteria and UK Application</w:t>
            </w:r>
            <w:r>
              <w:rPr>
                <w:noProof/>
                <w:webHidden/>
              </w:rPr>
              <w:tab/>
            </w:r>
            <w:r>
              <w:rPr>
                <w:noProof/>
                <w:webHidden/>
              </w:rPr>
              <w:fldChar w:fldCharType="begin"/>
            </w:r>
            <w:r>
              <w:rPr>
                <w:noProof/>
                <w:webHidden/>
              </w:rPr>
              <w:instrText xml:space="preserve"> PAGEREF _Toc234945823 \h </w:instrText>
            </w:r>
            <w:r>
              <w:rPr>
                <w:noProof/>
                <w:webHidden/>
              </w:rPr>
            </w:r>
            <w:r>
              <w:rPr>
                <w:noProof/>
                <w:webHidden/>
              </w:rPr>
              <w:fldChar w:fldCharType="separate"/>
            </w:r>
            <w:r>
              <w:rPr>
                <w:noProof/>
                <w:webHidden/>
              </w:rPr>
              <w:t>3</w:t>
            </w:r>
            <w:r>
              <w:rPr>
                <w:noProof/>
                <w:webHidden/>
              </w:rPr>
              <w:fldChar w:fldCharType="end"/>
            </w:r>
          </w:hyperlink>
        </w:p>
        <w:p w14:paraId="296B2C63" w14:textId="27153A49" w:rsidR="00B6124A" w:rsidRDefault="00B6124A">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4945824" w:history="1">
            <w:r w:rsidRPr="003465E4">
              <w:rPr>
                <w:rStyle w:val="Hyperlink"/>
                <w:noProof/>
              </w:rPr>
              <w:t>Treatment Approaches</w:t>
            </w:r>
            <w:r>
              <w:rPr>
                <w:noProof/>
                <w:webHidden/>
              </w:rPr>
              <w:tab/>
            </w:r>
            <w:r>
              <w:rPr>
                <w:noProof/>
                <w:webHidden/>
              </w:rPr>
              <w:fldChar w:fldCharType="begin"/>
            </w:r>
            <w:r>
              <w:rPr>
                <w:noProof/>
                <w:webHidden/>
              </w:rPr>
              <w:instrText xml:space="preserve"> PAGEREF _Toc234945824 \h </w:instrText>
            </w:r>
            <w:r>
              <w:rPr>
                <w:noProof/>
                <w:webHidden/>
              </w:rPr>
            </w:r>
            <w:r>
              <w:rPr>
                <w:noProof/>
                <w:webHidden/>
              </w:rPr>
              <w:fldChar w:fldCharType="separate"/>
            </w:r>
            <w:r>
              <w:rPr>
                <w:noProof/>
                <w:webHidden/>
              </w:rPr>
              <w:t>3</w:t>
            </w:r>
            <w:r>
              <w:rPr>
                <w:noProof/>
                <w:webHidden/>
              </w:rPr>
              <w:fldChar w:fldCharType="end"/>
            </w:r>
          </w:hyperlink>
        </w:p>
        <w:p w14:paraId="0F92A7E9" w14:textId="16B70677" w:rsidR="00B6124A" w:rsidRDefault="00B6124A">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4945825" w:history="1">
            <w:r w:rsidRPr="003465E4">
              <w:rPr>
                <w:rStyle w:val="Hyperlink"/>
                <w:noProof/>
              </w:rPr>
              <w:t>Pharmacological Treatment</w:t>
            </w:r>
            <w:r>
              <w:rPr>
                <w:noProof/>
                <w:webHidden/>
              </w:rPr>
              <w:tab/>
            </w:r>
            <w:r>
              <w:rPr>
                <w:noProof/>
                <w:webHidden/>
              </w:rPr>
              <w:fldChar w:fldCharType="begin"/>
            </w:r>
            <w:r>
              <w:rPr>
                <w:noProof/>
                <w:webHidden/>
              </w:rPr>
              <w:instrText xml:space="preserve"> PAGEREF _Toc234945825 \h </w:instrText>
            </w:r>
            <w:r>
              <w:rPr>
                <w:noProof/>
                <w:webHidden/>
              </w:rPr>
            </w:r>
            <w:r>
              <w:rPr>
                <w:noProof/>
                <w:webHidden/>
              </w:rPr>
              <w:fldChar w:fldCharType="separate"/>
            </w:r>
            <w:r>
              <w:rPr>
                <w:noProof/>
                <w:webHidden/>
              </w:rPr>
              <w:t>3</w:t>
            </w:r>
            <w:r>
              <w:rPr>
                <w:noProof/>
                <w:webHidden/>
              </w:rPr>
              <w:fldChar w:fldCharType="end"/>
            </w:r>
          </w:hyperlink>
        </w:p>
        <w:p w14:paraId="0840563D" w14:textId="7028E60A" w:rsidR="00B6124A" w:rsidRDefault="00B6124A">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4945826" w:history="1">
            <w:r w:rsidRPr="003465E4">
              <w:rPr>
                <w:rStyle w:val="Hyperlink"/>
                <w:noProof/>
              </w:rPr>
              <w:t>Psychological and Non-Pharmacological Treatment</w:t>
            </w:r>
            <w:r>
              <w:rPr>
                <w:noProof/>
                <w:webHidden/>
              </w:rPr>
              <w:tab/>
            </w:r>
            <w:r>
              <w:rPr>
                <w:noProof/>
                <w:webHidden/>
              </w:rPr>
              <w:fldChar w:fldCharType="begin"/>
            </w:r>
            <w:r>
              <w:rPr>
                <w:noProof/>
                <w:webHidden/>
              </w:rPr>
              <w:instrText xml:space="preserve"> PAGEREF _Toc234945826 \h </w:instrText>
            </w:r>
            <w:r>
              <w:rPr>
                <w:noProof/>
                <w:webHidden/>
              </w:rPr>
            </w:r>
            <w:r>
              <w:rPr>
                <w:noProof/>
                <w:webHidden/>
              </w:rPr>
              <w:fldChar w:fldCharType="separate"/>
            </w:r>
            <w:r>
              <w:rPr>
                <w:noProof/>
                <w:webHidden/>
              </w:rPr>
              <w:t>4</w:t>
            </w:r>
            <w:r>
              <w:rPr>
                <w:noProof/>
                <w:webHidden/>
              </w:rPr>
              <w:fldChar w:fldCharType="end"/>
            </w:r>
          </w:hyperlink>
        </w:p>
        <w:p w14:paraId="2739054E" w14:textId="6FFC7618" w:rsidR="00B6124A" w:rsidRDefault="00B6124A">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4945827" w:history="1">
            <w:r w:rsidRPr="003465E4">
              <w:rPr>
                <w:rStyle w:val="Hyperlink"/>
                <w:noProof/>
              </w:rPr>
              <w:t>Rehabilitation and Long-Term Management</w:t>
            </w:r>
            <w:r>
              <w:rPr>
                <w:noProof/>
                <w:webHidden/>
              </w:rPr>
              <w:tab/>
            </w:r>
            <w:r>
              <w:rPr>
                <w:noProof/>
                <w:webHidden/>
              </w:rPr>
              <w:fldChar w:fldCharType="begin"/>
            </w:r>
            <w:r>
              <w:rPr>
                <w:noProof/>
                <w:webHidden/>
              </w:rPr>
              <w:instrText xml:space="preserve"> PAGEREF _Toc234945827 \h </w:instrText>
            </w:r>
            <w:r>
              <w:rPr>
                <w:noProof/>
                <w:webHidden/>
              </w:rPr>
            </w:r>
            <w:r>
              <w:rPr>
                <w:noProof/>
                <w:webHidden/>
              </w:rPr>
              <w:fldChar w:fldCharType="separate"/>
            </w:r>
            <w:r>
              <w:rPr>
                <w:noProof/>
                <w:webHidden/>
              </w:rPr>
              <w:t>7</w:t>
            </w:r>
            <w:r>
              <w:rPr>
                <w:noProof/>
                <w:webHidden/>
              </w:rPr>
              <w:fldChar w:fldCharType="end"/>
            </w:r>
          </w:hyperlink>
        </w:p>
        <w:p w14:paraId="518D3C14" w14:textId="3DE7F278" w:rsidR="00B6124A" w:rsidRDefault="00B6124A">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4945828" w:history="1">
            <w:r w:rsidRPr="003465E4">
              <w:rPr>
                <w:rStyle w:val="Hyperlink"/>
                <w:noProof/>
              </w:rPr>
              <w:t>Rehabilitation Strategies and ICD-11 Framing</w:t>
            </w:r>
            <w:r>
              <w:rPr>
                <w:noProof/>
                <w:webHidden/>
              </w:rPr>
              <w:tab/>
            </w:r>
            <w:r>
              <w:rPr>
                <w:noProof/>
                <w:webHidden/>
              </w:rPr>
              <w:fldChar w:fldCharType="begin"/>
            </w:r>
            <w:r>
              <w:rPr>
                <w:noProof/>
                <w:webHidden/>
              </w:rPr>
              <w:instrText xml:space="preserve"> PAGEREF _Toc234945828 \h </w:instrText>
            </w:r>
            <w:r>
              <w:rPr>
                <w:noProof/>
                <w:webHidden/>
              </w:rPr>
            </w:r>
            <w:r>
              <w:rPr>
                <w:noProof/>
                <w:webHidden/>
              </w:rPr>
              <w:fldChar w:fldCharType="separate"/>
            </w:r>
            <w:r>
              <w:rPr>
                <w:noProof/>
                <w:webHidden/>
              </w:rPr>
              <w:t>7</w:t>
            </w:r>
            <w:r>
              <w:rPr>
                <w:noProof/>
                <w:webHidden/>
              </w:rPr>
              <w:fldChar w:fldCharType="end"/>
            </w:r>
          </w:hyperlink>
        </w:p>
        <w:p w14:paraId="3246B4B1" w14:textId="6F17BE1B" w:rsidR="00B6124A" w:rsidRDefault="00B6124A">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4945829" w:history="1">
            <w:r w:rsidRPr="003465E4">
              <w:rPr>
                <w:rStyle w:val="Hyperlink"/>
                <w:noProof/>
              </w:rPr>
              <w:t>Social Reintegration and Community Support</w:t>
            </w:r>
            <w:r>
              <w:rPr>
                <w:noProof/>
                <w:webHidden/>
              </w:rPr>
              <w:tab/>
            </w:r>
            <w:r>
              <w:rPr>
                <w:noProof/>
                <w:webHidden/>
              </w:rPr>
              <w:fldChar w:fldCharType="begin"/>
            </w:r>
            <w:r>
              <w:rPr>
                <w:noProof/>
                <w:webHidden/>
              </w:rPr>
              <w:instrText xml:space="preserve"> PAGEREF _Toc234945829 \h </w:instrText>
            </w:r>
            <w:r>
              <w:rPr>
                <w:noProof/>
                <w:webHidden/>
              </w:rPr>
            </w:r>
            <w:r>
              <w:rPr>
                <w:noProof/>
                <w:webHidden/>
              </w:rPr>
              <w:fldChar w:fldCharType="separate"/>
            </w:r>
            <w:r>
              <w:rPr>
                <w:noProof/>
                <w:webHidden/>
              </w:rPr>
              <w:t>8</w:t>
            </w:r>
            <w:r>
              <w:rPr>
                <w:noProof/>
                <w:webHidden/>
              </w:rPr>
              <w:fldChar w:fldCharType="end"/>
            </w:r>
          </w:hyperlink>
        </w:p>
        <w:p w14:paraId="5D8EB394" w14:textId="7A5875C3" w:rsidR="00B6124A" w:rsidRDefault="00B6124A">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4945830" w:history="1">
            <w:r w:rsidRPr="003465E4">
              <w:rPr>
                <w:rStyle w:val="Hyperlink"/>
                <w:noProof/>
              </w:rPr>
              <w:t>Current Debates and Emerging Issues</w:t>
            </w:r>
            <w:r>
              <w:rPr>
                <w:noProof/>
                <w:webHidden/>
              </w:rPr>
              <w:tab/>
            </w:r>
            <w:r>
              <w:rPr>
                <w:noProof/>
                <w:webHidden/>
              </w:rPr>
              <w:fldChar w:fldCharType="begin"/>
            </w:r>
            <w:r>
              <w:rPr>
                <w:noProof/>
                <w:webHidden/>
              </w:rPr>
              <w:instrText xml:space="preserve"> PAGEREF _Toc234945830 \h </w:instrText>
            </w:r>
            <w:r>
              <w:rPr>
                <w:noProof/>
                <w:webHidden/>
              </w:rPr>
            </w:r>
            <w:r>
              <w:rPr>
                <w:noProof/>
                <w:webHidden/>
              </w:rPr>
              <w:fldChar w:fldCharType="separate"/>
            </w:r>
            <w:r>
              <w:rPr>
                <w:noProof/>
                <w:webHidden/>
              </w:rPr>
              <w:t>8</w:t>
            </w:r>
            <w:r>
              <w:rPr>
                <w:noProof/>
                <w:webHidden/>
              </w:rPr>
              <w:fldChar w:fldCharType="end"/>
            </w:r>
          </w:hyperlink>
        </w:p>
        <w:p w14:paraId="468C2755" w14:textId="66F506A3" w:rsidR="00B6124A" w:rsidRDefault="00B6124A">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4945831" w:history="1">
            <w:r w:rsidRPr="003465E4">
              <w:rPr>
                <w:rStyle w:val="Hyperlink"/>
                <w:noProof/>
              </w:rPr>
              <w:t>Biomarker-Based vs. Symptom-Based Diagnosis</w:t>
            </w:r>
            <w:r>
              <w:rPr>
                <w:noProof/>
                <w:webHidden/>
              </w:rPr>
              <w:tab/>
            </w:r>
            <w:r>
              <w:rPr>
                <w:noProof/>
                <w:webHidden/>
              </w:rPr>
              <w:fldChar w:fldCharType="begin"/>
            </w:r>
            <w:r>
              <w:rPr>
                <w:noProof/>
                <w:webHidden/>
              </w:rPr>
              <w:instrText xml:space="preserve"> PAGEREF _Toc234945831 \h </w:instrText>
            </w:r>
            <w:r>
              <w:rPr>
                <w:noProof/>
                <w:webHidden/>
              </w:rPr>
            </w:r>
            <w:r>
              <w:rPr>
                <w:noProof/>
                <w:webHidden/>
              </w:rPr>
              <w:fldChar w:fldCharType="separate"/>
            </w:r>
            <w:r>
              <w:rPr>
                <w:noProof/>
                <w:webHidden/>
              </w:rPr>
              <w:t>8</w:t>
            </w:r>
            <w:r>
              <w:rPr>
                <w:noProof/>
                <w:webHidden/>
              </w:rPr>
              <w:fldChar w:fldCharType="end"/>
            </w:r>
          </w:hyperlink>
        </w:p>
        <w:p w14:paraId="09CDB74E" w14:textId="395A6493" w:rsidR="00B6124A" w:rsidRDefault="00B6124A">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4945832" w:history="1">
            <w:r w:rsidRPr="003465E4">
              <w:rPr>
                <w:rStyle w:val="Hyperlink"/>
                <w:noProof/>
              </w:rPr>
              <w:t>Emerging Disease-Modifying Therapies and UK Policy</w:t>
            </w:r>
            <w:r>
              <w:rPr>
                <w:noProof/>
                <w:webHidden/>
              </w:rPr>
              <w:tab/>
            </w:r>
            <w:r>
              <w:rPr>
                <w:noProof/>
                <w:webHidden/>
              </w:rPr>
              <w:fldChar w:fldCharType="begin"/>
            </w:r>
            <w:r>
              <w:rPr>
                <w:noProof/>
                <w:webHidden/>
              </w:rPr>
              <w:instrText xml:space="preserve"> PAGEREF _Toc234945832 \h </w:instrText>
            </w:r>
            <w:r>
              <w:rPr>
                <w:noProof/>
                <w:webHidden/>
              </w:rPr>
            </w:r>
            <w:r>
              <w:rPr>
                <w:noProof/>
                <w:webHidden/>
              </w:rPr>
              <w:fldChar w:fldCharType="separate"/>
            </w:r>
            <w:r>
              <w:rPr>
                <w:noProof/>
                <w:webHidden/>
              </w:rPr>
              <w:t>9</w:t>
            </w:r>
            <w:r>
              <w:rPr>
                <w:noProof/>
                <w:webHidden/>
              </w:rPr>
              <w:fldChar w:fldCharType="end"/>
            </w:r>
          </w:hyperlink>
        </w:p>
        <w:p w14:paraId="33FDF37E" w14:textId="00BB6251" w:rsidR="00B6124A" w:rsidRDefault="00B6124A">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4945833" w:history="1">
            <w:r w:rsidRPr="003465E4">
              <w:rPr>
                <w:rStyle w:val="Hyperlink"/>
                <w:noProof/>
              </w:rPr>
              <w:t>Equality Act (2010) and Diagnostic Equity</w:t>
            </w:r>
            <w:r>
              <w:rPr>
                <w:noProof/>
                <w:webHidden/>
              </w:rPr>
              <w:tab/>
            </w:r>
            <w:r>
              <w:rPr>
                <w:noProof/>
                <w:webHidden/>
              </w:rPr>
              <w:fldChar w:fldCharType="begin"/>
            </w:r>
            <w:r>
              <w:rPr>
                <w:noProof/>
                <w:webHidden/>
              </w:rPr>
              <w:instrText xml:space="preserve"> PAGEREF _Toc234945833 \h </w:instrText>
            </w:r>
            <w:r>
              <w:rPr>
                <w:noProof/>
                <w:webHidden/>
              </w:rPr>
            </w:r>
            <w:r>
              <w:rPr>
                <w:noProof/>
                <w:webHidden/>
              </w:rPr>
              <w:fldChar w:fldCharType="separate"/>
            </w:r>
            <w:r>
              <w:rPr>
                <w:noProof/>
                <w:webHidden/>
              </w:rPr>
              <w:t>9</w:t>
            </w:r>
            <w:r>
              <w:rPr>
                <w:noProof/>
                <w:webHidden/>
              </w:rPr>
              <w:fldChar w:fldCharType="end"/>
            </w:r>
          </w:hyperlink>
        </w:p>
        <w:p w14:paraId="3072FF8B" w14:textId="2A67CB9F" w:rsidR="00B6124A" w:rsidRDefault="00B6124A">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4945834" w:history="1">
            <w:r w:rsidRPr="003465E4">
              <w:rPr>
                <w:rStyle w:val="Hyperlink"/>
                <w:noProof/>
              </w:rPr>
              <w:t>Recommendations</w:t>
            </w:r>
            <w:r>
              <w:rPr>
                <w:noProof/>
                <w:webHidden/>
              </w:rPr>
              <w:tab/>
            </w:r>
            <w:r>
              <w:rPr>
                <w:noProof/>
                <w:webHidden/>
              </w:rPr>
              <w:fldChar w:fldCharType="begin"/>
            </w:r>
            <w:r>
              <w:rPr>
                <w:noProof/>
                <w:webHidden/>
              </w:rPr>
              <w:instrText xml:space="preserve"> PAGEREF _Toc234945834 \h </w:instrText>
            </w:r>
            <w:r>
              <w:rPr>
                <w:noProof/>
                <w:webHidden/>
              </w:rPr>
            </w:r>
            <w:r>
              <w:rPr>
                <w:noProof/>
                <w:webHidden/>
              </w:rPr>
              <w:fldChar w:fldCharType="separate"/>
            </w:r>
            <w:r>
              <w:rPr>
                <w:noProof/>
                <w:webHidden/>
              </w:rPr>
              <w:t>10</w:t>
            </w:r>
            <w:r>
              <w:rPr>
                <w:noProof/>
                <w:webHidden/>
              </w:rPr>
              <w:fldChar w:fldCharType="end"/>
            </w:r>
          </w:hyperlink>
        </w:p>
        <w:p w14:paraId="46C23802" w14:textId="465C0167" w:rsidR="00B6124A" w:rsidRDefault="00B6124A">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4945835" w:history="1">
            <w:r w:rsidRPr="003465E4">
              <w:rPr>
                <w:rStyle w:val="Hyperlink"/>
                <w:noProof/>
              </w:rPr>
              <w:t>Conclusion</w:t>
            </w:r>
            <w:r>
              <w:rPr>
                <w:noProof/>
                <w:webHidden/>
              </w:rPr>
              <w:tab/>
            </w:r>
            <w:r>
              <w:rPr>
                <w:noProof/>
                <w:webHidden/>
              </w:rPr>
              <w:fldChar w:fldCharType="begin"/>
            </w:r>
            <w:r>
              <w:rPr>
                <w:noProof/>
                <w:webHidden/>
              </w:rPr>
              <w:instrText xml:space="preserve"> PAGEREF _Toc234945835 \h </w:instrText>
            </w:r>
            <w:r>
              <w:rPr>
                <w:noProof/>
                <w:webHidden/>
              </w:rPr>
            </w:r>
            <w:r>
              <w:rPr>
                <w:noProof/>
                <w:webHidden/>
              </w:rPr>
              <w:fldChar w:fldCharType="separate"/>
            </w:r>
            <w:r>
              <w:rPr>
                <w:noProof/>
                <w:webHidden/>
              </w:rPr>
              <w:t>10</w:t>
            </w:r>
            <w:r>
              <w:rPr>
                <w:noProof/>
                <w:webHidden/>
              </w:rPr>
              <w:fldChar w:fldCharType="end"/>
            </w:r>
          </w:hyperlink>
        </w:p>
        <w:p w14:paraId="23EB8DA1" w14:textId="123B377F" w:rsidR="00B6124A" w:rsidRDefault="00B6124A">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4945836" w:history="1">
            <w:r w:rsidRPr="003465E4">
              <w:rPr>
                <w:rStyle w:val="Hyperlink"/>
                <w:noProof/>
              </w:rPr>
              <w:t>References</w:t>
            </w:r>
            <w:r>
              <w:rPr>
                <w:noProof/>
                <w:webHidden/>
              </w:rPr>
              <w:tab/>
            </w:r>
            <w:r>
              <w:rPr>
                <w:noProof/>
                <w:webHidden/>
              </w:rPr>
              <w:fldChar w:fldCharType="begin"/>
            </w:r>
            <w:r>
              <w:rPr>
                <w:noProof/>
                <w:webHidden/>
              </w:rPr>
              <w:instrText xml:space="preserve"> PAGEREF _Toc234945836 \h </w:instrText>
            </w:r>
            <w:r>
              <w:rPr>
                <w:noProof/>
                <w:webHidden/>
              </w:rPr>
            </w:r>
            <w:r>
              <w:rPr>
                <w:noProof/>
                <w:webHidden/>
              </w:rPr>
              <w:fldChar w:fldCharType="separate"/>
            </w:r>
            <w:r>
              <w:rPr>
                <w:noProof/>
                <w:webHidden/>
              </w:rPr>
              <w:t>12</w:t>
            </w:r>
            <w:r>
              <w:rPr>
                <w:noProof/>
                <w:webHidden/>
              </w:rPr>
              <w:fldChar w:fldCharType="end"/>
            </w:r>
          </w:hyperlink>
        </w:p>
        <w:p w14:paraId="79105E58" w14:textId="1EA5185B" w:rsidR="008A6FBC" w:rsidRDefault="008A6FBC" w:rsidP="008441F5">
          <w:pPr>
            <w:spacing w:line="360" w:lineRule="auto"/>
            <w:jc w:val="both"/>
          </w:pPr>
          <w:r>
            <w:rPr>
              <w:b/>
              <w:bCs/>
              <w:noProof/>
            </w:rPr>
            <w:fldChar w:fldCharType="end"/>
          </w:r>
        </w:p>
      </w:sdtContent>
    </w:sdt>
    <w:p w14:paraId="3AC53BB3" w14:textId="77777777" w:rsidR="007F0F6A" w:rsidRDefault="007F0F6A" w:rsidP="008441F5">
      <w:pPr>
        <w:spacing w:line="360" w:lineRule="auto"/>
        <w:jc w:val="both"/>
        <w:rPr>
          <w:b/>
          <w:bCs/>
        </w:rPr>
      </w:pPr>
      <w:r>
        <w:rPr>
          <w:b/>
          <w:bCs/>
        </w:rPr>
        <w:br w:type="page"/>
      </w:r>
    </w:p>
    <w:p w14:paraId="2BA68676" w14:textId="77777777" w:rsidR="008A6FBC" w:rsidRDefault="008A6FBC" w:rsidP="00714C63">
      <w:pPr>
        <w:pStyle w:val="Heading1"/>
        <w:sectPr w:rsidR="008A6FBC" w:rsidSect="00E4306A">
          <w:footerReference w:type="default" r:id="rId8"/>
          <w:pgSz w:w="11906" w:h="16838"/>
          <w:pgMar w:top="1440" w:right="1440" w:bottom="1440" w:left="1440" w:header="709" w:footer="709" w:gutter="0"/>
          <w:cols w:space="708"/>
          <w:docGrid w:linePitch="360"/>
        </w:sectPr>
      </w:pPr>
    </w:p>
    <w:p w14:paraId="4FC2E74B" w14:textId="59DE2884" w:rsidR="0068005A" w:rsidRPr="007F0F6A" w:rsidRDefault="007F0F6A" w:rsidP="00714C63">
      <w:pPr>
        <w:pStyle w:val="Heading1"/>
      </w:pPr>
      <w:bookmarkStart w:id="0" w:name="_Toc234945820"/>
      <w:r w:rsidRPr="007F0F6A">
        <w:lastRenderedPageBreak/>
        <w:t>Introduction</w:t>
      </w:r>
      <w:bookmarkEnd w:id="0"/>
    </w:p>
    <w:p w14:paraId="7F9CDD03" w14:textId="58E5AE3D" w:rsidR="007F0F6A" w:rsidRPr="007F0F6A" w:rsidRDefault="007F0F6A" w:rsidP="008441F5">
      <w:pPr>
        <w:spacing w:line="360" w:lineRule="auto"/>
        <w:jc w:val="both"/>
      </w:pPr>
      <w:r w:rsidRPr="007F0F6A">
        <w:t xml:space="preserve">Dementia is one of the most significant public health challenges of the 21st century, affecting memory, cognition, </w:t>
      </w:r>
      <w:r w:rsidR="00C67AC9" w:rsidRPr="007F0F6A">
        <w:t>behaviour,</w:t>
      </w:r>
      <w:r w:rsidRPr="007F0F6A">
        <w:t xml:space="preserve"> and the capacity for independent living. Among its </w:t>
      </w:r>
      <w:r w:rsidR="00726F2A" w:rsidRPr="00726F2A">
        <w:t>origin</w:t>
      </w:r>
      <w:r w:rsidR="00726F2A">
        <w:t>s</w:t>
      </w:r>
      <w:r w:rsidRPr="007F0F6A">
        <w:t xml:space="preserve">, Alzheimer's disease is the most prevalent, accounting for </w:t>
      </w:r>
      <w:r w:rsidR="00C67AC9" w:rsidRPr="007F0F6A">
        <w:t>60</w:t>
      </w:r>
      <w:r w:rsidRPr="007F0F6A">
        <w:t xml:space="preserve"> to 80 </w:t>
      </w:r>
      <w:r w:rsidR="0018697C">
        <w:t>per cent</w:t>
      </w:r>
      <w:r w:rsidRPr="007F0F6A">
        <w:t xml:space="preserve"> of all dementia diagnoses worldwide (WHO, 2023). In the United Kingdom, an estimated 944,000 people are currently living with dementia, a figure projected to exceed one million by 2025 and 1.6 million by 2040 as the population ages (Alzheimer's Research UK, 2023). The economic cost to the UK is substantial, estimated at £34.7 billion annually, </w:t>
      </w:r>
      <w:r w:rsidR="00EC5D4A">
        <w:t>encompassing</w:t>
      </w:r>
      <w:r w:rsidRPr="007F0F6A">
        <w:t xml:space="preserve"> health, social </w:t>
      </w:r>
      <w:r w:rsidR="00C67AC9" w:rsidRPr="007F0F6A">
        <w:t>care,</w:t>
      </w:r>
      <w:r w:rsidRPr="007F0F6A">
        <w:t xml:space="preserve"> and informal caregiving (Alzheimer's Society, 2024).</w:t>
      </w:r>
    </w:p>
    <w:p w14:paraId="3FD7CA14" w14:textId="29CEA827" w:rsidR="007F0F6A" w:rsidRPr="007F0F6A" w:rsidRDefault="007F0F6A" w:rsidP="008441F5">
      <w:pPr>
        <w:spacing w:line="360" w:lineRule="auto"/>
        <w:jc w:val="both"/>
      </w:pPr>
      <w:r w:rsidRPr="007F0F6A">
        <w:t xml:space="preserve">The World Health Organisation's ICD-11 classifies Alzheimer's-type dementia under code 6D80, representing a significant revision from its ICD-10 predecessor and reflecting advances in neuroscientific understanding of the condition's biological underpinnings (WHO, 2022). Within the UK, the National Health Service and the National Institute for Health and Care Excellence provide the primary frameworks for diagnosis, </w:t>
      </w:r>
      <w:r w:rsidR="00C67AC9" w:rsidRPr="007F0F6A">
        <w:t>treatment,</w:t>
      </w:r>
      <w:r w:rsidRPr="007F0F6A">
        <w:t xml:space="preserve"> and long-term management.</w:t>
      </w:r>
    </w:p>
    <w:p w14:paraId="1D3B1244" w14:textId="2533F61A" w:rsidR="007F0F6A" w:rsidRDefault="00C67AC9" w:rsidP="008441F5">
      <w:pPr>
        <w:spacing w:line="360" w:lineRule="auto"/>
        <w:jc w:val="both"/>
      </w:pPr>
      <w:r>
        <w:t>This report critically examines the ICD-11 classification and diagnosis of Alzheimer's dementia, evaluates current pharmacological and psychological treatment approaches in the UK, explores rehabilitation and long-term management strategies, and engages with contemporary academic and clinical debates. Evidence-based recommendations for policy and practice are offered throughout.</w:t>
      </w:r>
    </w:p>
    <w:p w14:paraId="3AE49716" w14:textId="1FFD9CA8" w:rsidR="00CA300D" w:rsidRDefault="00CA300D" w:rsidP="008441F5">
      <w:pPr>
        <w:spacing w:line="360" w:lineRule="auto"/>
        <w:jc w:val="both"/>
      </w:pPr>
      <w:r>
        <w:rPr>
          <w:noProof/>
        </w:rPr>
        <w:drawing>
          <wp:inline distT="0" distB="0" distL="0" distR="0" wp14:anchorId="5F6F9D11" wp14:editId="25D9B928">
            <wp:extent cx="5731510" cy="1480820"/>
            <wp:effectExtent l="0" t="0" r="2540" b="5080"/>
            <wp:docPr id="2122018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018406" name="Picture 2122018406"/>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1480820"/>
                    </a:xfrm>
                    <a:prstGeom prst="rect">
                      <a:avLst/>
                    </a:prstGeom>
                  </pic:spPr>
                </pic:pic>
              </a:graphicData>
            </a:graphic>
          </wp:inline>
        </w:drawing>
      </w:r>
    </w:p>
    <w:p w14:paraId="27F91976" w14:textId="7FFF060B" w:rsidR="00CA300D" w:rsidRDefault="00CA300D" w:rsidP="008441F5">
      <w:pPr>
        <w:spacing w:line="360" w:lineRule="auto"/>
        <w:jc w:val="both"/>
      </w:pPr>
      <w:r w:rsidRPr="00CA300D">
        <w:t xml:space="preserve">Figure 1: </w:t>
      </w:r>
      <w:r w:rsidR="00C66DBD">
        <w:t>UK</w:t>
      </w:r>
      <w:r w:rsidR="00C66DBD" w:rsidRPr="00CA300D">
        <w:t xml:space="preserve"> Alzheimer’s disease key statistics</w:t>
      </w:r>
      <w:r w:rsidR="00C66DBD">
        <w:t>:</w:t>
      </w:r>
      <w:r w:rsidRPr="00CA300D">
        <w:t xml:space="preserve"> Alzheimer's Research UK (2023); WHO (2023); NHS England (2024); Alzheimer's Society (2024).</w:t>
      </w:r>
    </w:p>
    <w:p w14:paraId="6B400F9D" w14:textId="77777777" w:rsidR="007F0F6A" w:rsidRDefault="007F0F6A" w:rsidP="008441F5">
      <w:pPr>
        <w:spacing w:line="360" w:lineRule="auto"/>
        <w:jc w:val="both"/>
      </w:pPr>
      <w:r>
        <w:br w:type="page"/>
      </w:r>
    </w:p>
    <w:p w14:paraId="55357466" w14:textId="05B4AE2E" w:rsidR="007F0F6A" w:rsidRPr="007F0F6A" w:rsidRDefault="007F0F6A" w:rsidP="00714C63">
      <w:pPr>
        <w:pStyle w:val="Heading1"/>
      </w:pPr>
      <w:bookmarkStart w:id="1" w:name="_Toc234945821"/>
      <w:r w:rsidRPr="007F0F6A">
        <w:lastRenderedPageBreak/>
        <w:t>Classification and Diagnosis</w:t>
      </w:r>
      <w:bookmarkEnd w:id="1"/>
    </w:p>
    <w:p w14:paraId="78B3CCEF" w14:textId="77777777" w:rsidR="007F0F6A" w:rsidRPr="007F0F6A" w:rsidRDefault="007F0F6A" w:rsidP="00714C63">
      <w:pPr>
        <w:pStyle w:val="Heading2"/>
      </w:pPr>
      <w:bookmarkStart w:id="2" w:name="_Toc234945822"/>
      <w:r w:rsidRPr="007F0F6A">
        <w:t>Classification under ICD-11</w:t>
      </w:r>
      <w:bookmarkEnd w:id="2"/>
    </w:p>
    <w:p w14:paraId="24C9E2FD" w14:textId="4C4DC8EF" w:rsidR="007F0F6A" w:rsidRDefault="00C67AC9" w:rsidP="008441F5">
      <w:pPr>
        <w:spacing w:line="360" w:lineRule="auto"/>
        <w:jc w:val="both"/>
      </w:pPr>
      <w:r>
        <w:t>The ICD-11 classifies Dementia due to Alzheimer's Disease under code 6D80, within the broader category of Neurocognitive Disorders. This marks a substantive revision from ICD-10, in which Alzheimer's dementia was coded under F00 and defined primarily by observable cognitive and behavioural decline. ICD-11 introduces a more nuanced, dimensional framework that recognises the condition's progression along a continuum, from mild neurocognitive disorder to severe dementia, enabling clinicians to capture earlier stages of pathological change that ICD-10 could not adequately represent (WHO, 2022; Gaebel et al., 2020).</w:t>
      </w:r>
    </w:p>
    <w:p w14:paraId="33F57B30" w14:textId="454840CB" w:rsidR="00C41BAF" w:rsidRDefault="000463C1" w:rsidP="008441F5">
      <w:pPr>
        <w:spacing w:line="360" w:lineRule="auto"/>
        <w:jc w:val="both"/>
      </w:pPr>
      <w:r>
        <w:rPr>
          <w:noProof/>
        </w:rPr>
        <w:drawing>
          <wp:inline distT="0" distB="0" distL="0" distR="0" wp14:anchorId="37411F42" wp14:editId="20379B15">
            <wp:extent cx="5730346" cy="2664041"/>
            <wp:effectExtent l="0" t="0" r="3810" b="3175"/>
            <wp:docPr id="138983017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51688" cy="2673963"/>
                    </a:xfrm>
                    <a:prstGeom prst="rect">
                      <a:avLst/>
                    </a:prstGeom>
                    <a:noFill/>
                  </pic:spPr>
                </pic:pic>
              </a:graphicData>
            </a:graphic>
          </wp:inline>
        </w:drawing>
      </w:r>
    </w:p>
    <w:p w14:paraId="2227BD2B" w14:textId="4D316B03" w:rsidR="00CA300D" w:rsidRPr="007F0F6A" w:rsidRDefault="00CA300D" w:rsidP="008441F5">
      <w:pPr>
        <w:spacing w:line="360" w:lineRule="auto"/>
        <w:jc w:val="both"/>
      </w:pPr>
      <w:r w:rsidRPr="00CA300D">
        <w:t>Figure 2: ICD-11 (6D80) Alzheimer's Disease Clinical Continuum and ATN Biomarker Framework. WHO (2022)</w:t>
      </w:r>
      <w:r w:rsidR="00C14FA3">
        <w:t>,</w:t>
      </w:r>
      <w:r w:rsidRPr="00CA300D">
        <w:t xml:space="preserve"> Jack et al. (2018).</w:t>
      </w:r>
    </w:p>
    <w:p w14:paraId="7015C89E" w14:textId="4085D22C" w:rsidR="007F0F6A" w:rsidRPr="007F0F6A" w:rsidRDefault="007F0F6A" w:rsidP="008441F5">
      <w:pPr>
        <w:spacing w:line="360" w:lineRule="auto"/>
        <w:jc w:val="both"/>
      </w:pPr>
      <w:r w:rsidRPr="007F0F6A">
        <w:t xml:space="preserve">A </w:t>
      </w:r>
      <w:r w:rsidR="00F34F91">
        <w:t xml:space="preserve">particular </w:t>
      </w:r>
      <w:r w:rsidRPr="007F0F6A">
        <w:t>change is ICD-11's recognition of the prodromal and preclinical phases of Alzheimer's disease, where biomarker evidence of amyloid and tau pathology may be present before clinical symptoms manifest. This aligns ICD-11 more closely with the biological framework proposed by the National Institute on Ageing and Alzheimer's Association (NIA-AA), which defines Alzheimer's disease along a biological rather than purely symptomatic continuum (Jack et al., 2018). The practical implications in UK clinical settings are considerable: earlier identification through biomarker profiling offers a window for intervention before significant neuronal loss occurs, though access to such diagnostic technologies remains unevenly distributed across NHS trusts (NICE, 2023).</w:t>
      </w:r>
    </w:p>
    <w:p w14:paraId="0EBE44E5" w14:textId="77777777" w:rsidR="007F0F6A" w:rsidRPr="007F0F6A" w:rsidRDefault="007F0F6A" w:rsidP="00714C63">
      <w:pPr>
        <w:pStyle w:val="Heading2"/>
      </w:pPr>
      <w:bookmarkStart w:id="3" w:name="_Toc234945823"/>
      <w:r w:rsidRPr="007F0F6A">
        <w:lastRenderedPageBreak/>
        <w:t>Diagnostic Criteria and UK Application</w:t>
      </w:r>
      <w:bookmarkEnd w:id="3"/>
    </w:p>
    <w:p w14:paraId="3465C375" w14:textId="77777777" w:rsidR="007F0F6A" w:rsidRPr="007F0F6A" w:rsidRDefault="007F0F6A" w:rsidP="008441F5">
      <w:pPr>
        <w:spacing w:line="360" w:lineRule="auto"/>
        <w:jc w:val="both"/>
      </w:pPr>
      <w:r w:rsidRPr="007F0F6A">
        <w:t>In clinical practice, a diagnosis of Alzheimer's dementia under the ICD-11 requires evidence of a significant decline in one or more cognitive domains, including memory, executive function, language, perception, or social cognition, sufficient to interfere with independence in daily activities (WHO, 2022). In the UK, NICE Clinical Guideline 97 (updated 2023) provides the operational framework for dementia diagnosis, recommending a structured assessment pathway incorporating cognitive screening tools such as the Mini-Mental State Examination (MMSE) and the Montreal Cognitive Assessment (MoCA), neuroimaging, and, where appropriate, cerebrospinal fluid biomarker analysis or PET imaging (NICE, 2023).</w:t>
      </w:r>
    </w:p>
    <w:p w14:paraId="3F08372C" w14:textId="239D6DF3" w:rsidR="007F0F6A" w:rsidRPr="007F0F6A" w:rsidRDefault="007F0F6A" w:rsidP="008441F5">
      <w:pPr>
        <w:spacing w:line="360" w:lineRule="auto"/>
        <w:jc w:val="both"/>
      </w:pPr>
      <w:r w:rsidRPr="007F0F6A">
        <w:t xml:space="preserve">However, significant diagnostic challenges persist within the UK healthcare system. NHS England (2024) reported that the national dementia diagnosis rate stood at 63.3 </w:t>
      </w:r>
      <w:r w:rsidR="0018697C">
        <w:t>per cent</w:t>
      </w:r>
      <w:r w:rsidRPr="007F0F6A">
        <w:t xml:space="preserve"> in 2023, meaning over a third of people living with dementia remain undiagnosed. Waiting times for memory clinic assessments frequently exceed six months in many regions, and there are well-documented inequalities in diagnostic rates across ethnic minority communities, where cultural and linguistic barriers compound systemic underdiagnosis (Alzheimer's Society, 2024; NHS England, 2024).</w:t>
      </w:r>
    </w:p>
    <w:p w14:paraId="031DD1BB" w14:textId="39395A64" w:rsidR="007F0F6A" w:rsidRPr="007F0F6A" w:rsidRDefault="007F0F6A" w:rsidP="008441F5">
      <w:pPr>
        <w:spacing w:line="360" w:lineRule="auto"/>
        <w:jc w:val="both"/>
      </w:pPr>
      <w:r w:rsidRPr="007F0F6A">
        <w:t>The language used in diagnosis also carries significance. Debates continue around whether the term "disorder" adequately reflects the lived experience of those affected, with advocacy organisations such as Dementia UK and the Alzheimer's Society increasingly using person-centred language that foregrounds the individual rather than the pathology (Dementia UK, 2023).</w:t>
      </w:r>
    </w:p>
    <w:p w14:paraId="02060471" w14:textId="3C80E18D" w:rsidR="007F0F6A" w:rsidRPr="007F0F6A" w:rsidRDefault="007F0F6A" w:rsidP="00714C63">
      <w:pPr>
        <w:pStyle w:val="Heading1"/>
      </w:pPr>
      <w:bookmarkStart w:id="4" w:name="_Toc234945824"/>
      <w:r w:rsidRPr="007F0F6A">
        <w:t>Treatment Approaches</w:t>
      </w:r>
      <w:bookmarkEnd w:id="4"/>
    </w:p>
    <w:p w14:paraId="0FA1EE01" w14:textId="77777777" w:rsidR="007F0F6A" w:rsidRPr="007F0F6A" w:rsidRDefault="007F0F6A" w:rsidP="008441F5">
      <w:pPr>
        <w:pStyle w:val="Heading2"/>
        <w:spacing w:line="360" w:lineRule="auto"/>
        <w:jc w:val="both"/>
      </w:pPr>
      <w:bookmarkStart w:id="5" w:name="_Toc234945825"/>
      <w:r w:rsidRPr="007F0F6A">
        <w:t>Pharmacological Treatment</w:t>
      </w:r>
      <w:bookmarkEnd w:id="5"/>
    </w:p>
    <w:p w14:paraId="5234522A" w14:textId="77777777" w:rsidR="007F0F6A" w:rsidRPr="007F0F6A" w:rsidRDefault="007F0F6A" w:rsidP="008441F5">
      <w:pPr>
        <w:spacing w:line="360" w:lineRule="auto"/>
        <w:jc w:val="both"/>
      </w:pPr>
      <w:r w:rsidRPr="007F0F6A">
        <w:t>There is currently no disease-modifying treatment for Alzheimer's dementia available within the NHS that halts or reverses neurodegeneration. Approved pharmacological options remain symptomatic in nature, targeting neurotransmitter systems to manage cognitive and behavioural symptoms rather than underlying pathology (NICE, 2023). The two primary drug classes recommended by NICE are acetylcholinesterase inhibitors and the NMDA receptor antagonist memantine.</w:t>
      </w:r>
    </w:p>
    <w:p w14:paraId="5A944898" w14:textId="08F0CECD" w:rsidR="00CA300D" w:rsidRPr="007F0F6A" w:rsidRDefault="00C67AC9" w:rsidP="008441F5">
      <w:pPr>
        <w:spacing w:line="360" w:lineRule="auto"/>
        <w:jc w:val="both"/>
      </w:pPr>
      <w:r>
        <w:t xml:space="preserve">Acetylcholinesterase inhibitors, including donepezil, rivastigmine and galantamine, are recommended by NICE (2023) for mild to moderate Alzheimer's dementia. They work by inhibiting the breakdown of acetylcholine, thereby partially compensating for the cholinergic </w:t>
      </w:r>
      <w:r>
        <w:lastRenderedPageBreak/>
        <w:t>deficit characteristic of the condition. Evidence from randomised controlled trials indicates modest but clinically meaningful improvements in cognition, function, and behavioural symptoms (Birks and Harvey, 2018). Memantine, an NMDA receptor antagonist, is recommended for moderate-to-severe disease or when acetylcholinesterase inhibitors are not tolerated. It offers comparable symptomatic benefits at later disease stages (NICE, 2023).</w:t>
      </w:r>
    </w:p>
    <w:p w14:paraId="223B4298" w14:textId="77777777" w:rsidR="007F0F6A" w:rsidRPr="007F0F6A" w:rsidRDefault="007F0F6A" w:rsidP="008441F5">
      <w:pPr>
        <w:spacing w:line="360" w:lineRule="auto"/>
        <w:jc w:val="both"/>
      </w:pPr>
      <w:r w:rsidRPr="007F0F6A">
        <w:t>It is important to note that antipsychotic medications, while sometimes prescribed for behavioural and psychological symptoms of dementia such as agitation and aggression, carry significant risks in this population, including increased mortality from cerebrovascular events. NICE (2023) guidance explicitly cautions against their routine use and recommends non-pharmacological approaches as first-line management for behavioural symptoms.</w:t>
      </w:r>
    </w:p>
    <w:p w14:paraId="56767585" w14:textId="77777777" w:rsidR="007F0F6A" w:rsidRPr="007F0F6A" w:rsidRDefault="007F0F6A" w:rsidP="008441F5">
      <w:pPr>
        <w:pStyle w:val="Heading2"/>
        <w:spacing w:line="360" w:lineRule="auto"/>
        <w:jc w:val="both"/>
      </w:pPr>
      <w:bookmarkStart w:id="6" w:name="_Toc234945826"/>
      <w:r w:rsidRPr="007F0F6A">
        <w:t>Psychological and Non-Pharmacological Treatment</w:t>
      </w:r>
      <w:bookmarkEnd w:id="6"/>
    </w:p>
    <w:p w14:paraId="198740EA" w14:textId="77777777" w:rsidR="007F0F6A" w:rsidRPr="007F0F6A" w:rsidRDefault="007F0F6A" w:rsidP="008441F5">
      <w:pPr>
        <w:spacing w:line="360" w:lineRule="auto"/>
        <w:jc w:val="both"/>
      </w:pPr>
      <w:r w:rsidRPr="007F0F6A">
        <w:t>Psychological and social interventions occupy an increasingly central position in the management of Alzheimer's dementia within UK healthcare. Cognitive Stimulation Therapy (CST) is the most robustly evidenced psychological intervention, recommended by NICE (2023) as a first-line group-based intervention for mild to moderate dementia. A Cochrane review by Woods et al. (2023) confirmed its efficacy in improving cognitive function and quality of life, with benefits comparable to acetylcholinesterase inhibitors in some domains. CST is delivered across NHS memory services and community settings, though provision remains inconsistent across regions.</w:t>
      </w:r>
    </w:p>
    <w:p w14:paraId="74D2236D" w14:textId="2EA0E50D" w:rsidR="007F0F6A" w:rsidRPr="007F0F6A" w:rsidRDefault="007F0F6A" w:rsidP="008441F5">
      <w:pPr>
        <w:spacing w:line="360" w:lineRule="auto"/>
        <w:jc w:val="both"/>
      </w:pPr>
      <w:r w:rsidRPr="007F0F6A">
        <w:t xml:space="preserve">Reminiscence therapy, life review </w:t>
      </w:r>
      <w:r w:rsidR="008E4E43" w:rsidRPr="007F0F6A">
        <w:t>approaches,</w:t>
      </w:r>
      <w:r w:rsidRPr="007F0F6A">
        <w:t xml:space="preserve"> and structured physical activity programmes are also supported by emerging evidence and are increasingly integrated into NHS dementia care pathways (Livingston et al., 2020). NHS Talking Therapies has expanded its scope to support carers of people with dementia, recognising the significant psychological burden placed on informal caregivers, who provide an estimated 80 percent of dementia care in the UK (Alzheimer's Society, 2024).</w:t>
      </w:r>
    </w:p>
    <w:p w14:paraId="0EA3EF8A" w14:textId="71054722" w:rsidR="00C479F6" w:rsidRDefault="000463C1" w:rsidP="008441F5">
      <w:pPr>
        <w:spacing w:line="360" w:lineRule="auto"/>
        <w:jc w:val="both"/>
      </w:pPr>
      <w:r w:rsidRPr="000463C1">
        <w:rPr>
          <w:noProof/>
        </w:rPr>
        <w:lastRenderedPageBreak/>
        <w:drawing>
          <wp:inline distT="0" distB="0" distL="0" distR="0" wp14:anchorId="7286CE59" wp14:editId="262300E4">
            <wp:extent cx="5731510" cy="5111115"/>
            <wp:effectExtent l="0" t="0" r="2540" b="0"/>
            <wp:docPr id="2061383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383643" name=""/>
                    <pic:cNvPicPr/>
                  </pic:nvPicPr>
                  <pic:blipFill>
                    <a:blip r:embed="rId11"/>
                    <a:stretch>
                      <a:fillRect/>
                    </a:stretch>
                  </pic:blipFill>
                  <pic:spPr>
                    <a:xfrm>
                      <a:off x="0" y="0"/>
                      <a:ext cx="5731510" cy="5111115"/>
                    </a:xfrm>
                    <a:prstGeom prst="rect">
                      <a:avLst/>
                    </a:prstGeom>
                  </pic:spPr>
                </pic:pic>
              </a:graphicData>
            </a:graphic>
          </wp:inline>
        </w:drawing>
      </w:r>
    </w:p>
    <w:p w14:paraId="091605E4" w14:textId="77777777" w:rsidR="00C14FA3" w:rsidRDefault="00C14FA3" w:rsidP="00C14FA3">
      <w:pPr>
        <w:spacing w:line="360" w:lineRule="auto"/>
        <w:jc w:val="both"/>
      </w:pPr>
      <w:r w:rsidRPr="007F0F6A">
        <w:t>Table 1: Summary of pharmacological and non-pharmacological treatment options for Alzheimer's dementia in the UK</w:t>
      </w:r>
    </w:p>
    <w:p w14:paraId="53187144" w14:textId="77777777" w:rsidR="00C14FA3" w:rsidRDefault="00C14FA3" w:rsidP="008441F5">
      <w:pPr>
        <w:spacing w:line="360" w:lineRule="auto"/>
        <w:jc w:val="both"/>
      </w:pPr>
    </w:p>
    <w:p w14:paraId="307A74CA" w14:textId="60851D05" w:rsidR="00374796" w:rsidRDefault="00374796" w:rsidP="008441F5">
      <w:pPr>
        <w:spacing w:line="360" w:lineRule="auto"/>
        <w:jc w:val="both"/>
      </w:pPr>
      <w:r>
        <w:rPr>
          <w:noProof/>
        </w:rPr>
        <w:lastRenderedPageBreak/>
        <w:drawing>
          <wp:inline distT="0" distB="0" distL="0" distR="0" wp14:anchorId="6DB738D5" wp14:editId="572310A4">
            <wp:extent cx="5753100" cy="8231918"/>
            <wp:effectExtent l="0" t="0" r="0" b="0"/>
            <wp:docPr id="1770493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493312" name="Picture 1770493312"/>
                    <pic:cNvPicPr/>
                  </pic:nvPicPr>
                  <pic:blipFill>
                    <a:blip r:embed="rId12" cstate="print">
                      <a:extLst>
                        <a:ext uri="{BEBA8EAE-BF5A-486C-A8C5-ECC9F3942E4B}">
                          <a14:imgProps xmlns:a14="http://schemas.microsoft.com/office/drawing/2010/main">
                            <a14:imgLayer r:embed="rId13">
                              <a14:imgEffect>
                                <a14:backgroundRemoval t="435" b="92863" l="9826" r="89801">
                                  <a14:foregroundMark x1="36757" y1="1879" x2="39846" y2="1989"/>
                                  <a14:foregroundMark x1="33060" y1="4265" x2="29353" y2="4265"/>
                                  <a14:foregroundMark x1="49876" y1="15144" x2="49876" y2="18364"/>
                                  <a14:foregroundMark x1="50124" y1="18277" x2="26866" y2="18277"/>
                                  <a14:foregroundMark x1="26866" y1="18277" x2="19957" y2="19257"/>
                                  <a14:foregroundMark x1="19929" y1="21102" x2="26617" y2="25587"/>
                                  <a14:foregroundMark x1="26617" y1="25587" x2="66169" y2="26632"/>
                                  <a14:foregroundMark x1="66169" y1="26632" x2="76617" y2="26545"/>
                                  <a14:foregroundMark x1="76617" y1="26545" x2="79104" y2="20975"/>
                                  <a14:foregroundMark x1="79104" y1="20975" x2="63806" y2="18016"/>
                                  <a14:foregroundMark x1="63806" y1="18016" x2="46393" y2="18364"/>
                                  <a14:foregroundMark x1="52985" y1="29939" x2="26368" y2="29678"/>
                                  <a14:foregroundMark x1="26368" y1="29678" x2="21891" y2="35248"/>
                                  <a14:foregroundMark x1="21891" y1="35248" x2="37693" y2="38509"/>
                                  <a14:foregroundMark x1="49378" y1="38816" x2="50863" y2="38816"/>
                                  <a14:foregroundMark x1="64038" y1="38607" x2="74876" y2="37772"/>
                                  <a14:foregroundMark x1="74876" y1="37772" x2="78483" y2="31419"/>
                                  <a14:foregroundMark x1="78483" y1="31419" x2="59630" y2="29273"/>
                                  <a14:foregroundMark x1="51887" y1="28559" x2="42413" y2="30113"/>
                                  <a14:foregroundMark x1="49502" y1="27067" x2="49627" y2="29591"/>
                                  <a14:foregroundMark x1="36269" y1="40949" x2="28856" y2="40644"/>
                                  <a14:foregroundMark x1="39428" y1="41079" x2="37468" y2="40998"/>
                                  <a14:foregroundMark x1="28427" y1="40736" x2="19600" y2="42637"/>
                                  <a14:foregroundMark x1="19590" y1="43248" x2="24751" y2="49347"/>
                                  <a14:foregroundMark x1="24751" y1="49347" x2="30902" y2="49706"/>
                                  <a14:foregroundMark x1="39677" y1="50218" x2="48259" y2="49521"/>
                                  <a14:foregroundMark x1="49306" y1="49538" x2="69776" y2="49869"/>
                                  <a14:foregroundMark x1="69776" y1="49869" x2="79975" y2="48738"/>
                                  <a14:foregroundMark x1="79975" y1="48738" x2="77099" y2="41192"/>
                                  <a14:foregroundMark x1="55332" y1="40857" x2="43968" y2="40831"/>
                                  <a14:foregroundMark x1="45192" y1="52147" x2="42851" y2="52075"/>
                                  <a14:foregroundMark x1="50373" y1="52306" x2="46885" y2="52199"/>
                                  <a14:foregroundMark x1="23981" y1="52400" x2="19382" y2="56906"/>
                                  <a14:foregroundMark x1="19379" y1="57054" x2="27720" y2="61010"/>
                                  <a14:foregroundMark x1="48906" y1="61833" x2="50166" y2="61800"/>
                                  <a14:foregroundMark x1="72553" y1="60979" x2="79624" y2="59064"/>
                                  <a14:foregroundMark x1="80473" y1="58834" x2="78109" y2="53003"/>
                                  <a14:foregroundMark x1="78109" y1="53003" x2="45896" y2="52567"/>
                                  <a14:foregroundMark x1="45896" y1="52567" x2="45896" y2="52567"/>
                                  <a14:foregroundMark x1="49876" y1="49521" x2="50124" y2="52393"/>
                                  <a14:foregroundMark x1="34512" y1="75129" x2="21766" y2="76936"/>
                                  <a14:foregroundMark x1="50000" y1="72933" x2="48461" y2="73151"/>
                                  <a14:foregroundMark x1="21766" y1="76936" x2="23259" y2="85117"/>
                                  <a14:foregroundMark x1="51921" y1="85231" x2="79602" y2="83812"/>
                                  <a14:foregroundMark x1="79602" y1="83812" x2="77861" y2="77023"/>
                                  <a14:foregroundMark x1="77861" y1="77023" x2="49129" y2="74848"/>
                                  <a14:foregroundMark x1="49129" y1="74848" x2="49378" y2="75544"/>
                                  <a14:foregroundMark x1="54602" y1="79286" x2="54602" y2="79286"/>
                                  <a14:foregroundMark x1="54602" y1="79286" x2="54602" y2="78677"/>
                                  <a14:foregroundMark x1="63557" y1="79634" x2="49254" y2="75457"/>
                                  <a14:foregroundMark x1="49254" y1="75457" x2="28856" y2="77285"/>
                                  <a14:foregroundMark x1="28856" y1="77285" x2="37870" y2="84680"/>
                                  <a14:foregroundMark x1="49608" y1="85140" x2="65050" y2="83551"/>
                                  <a14:foregroundMark x1="65050" y1="83551" x2="60075" y2="77894"/>
                                  <a14:foregroundMark x1="32587" y1="88251" x2="12935" y2="87990"/>
                                  <a14:foregroundMark x1="12935" y1="87990" x2="4478" y2="89643"/>
                                  <a14:foregroundMark x1="4478" y1="89643" x2="17108" y2="91506"/>
                                  <a14:foregroundMark x1="87488" y1="91143" x2="79851" y2="87728"/>
                                  <a14:foregroundMark x1="51521" y1="87776" x2="28980" y2="87815"/>
                                  <a14:foregroundMark x1="79851" y1="87728" x2="57081" y2="87767"/>
                                  <a14:foregroundMark x1="28980" y1="87815" x2="28980" y2="87815"/>
                                  <a14:foregroundMark x1="51990" y1="52654" x2="20896" y2="53351"/>
                                  <a14:foregroundMark x1="20896" y1="53351" x2="25211" y2="60942"/>
                                  <a14:foregroundMark x1="48608" y1="62631" x2="50885" y2="62592"/>
                                  <a14:foregroundMark x1="74152" y1="60979" x2="78731" y2="58138"/>
                                  <a14:foregroundMark x1="78731" y1="58138" x2="69279" y2="52829"/>
                                  <a14:foregroundMark x1="69279" y1="52829" x2="45398" y2="53003"/>
                                  <a14:foregroundMark x1="73507" y1="54308" x2="34950" y2="53873"/>
                                  <a14:foregroundMark x1="34950" y1="53873" x2="29975" y2="59617"/>
                                  <a14:foregroundMark x1="29975" y1="59617" x2="39893" y2="61336"/>
                                  <a14:foregroundMark x1="49006" y1="61705" x2="50050" y2="61674"/>
                                  <a14:foregroundMark x1="67348" y1="60979" x2="76493" y2="58225"/>
                                  <a14:foregroundMark x1="76493" y1="58225" x2="70896" y2="54047"/>
                                  <a14:foregroundMark x1="50700" y1="63825" x2="47718" y2="63687"/>
                                  <a14:foregroundMark x1="59453" y1="64230" x2="52064" y2="63888"/>
                                  <a14:foregroundMark x1="22266" y1="63405" x2="21735" y2="63472"/>
                                  <a14:foregroundMark x1="48600" y1="72994" x2="51104" y2="73234"/>
                                  <a14:foregroundMark x1="21363" y1="70387" x2="45238" y2="72672"/>
                                  <a14:foregroundMark x1="75000" y1="73368" x2="80837" y2="71539"/>
                                  <a14:foregroundMark x1="80605" y1="69150" x2="70971" y2="63477"/>
                                  <a14:foregroundMark x1="64721" y1="63477" x2="57338" y2="63621"/>
                                  <a14:foregroundMark x1="77924" y1="63477" x2="69652" y2="64056"/>
                                  <a14:foregroundMark x1="69652" y1="64056" x2="80445" y2="67511"/>
                                  <a14:foregroundMark x1="80330" y1="66328" x2="78366" y2="63477"/>
                                  <a14:foregroundMark x1="64925" y1="54047" x2="40796" y2="53699"/>
                                  <a14:foregroundMark x1="40796" y1="53699" x2="33706" y2="59443"/>
                                  <a14:foregroundMark x1="33706" y1="59443" x2="43870" y2="61360"/>
                                  <a14:foregroundMark x1="49025" y1="62136" x2="50464" y2="62129"/>
                                  <a14:foregroundMark x1="65942" y1="60979" x2="69279" y2="56310"/>
                                  <a14:foregroundMark x1="69279" y1="56310" x2="59826" y2="54047"/>
                                  <a14:foregroundMark x1="59826" y1="54047" x2="58955" y2="54047"/>
                                  <a14:foregroundMark x1="55597" y1="54047" x2="36940" y2="55701"/>
                                  <a14:foregroundMark x1="49814" y1="60664" x2="51534" y2="61327"/>
                                  <a14:foregroundMark x1="36940" y1="55701" x2="49434" y2="60517"/>
                                  <a14:foregroundMark x1="66417" y1="60979" x2="69527" y2="60487"/>
                                  <a14:foregroundMark x1="69527" y1="60487" x2="59080" y2="53699"/>
                                  <a14:foregroundMark x1="59080" y1="53699" x2="52488" y2="54047"/>
                                  <a14:foregroundMark x1="79508" y1="91258" x2="85697" y2="90339"/>
                                  <a14:foregroundMark x1="72644" y1="84980" x2="70647" y2="84160"/>
                                  <a14:foregroundMark x1="85697" y1="90339" x2="78357" y2="87326"/>
                                  <a14:foregroundMark x1="70647" y1="84160" x2="49102" y2="85120"/>
                                  <a14:foregroundMark x1="35124" y1="87134" x2="30970" y2="89817"/>
                                  <a14:foregroundMark x1="30970" y1="89817" x2="42966" y2="91343"/>
                                  <a14:foregroundMark x1="71810" y1="91201" x2="87065" y2="89556"/>
                                  <a14:foregroundMark x1="36353" y1="2094" x2="36755" y2="1879"/>
                                  <a14:foregroundMark x1="32161" y1="4335" x2="33750" y2="3486"/>
                                  <a14:foregroundMark x1="64303" y1="2437" x2="35075" y2="2089"/>
                                  <a14:foregroundMark x1="35075" y1="2089" x2="43408" y2="1915"/>
                                  <a14:foregroundMark x1="43408" y1="1915" x2="62065" y2="2785"/>
                                  <a14:foregroundMark x1="62065" y1="2785" x2="39428" y2="2785"/>
                                  <a14:foregroundMark x1="39428" y1="2785" x2="37438" y2="1741"/>
                                  <a14:foregroundMark x1="30348" y1="4265" x2="43532" y2="4091"/>
                                  <a14:foregroundMark x1="43532" y1="4091" x2="65547" y2="4526"/>
                                  <a14:foregroundMark x1="65547" y1="4526" x2="58458" y2="4178"/>
                                  <a14:foregroundMark x1="64055" y1="4091" x2="70522" y2="4526"/>
                                  <a14:foregroundMark x1="64055" y1="3829" x2="69652" y2="4874"/>
                                  <a14:foregroundMark x1="65050" y1="3916" x2="65050" y2="4091"/>
                                  <a14:foregroundMark x1="70149" y1="4265" x2="67537" y2="3829"/>
                                  <a14:foregroundMark x1="33955" y1="4265" x2="30473" y2="3742"/>
                                  <a14:foregroundMark x1="63308" y1="3568" x2="70647" y2="3568"/>
                                  <a14:foregroundMark x1="70229" y1="5073" x2="70647" y2="3394"/>
                                  <a14:foregroundMark x1="54975" y1="4613" x2="45739" y2="4704"/>
                                  <a14:foregroundMark x1="33582" y1="3829" x2="28607" y2="3829"/>
                                  <a14:foregroundMark x1="34950" y1="1741" x2="54851" y2="2002"/>
                                  <a14:foregroundMark x1="62258" y1="1693" x2="63184" y2="1654"/>
                                  <a14:foregroundMark x1="54851" y1="2002" x2="61113" y2="1740"/>
                                  <a14:foregroundMark x1="63184" y1="1654" x2="64552" y2="1828"/>
                                  <a14:foregroundMark x1="64925" y1="3046" x2="64568" y2="2296"/>
                                  <a14:foregroundMark x1="34826" y1="1480" x2="36865" y2="1397"/>
                                  <a14:foregroundMark x1="57656" y1="1639" x2="64458" y2="1973"/>
                                  <a14:foregroundMark x1="57338" y1="1480" x2="64571" y2="1864"/>
                                  <a14:foregroundMark x1="17670" y1="14707" x2="17662" y2="14447"/>
                                  <a14:foregroundMark x1="17662" y1="14447" x2="17662" y2="14447"/>
                                  <a14:backgroundMark x1="35575" y1="626" x2="34328" y2="609"/>
                                  <a14:backgroundMark x1="70149" y1="957" x2="68287" y2="827"/>
                                  <a14:backgroundMark x1="70970" y1="3405" x2="73881" y2="3481"/>
                                  <a14:backgroundMark x1="17910" y1="14708" x2="17040" y2="71715"/>
                                  <a14:backgroundMark x1="68035" y1="28024" x2="53607" y2="28024"/>
                                  <a14:backgroundMark x1="76866" y1="39948" x2="54353" y2="39774"/>
                                  <a14:backgroundMark x1="27488" y1="39426" x2="37313" y2="39774"/>
                                  <a14:backgroundMark x1="37313" y1="39774" x2="47512" y2="39513"/>
                                  <a14:backgroundMark x1="47512" y1="39513" x2="47886" y2="39687"/>
                                  <a14:backgroundMark x1="24129" y1="51175" x2="33582" y2="50827"/>
                                  <a14:backgroundMark x1="33582" y1="50827" x2="46393" y2="50827"/>
                                  <a14:backgroundMark x1="46393" y1="50827" x2="48134" y2="50827"/>
                                  <a14:backgroundMark x1="81468" y1="56223" x2="83085" y2="72846"/>
                                  <a14:backgroundMark x1="83085" y1="72846" x2="82338" y2="75109"/>
                                  <a14:backgroundMark x1="19652" y1="62837" x2="19030" y2="74413"/>
                                  <a14:backgroundMark x1="15050" y1="66493" x2="14677" y2="61532"/>
                                  <a14:backgroundMark x1="13557" y1="65013" x2="13557" y2="62141"/>
                                  <a14:backgroundMark x1="15920" y1="60052" x2="15299" y2="67189"/>
                                  <a14:backgroundMark x1="15299" y1="67189" x2="15672" y2="61010"/>
                                  <a14:backgroundMark x1="15672" y1="61010" x2="9453" y2="61097"/>
                                  <a14:backgroundMark x1="22512" y1="62141" x2="42040" y2="62663"/>
                                  <a14:backgroundMark x1="42040" y1="62663" x2="45398" y2="62489"/>
                                  <a14:backgroundMark x1="79104" y1="62228" x2="52488" y2="62228"/>
                                  <a14:backgroundMark x1="44527" y1="63098" x2="48507" y2="62750"/>
                                  <a14:backgroundMark x1="55473" y1="62576" x2="50871" y2="62576"/>
                                  <a14:backgroundMark x1="29478" y1="73803" x2="42786" y2="73977"/>
                                  <a14:backgroundMark x1="42786" y1="73977" x2="47886" y2="73803"/>
                                  <a14:backgroundMark x1="75871" y1="74064" x2="51617" y2="73803"/>
                                  <a14:backgroundMark x1="23010" y1="85379" x2="54104" y2="86597"/>
                                  <a14:backgroundMark x1="54104" y1="86597" x2="83458" y2="85988"/>
                                  <a14:backgroundMark x1="16418" y1="92254" x2="40423" y2="92602"/>
                                  <a14:backgroundMark x1="40423" y1="92602" x2="68035" y2="92428"/>
                                  <a14:backgroundMark x1="68035" y1="92428" x2="79851" y2="92515"/>
                                  <a14:backgroundMark x1="79851" y1="92515" x2="89428" y2="92341"/>
                                  <a14:backgroundMark x1="89428" y1="92341" x2="89428" y2="92341"/>
                                  <a14:backgroundMark x1="27612" y1="5570" x2="67040" y2="6440"/>
                                  <a14:backgroundMark x1="67040" y1="6440" x2="74129" y2="6092"/>
                                  <a14:backgroundMark x1="37811" y1="348" x2="47388" y2="261"/>
                                  <a14:backgroundMark x1="47388" y1="261" x2="62313" y2="435"/>
                                  <a14:backgroundMark x1="65423" y1="1044" x2="75498" y2="2437"/>
                                  <a14:backgroundMark x1="75498" y1="2437" x2="76866" y2="2350"/>
                                  <a14:backgroundMark x1="54478" y1="39426" x2="51617" y2="39600"/>
                                  <a14:backgroundMark x1="55473" y1="28808" x2="52114" y2="28808"/>
                                  <a14:backgroundMark x1="45398" y1="62402" x2="49005" y2="61706"/>
                                </a14:backgroundRemoval>
                              </a14:imgEffect>
                            </a14:imgLayer>
                          </a14:imgProps>
                        </a:ext>
                        <a:ext uri="{28A0092B-C50C-407E-A947-70E740481C1C}">
                          <a14:useLocalDpi xmlns:a14="http://schemas.microsoft.com/office/drawing/2010/main" val="0"/>
                        </a:ext>
                      </a:extLst>
                    </a:blip>
                    <a:stretch>
                      <a:fillRect/>
                    </a:stretch>
                  </pic:blipFill>
                  <pic:spPr>
                    <a:xfrm>
                      <a:off x="0" y="0"/>
                      <a:ext cx="5785418" cy="8278161"/>
                    </a:xfrm>
                    <a:prstGeom prst="rect">
                      <a:avLst/>
                    </a:prstGeom>
                  </pic:spPr>
                </pic:pic>
              </a:graphicData>
            </a:graphic>
          </wp:inline>
        </w:drawing>
      </w:r>
    </w:p>
    <w:p w14:paraId="488D4267" w14:textId="024A8C57" w:rsidR="00374796" w:rsidRPr="007F0F6A" w:rsidRDefault="00374796" w:rsidP="008441F5">
      <w:pPr>
        <w:spacing w:line="360" w:lineRule="auto"/>
        <w:jc w:val="both"/>
      </w:pPr>
      <w:r w:rsidRPr="00374796">
        <w:t>Figure 3: UK Dementia Care Pathway. NICE (2023) NG97; NHS England (2024); Care Act (2014).</w:t>
      </w:r>
    </w:p>
    <w:p w14:paraId="0664A198" w14:textId="566B510C" w:rsidR="007F0F6A" w:rsidRPr="007F0F6A" w:rsidRDefault="007F0F6A" w:rsidP="00714C63">
      <w:pPr>
        <w:pStyle w:val="Heading1"/>
      </w:pPr>
      <w:bookmarkStart w:id="7" w:name="_Toc234945827"/>
      <w:r w:rsidRPr="007F0F6A">
        <w:lastRenderedPageBreak/>
        <w:t>Rehabilitation and Long-Term Management</w:t>
      </w:r>
      <w:bookmarkEnd w:id="7"/>
    </w:p>
    <w:p w14:paraId="50DB9C14" w14:textId="77777777" w:rsidR="007F0F6A" w:rsidRPr="007F0F6A" w:rsidRDefault="007F0F6A" w:rsidP="008441F5">
      <w:pPr>
        <w:pStyle w:val="Heading2"/>
        <w:spacing w:line="360" w:lineRule="auto"/>
        <w:jc w:val="both"/>
      </w:pPr>
      <w:bookmarkStart w:id="8" w:name="_Toc234945828"/>
      <w:r w:rsidRPr="007F0F6A">
        <w:t>Rehabilitation Strategies and ICD-11 Framing</w:t>
      </w:r>
      <w:bookmarkEnd w:id="8"/>
    </w:p>
    <w:p w14:paraId="5F7A5DC7" w14:textId="1949BB5D" w:rsidR="0018697C" w:rsidRDefault="00BC091A" w:rsidP="008441F5">
      <w:pPr>
        <w:spacing w:line="360" w:lineRule="auto"/>
        <w:jc w:val="both"/>
      </w:pPr>
      <w:r>
        <w:rPr>
          <w:noProof/>
        </w:rPr>
        <w:drawing>
          <wp:inline distT="0" distB="0" distL="0" distR="0" wp14:anchorId="2910290F" wp14:editId="04B38026">
            <wp:extent cx="5734373" cy="5348114"/>
            <wp:effectExtent l="0" t="0" r="0" b="5080"/>
            <wp:docPr id="147072710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48234" cy="5361041"/>
                    </a:xfrm>
                    <a:prstGeom prst="rect">
                      <a:avLst/>
                    </a:prstGeom>
                    <a:noFill/>
                  </pic:spPr>
                </pic:pic>
              </a:graphicData>
            </a:graphic>
          </wp:inline>
        </w:drawing>
      </w:r>
    </w:p>
    <w:p w14:paraId="7E02C69E" w14:textId="51259BAA" w:rsidR="004B6179" w:rsidRDefault="008441F5" w:rsidP="008441F5">
      <w:pPr>
        <w:spacing w:line="360" w:lineRule="auto"/>
        <w:jc w:val="both"/>
      </w:pPr>
      <w:r w:rsidRPr="008441F5">
        <w:t>Table 2: UK Policy and Legislation: Relevance to Alzheimer's Dementia Care. Mental Health Act (1983, amended 2007); Care Act (2014); Equality Act (2010); NHS Long Term Plan (2019); NICE (2023).</w:t>
      </w:r>
    </w:p>
    <w:p w14:paraId="13FF8256" w14:textId="1EE3670C" w:rsidR="007F0F6A" w:rsidRPr="007F0F6A" w:rsidRDefault="00C67AC9" w:rsidP="008441F5">
      <w:pPr>
        <w:spacing w:line="360" w:lineRule="auto"/>
        <w:jc w:val="both"/>
      </w:pPr>
      <w:r>
        <w:t xml:space="preserve">ICD-11 explicitly recognises rehabilitation as a core component of care for neurocognitive disorders, noting that although cognitive decline in Alzheimer's disease is progressive and irreversible, functional capacity and quality of life can be meaningfully sustained through structured intervention (WHO, 2022). In UK practice, rehabilitation for Alzheimer's dementia is community-based, reflecting the broader policy direction set out in the NHS Long Term Plan </w:t>
      </w:r>
      <w:r>
        <w:lastRenderedPageBreak/>
        <w:t>(2019), which committed to expanding community mental health and dementia support services and to reducing reliance on inpatient care</w:t>
      </w:r>
      <w:r w:rsidR="007F0F6A" w:rsidRPr="007F0F6A">
        <w:t>.</w:t>
      </w:r>
    </w:p>
    <w:p w14:paraId="4C37D344" w14:textId="38371DAB" w:rsidR="007F0F6A" w:rsidRPr="007F0F6A" w:rsidRDefault="007F0F6A" w:rsidP="008441F5">
      <w:pPr>
        <w:spacing w:line="360" w:lineRule="auto"/>
        <w:jc w:val="both"/>
      </w:pPr>
      <w:r w:rsidRPr="007F0F6A">
        <w:t xml:space="preserve">Occupational therapy plays </w:t>
      </w:r>
      <w:r w:rsidR="008F3E58" w:rsidRPr="007F0F6A">
        <w:t>a vital role</w:t>
      </w:r>
      <w:r w:rsidRPr="007F0F6A">
        <w:t xml:space="preserve"> in dementia rehabilitation within the NHS, focusing on maintaining activities of daily living, adapting the home environment, and supporting the individual to retain meaningful occupational engagement for as long as possible (Dementia UK, 2023). Admiral Nurses, a specialist dementia nursing role unique to the UK and provided through Dementia UK, offer clinical expertise and emotional support to both individuals living with dementia and their family carers, functioning as a critical bridge between NHS services and community-based support.</w:t>
      </w:r>
    </w:p>
    <w:p w14:paraId="14B0B01F" w14:textId="77777777" w:rsidR="007F0F6A" w:rsidRPr="007F0F6A" w:rsidRDefault="007F0F6A" w:rsidP="008441F5">
      <w:pPr>
        <w:pStyle w:val="Heading2"/>
        <w:spacing w:line="360" w:lineRule="auto"/>
        <w:jc w:val="both"/>
      </w:pPr>
      <w:bookmarkStart w:id="9" w:name="_Toc234945829"/>
      <w:r w:rsidRPr="007F0F6A">
        <w:t>Social Reintegration and Community Support</w:t>
      </w:r>
      <w:bookmarkEnd w:id="9"/>
    </w:p>
    <w:p w14:paraId="596155A0" w14:textId="516B0061" w:rsidR="007F0F6A" w:rsidRPr="007F0F6A" w:rsidRDefault="007F0F6A" w:rsidP="008441F5">
      <w:pPr>
        <w:spacing w:line="360" w:lineRule="auto"/>
        <w:jc w:val="both"/>
      </w:pPr>
      <w:r w:rsidRPr="007F0F6A">
        <w:t xml:space="preserve">Social reintegration poses significant challenges as Alzheimer's dementia progresses. The Care Act (2014) places a legal duty on local authorities in England to assess and meet eligible care needs, including those arising from dementia, and to support </w:t>
      </w:r>
      <w:r w:rsidR="008F3E58" w:rsidRPr="007F0F6A">
        <w:t>carers</w:t>
      </w:r>
      <w:r w:rsidRPr="007F0F6A">
        <w:t>. However, the Alzheimer's Society (2024) has consistently reported that social care funding constraints result in unmet needs for a substantial proportion of people living with dementia in the community.</w:t>
      </w:r>
    </w:p>
    <w:p w14:paraId="061EB618" w14:textId="09782E8C" w:rsidR="007F0F6A" w:rsidRPr="007F0F6A" w:rsidRDefault="007F0F6A" w:rsidP="008441F5">
      <w:pPr>
        <w:spacing w:line="360" w:lineRule="auto"/>
        <w:jc w:val="both"/>
      </w:pPr>
      <w:r w:rsidRPr="007F0F6A">
        <w:t>Voluntary sector organisations provide essential supplementary support. Mind, Rethink Mental Illness</w:t>
      </w:r>
      <w:r w:rsidR="008F3E58">
        <w:t>,</w:t>
      </w:r>
      <w:r w:rsidRPr="007F0F6A">
        <w:t xml:space="preserve"> and the Alzheimer's Society offer peer support groups, dementia cafes, </w:t>
      </w:r>
      <w:r w:rsidR="008F3E58" w:rsidRPr="007F0F6A">
        <w:t>helplines,</w:t>
      </w:r>
      <w:r w:rsidRPr="007F0F6A">
        <w:t xml:space="preserve"> and advocacy services that complement statutory provision. The Samaritans provide emotional support for carers experiencing crisis, recognising the disproportionate mental health burden carried by this group (Alzheimer's Society, 2024).</w:t>
      </w:r>
    </w:p>
    <w:p w14:paraId="663CC7F3" w14:textId="633C5776" w:rsidR="007F0F6A" w:rsidRPr="007F0F6A" w:rsidRDefault="007F0F6A" w:rsidP="008441F5">
      <w:pPr>
        <w:spacing w:line="360" w:lineRule="auto"/>
        <w:jc w:val="both"/>
      </w:pPr>
      <w:r w:rsidRPr="007F0F6A">
        <w:t>The Mental Health Act (1983, amended 2007) remains relevant where dementia is accompanied by severe behavioural disturbance requiring compulsory assessment or treatment, though its application in dementia care raises significant ethical concerns regarding capacity, autonomy and dignity, considerations that the proposed Mental Health Act reform (House of Commons Library, 2025) seeks to address more explicitly.</w:t>
      </w:r>
    </w:p>
    <w:p w14:paraId="1750ED99" w14:textId="6CB9C621" w:rsidR="007F0F6A" w:rsidRPr="007F0F6A" w:rsidRDefault="007F0F6A" w:rsidP="00714C63">
      <w:pPr>
        <w:pStyle w:val="Heading1"/>
      </w:pPr>
      <w:bookmarkStart w:id="10" w:name="_Toc234945830"/>
      <w:r w:rsidRPr="007F0F6A">
        <w:t>Current Debates and Emerging Issues</w:t>
      </w:r>
      <w:bookmarkEnd w:id="10"/>
    </w:p>
    <w:p w14:paraId="1A8A009A" w14:textId="77777777" w:rsidR="007F0F6A" w:rsidRPr="007F0F6A" w:rsidRDefault="007F0F6A" w:rsidP="008441F5">
      <w:pPr>
        <w:pStyle w:val="Heading2"/>
        <w:spacing w:line="360" w:lineRule="auto"/>
        <w:jc w:val="both"/>
      </w:pPr>
      <w:bookmarkStart w:id="11" w:name="_Toc234945831"/>
      <w:r w:rsidRPr="007F0F6A">
        <w:t>Biomarker-Based vs. Symptom-Based Diagnosis</w:t>
      </w:r>
      <w:bookmarkEnd w:id="11"/>
    </w:p>
    <w:p w14:paraId="3B45E17F" w14:textId="2CADE63E" w:rsidR="007F0F6A" w:rsidRPr="007F0F6A" w:rsidRDefault="007F0F6A" w:rsidP="008441F5">
      <w:pPr>
        <w:spacing w:line="360" w:lineRule="auto"/>
        <w:jc w:val="both"/>
      </w:pPr>
      <w:r w:rsidRPr="007F0F6A">
        <w:t xml:space="preserve">One of the most significant and contested debates in Alzheimer's disease classification centres on the proposed shift from symptom-based toward biomarker-based diagnosis. The NIA-AA framework (Jack et al., 2018) defines Alzheimer's disease purely on biological grounds, using amyloid, </w:t>
      </w:r>
      <w:r w:rsidR="008E4E43" w:rsidRPr="007F0F6A">
        <w:t>tau,</w:t>
      </w:r>
      <w:r w:rsidRPr="007F0F6A">
        <w:t xml:space="preserve"> and neurodegeneration biomarkers (the ATN framework) to </w:t>
      </w:r>
      <w:r w:rsidRPr="007F0F6A">
        <w:lastRenderedPageBreak/>
        <w:t xml:space="preserve">identify the condition at preclinical and prodromal stages, before any clinical symptoms are present. Proponents argue this approach enables earlier intervention, more precise trial </w:t>
      </w:r>
      <w:r w:rsidR="008F3E58" w:rsidRPr="007F0F6A">
        <w:t>recruitment,</w:t>
      </w:r>
      <w:r w:rsidRPr="007F0F6A">
        <w:t xml:space="preserve"> and a more accurate reflection of the biological reality of the disease (Dubois et al., 2021).</w:t>
      </w:r>
    </w:p>
    <w:p w14:paraId="02E89EE8" w14:textId="5A50A395" w:rsidR="007F0F6A" w:rsidRPr="007F0F6A" w:rsidRDefault="007F0F6A" w:rsidP="008441F5">
      <w:pPr>
        <w:spacing w:line="360" w:lineRule="auto"/>
        <w:jc w:val="both"/>
      </w:pPr>
      <w:r w:rsidRPr="007F0F6A">
        <w:t xml:space="preserve">However, this shift carries profound clinical, ethical and policy implications that remain unresolved. A biomarker-positive individual who is cognitively intact faces an Alzheimer's diagnosis without symptoms, raising </w:t>
      </w:r>
      <w:r w:rsidR="008F3E58" w:rsidRPr="007F0F6A">
        <w:t>fundamental questions</w:t>
      </w:r>
      <w:r w:rsidRPr="007F0F6A">
        <w:t xml:space="preserve"> about psychological harm, insurance </w:t>
      </w:r>
      <w:r w:rsidR="008F3E58" w:rsidRPr="007F0F6A">
        <w:t>discrimination,</w:t>
      </w:r>
      <w:r w:rsidRPr="007F0F6A">
        <w:t xml:space="preserve"> and the medicalisation of ageing (Milne et al., 2021). Within the UK context, these concerns are amplified by unequal access to biomarker diagnostics: PET imaging and cerebrospinal fluid analysis remain largely confined to specialist research centres and are not routinely available across NHS trusts, creating a two-tier diagnostic landscape that risks exacerbating existing health inequalities (NICE, 2023; NHS England, 2024).</w:t>
      </w:r>
    </w:p>
    <w:p w14:paraId="3124CE9F" w14:textId="77777777" w:rsidR="007F0F6A" w:rsidRPr="007F0F6A" w:rsidRDefault="007F0F6A" w:rsidP="008441F5">
      <w:pPr>
        <w:pStyle w:val="Heading2"/>
        <w:spacing w:line="360" w:lineRule="auto"/>
        <w:jc w:val="both"/>
      </w:pPr>
      <w:bookmarkStart w:id="12" w:name="_Toc234945832"/>
      <w:r w:rsidRPr="007F0F6A">
        <w:t>Emerging Disease-Modifying Therapies and UK Policy</w:t>
      </w:r>
      <w:bookmarkEnd w:id="12"/>
    </w:p>
    <w:p w14:paraId="6C178746" w14:textId="77777777" w:rsidR="007F0F6A" w:rsidRPr="007F0F6A" w:rsidRDefault="007F0F6A" w:rsidP="008441F5">
      <w:pPr>
        <w:spacing w:line="360" w:lineRule="auto"/>
        <w:jc w:val="both"/>
      </w:pPr>
      <w:r w:rsidRPr="007F0F6A">
        <w:t>The approval of lecanemab and donanemab, anti-amyloid monoclonal antibodies, by the US Food and Drug Administration in 2023 and 2024, respectively, has intensified debate about treatment access in the UK. Both agents demonstrated statistically significant slowing of clinical decline in early Alzheimer's disease in phase III trials (van Dyck et al., 2023). However, the Medicines and Healthcare products Regulatory Agency (MHRA) and NICE have not yet approved either drug for routine NHS use, citing concerns about the magnitude of clinical benefit relative to serious adverse effects, including amyloid-related imaging abnormalities (ARIA), and cost-effectiveness at current pricing (NICE, 2024).</w:t>
      </w:r>
    </w:p>
    <w:p w14:paraId="5DAD6D48" w14:textId="77777777" w:rsidR="007F0F6A" w:rsidRPr="007F0F6A" w:rsidRDefault="007F0F6A" w:rsidP="008441F5">
      <w:pPr>
        <w:spacing w:line="360" w:lineRule="auto"/>
        <w:jc w:val="both"/>
      </w:pPr>
      <w:r w:rsidRPr="007F0F6A">
        <w:t>This decision has generated considerable debate among clinicians, patient advocacy groups and policymakers, raising fundamental questions about the criteria by which NICE evaluates disease-modifying therapies for progressive neurodegenerative conditions, and whether current health technology assessment frameworks are adequately equipped to value treatments that slow rather than halt decline (Cummings et al., 2023).</w:t>
      </w:r>
    </w:p>
    <w:p w14:paraId="61464FE0" w14:textId="77777777" w:rsidR="007F0F6A" w:rsidRPr="007F0F6A" w:rsidRDefault="007F0F6A" w:rsidP="008441F5">
      <w:pPr>
        <w:pStyle w:val="Heading2"/>
        <w:spacing w:line="360" w:lineRule="auto"/>
        <w:jc w:val="both"/>
      </w:pPr>
      <w:bookmarkStart w:id="13" w:name="_Toc234945833"/>
      <w:r w:rsidRPr="007F0F6A">
        <w:t>Equality Act (2010) and Diagnostic Equity</w:t>
      </w:r>
      <w:bookmarkEnd w:id="13"/>
    </w:p>
    <w:p w14:paraId="7840EFEE" w14:textId="5BC7CD83" w:rsidR="006F46BB" w:rsidRPr="007F0F6A" w:rsidRDefault="007F0F6A" w:rsidP="008441F5">
      <w:pPr>
        <w:spacing w:line="360" w:lineRule="auto"/>
        <w:jc w:val="both"/>
      </w:pPr>
      <w:r w:rsidRPr="007F0F6A">
        <w:t xml:space="preserve">The Equality Act (2010) places a legal obligation on NHS providers to make reasonable adjustments to ensure equitable access to diagnosis and treatment for individuals with protected characteristics, including disability and age. Despite this, diagnostic inequalities persist; people from Black, Asian and minority ethnic communities are significantly underrepresented in dementia diagnosis rates and clinical trials, partly attributable to culturally inappropriate cognitive screening tools and systemic barriers to accessing memory services </w:t>
      </w:r>
      <w:r w:rsidRPr="007F0F6A">
        <w:lastRenderedPageBreak/>
        <w:t>(Alzheimer's Society, 2024; NHS England, 2024). Addressing these disparities represents both a legal obligation under the Equality Act and a clinical and moral imperative.</w:t>
      </w:r>
    </w:p>
    <w:p w14:paraId="33E331E4" w14:textId="2C8D495F" w:rsidR="007F0F6A" w:rsidRPr="007F0F6A" w:rsidRDefault="007F0F6A" w:rsidP="00714C63">
      <w:pPr>
        <w:pStyle w:val="Heading1"/>
      </w:pPr>
      <w:bookmarkStart w:id="14" w:name="_Toc234945834"/>
      <w:r w:rsidRPr="007F0F6A">
        <w:t>Recommendations</w:t>
      </w:r>
      <w:bookmarkEnd w:id="14"/>
      <w:r w:rsidRPr="007F0F6A">
        <w:t xml:space="preserve"> </w:t>
      </w:r>
    </w:p>
    <w:p w14:paraId="3A3AAEC2" w14:textId="04AB82C1" w:rsidR="007F0F6A" w:rsidRPr="007F0F6A" w:rsidRDefault="008F3E58" w:rsidP="008441F5">
      <w:pPr>
        <w:spacing w:line="360" w:lineRule="auto"/>
        <w:jc w:val="both"/>
      </w:pPr>
      <w:r>
        <w:t>The evidence indicates five evidence-based recommendations to improve Alzheimer's diagnosis, treatment, and management in the UK healthcare system.</w:t>
      </w:r>
    </w:p>
    <w:p w14:paraId="784F16A0" w14:textId="7DF4881D" w:rsidR="007F0F6A" w:rsidRPr="007F0F6A" w:rsidRDefault="007F0F6A" w:rsidP="008441F5">
      <w:pPr>
        <w:spacing w:line="360" w:lineRule="auto"/>
        <w:jc w:val="both"/>
      </w:pPr>
      <w:r w:rsidRPr="007F0F6A">
        <w:t xml:space="preserve">First, NHS England should accelerate the national dementia diagnosis rate toward the 75 </w:t>
      </w:r>
      <w:r w:rsidR="0018697C">
        <w:t>per cent</w:t>
      </w:r>
      <w:r w:rsidRPr="007F0F6A">
        <w:t xml:space="preserve"> target </w:t>
      </w:r>
      <w:r w:rsidR="008169DB">
        <w:t>set in the NHS Long Term Plan (2019) by investing in memory clinic capacity, reducing waiting times, and targeting</w:t>
      </w:r>
      <w:r w:rsidRPr="007F0F6A">
        <w:t xml:space="preserve"> outreach to underdiagnosed communities, particularly ethnic minority populations (Alzheimer's Society, 2024).</w:t>
      </w:r>
    </w:p>
    <w:p w14:paraId="0D23E347" w14:textId="77777777" w:rsidR="007F0F6A" w:rsidRPr="007F0F6A" w:rsidRDefault="007F0F6A" w:rsidP="008441F5">
      <w:pPr>
        <w:spacing w:line="360" w:lineRule="auto"/>
        <w:jc w:val="both"/>
      </w:pPr>
      <w:r w:rsidRPr="007F0F6A">
        <w:t>Second, NICE should review its health technology assessment framework to ensure it adequately captures the value of disease-modifying therapies that slow rather than halt progression, enabling timely access to emerging treatments such as lecanemab where evidence of clinical benefit is sufficient (Cummings et al., 2023; NICE, 2024).</w:t>
      </w:r>
    </w:p>
    <w:p w14:paraId="34D2C4AE" w14:textId="77777777" w:rsidR="007F0F6A" w:rsidRPr="007F0F6A" w:rsidRDefault="007F0F6A" w:rsidP="008441F5">
      <w:pPr>
        <w:spacing w:line="360" w:lineRule="auto"/>
        <w:jc w:val="both"/>
      </w:pPr>
      <w:r w:rsidRPr="007F0F6A">
        <w:t>Third, NHS trusts should standardise access to biomarker diagnostics across all regions, addressing the current two-tier system in which advanced diagnostic tools remain confined to specialist centres, thereby fulfilling obligations under the Equality Act (2010) to provide equitable access to care (NHS England, 2024).</w:t>
      </w:r>
    </w:p>
    <w:p w14:paraId="14D00F4B" w14:textId="77777777" w:rsidR="007F0F6A" w:rsidRPr="007F0F6A" w:rsidRDefault="007F0F6A" w:rsidP="008441F5">
      <w:pPr>
        <w:spacing w:line="360" w:lineRule="auto"/>
        <w:jc w:val="both"/>
      </w:pPr>
      <w:r w:rsidRPr="007F0F6A">
        <w:t>Fourth, the rollout of Cognitive Stimulation Therapy should be mandated consistently across all NHS memory services, eliminating the postcode lottery of provision currently documented in the literature (Woods et al., 2023; NICE, 2023).</w:t>
      </w:r>
    </w:p>
    <w:p w14:paraId="00D511B6" w14:textId="0CE7800C" w:rsidR="007F0F6A" w:rsidRPr="007F0F6A" w:rsidRDefault="007F0F6A" w:rsidP="008441F5">
      <w:pPr>
        <w:spacing w:line="360" w:lineRule="auto"/>
        <w:jc w:val="both"/>
      </w:pPr>
      <w:r w:rsidRPr="007F0F6A">
        <w:t>Fifth, the proposed reform of the Mental Health Act should explicitly strengthen safeguards regarding capacity, consent, and dignity for people living with dementia who are subject to compulsory measures (House of Commons Library, 2025).</w:t>
      </w:r>
    </w:p>
    <w:p w14:paraId="2A3152BA" w14:textId="054A9228" w:rsidR="007F0F6A" w:rsidRPr="007F0F6A" w:rsidRDefault="007F0F6A" w:rsidP="00714C63">
      <w:pPr>
        <w:pStyle w:val="Heading1"/>
      </w:pPr>
      <w:bookmarkStart w:id="15" w:name="_Toc234945835"/>
      <w:r w:rsidRPr="007F0F6A">
        <w:t>Conclusion</w:t>
      </w:r>
      <w:bookmarkEnd w:id="15"/>
    </w:p>
    <w:p w14:paraId="74AA6B28" w14:textId="79291A0D" w:rsidR="007F0F6A" w:rsidRPr="007F0F6A" w:rsidRDefault="008E4E43" w:rsidP="008441F5">
      <w:pPr>
        <w:spacing w:line="360" w:lineRule="auto"/>
        <w:jc w:val="both"/>
      </w:pPr>
      <w:r>
        <w:t>Alzheimer's-related dementia is a major clinical, social, and economic issue in the UK. The shift from ICD-10 to ICD-11 has improved classification, acknowledged the disease's biological spectrum, and allowed earlier detection of at-risk individuals. UK NICE guidelines offer a solid, evidence-based approach for diagnosis and management, but there are still notable gaps in diagnostic equity, consistency of psychological treatments, and access to new therapies.</w:t>
      </w:r>
    </w:p>
    <w:p w14:paraId="48DDDA23" w14:textId="77777777" w:rsidR="007F0F6A" w:rsidRPr="007F0F6A" w:rsidRDefault="007F0F6A" w:rsidP="008441F5">
      <w:pPr>
        <w:spacing w:line="360" w:lineRule="auto"/>
        <w:jc w:val="both"/>
      </w:pPr>
      <w:r w:rsidRPr="007F0F6A">
        <w:lastRenderedPageBreak/>
        <w:t>The debates surrounding biomarker-based diagnosis, the MHRA and NICE evaluation of anti-amyloid therapies, and the persistent inequalities documented across ethnic minority communities all point toward a healthcare system that, while well-structured in principle, faces considerable challenges in translating policy into equitable practice.</w:t>
      </w:r>
    </w:p>
    <w:p w14:paraId="0FF92048" w14:textId="61537BA0" w:rsidR="007F0F6A" w:rsidRPr="007F0F6A" w:rsidRDefault="007F0F6A" w:rsidP="008441F5">
      <w:pPr>
        <w:spacing w:line="360" w:lineRule="auto"/>
        <w:jc w:val="both"/>
      </w:pPr>
      <w:r w:rsidRPr="007F0F6A">
        <w:t xml:space="preserve">Future progress will require sustained investment in NHS memory services, reform of health technology assessment processes, and a legislative framework that places dignity, </w:t>
      </w:r>
      <w:r w:rsidR="008E4E43" w:rsidRPr="007F0F6A">
        <w:t>autonomy,</w:t>
      </w:r>
      <w:r w:rsidRPr="007F0F6A">
        <w:t xml:space="preserve"> and equity at its centre. Addressing these priorities is not only a clinical imperative but a legal and moral obligation to the </w:t>
      </w:r>
      <w:r w:rsidR="00DE7109" w:rsidRPr="007F0F6A">
        <w:t>one</w:t>
      </w:r>
      <w:r w:rsidRPr="007F0F6A">
        <w:t xml:space="preserve"> million people currently living with this condition in the United Kingdom.</w:t>
      </w:r>
    </w:p>
    <w:p w14:paraId="11822D6A" w14:textId="77777777" w:rsidR="007F0F6A" w:rsidRDefault="007F0F6A" w:rsidP="008441F5">
      <w:pPr>
        <w:spacing w:line="360" w:lineRule="auto"/>
        <w:jc w:val="both"/>
        <w:rPr>
          <w:b/>
          <w:bCs/>
        </w:rPr>
      </w:pPr>
      <w:r>
        <w:rPr>
          <w:b/>
          <w:bCs/>
        </w:rPr>
        <w:br w:type="page"/>
      </w:r>
    </w:p>
    <w:p w14:paraId="2A1AC2C1" w14:textId="2D30F6A2" w:rsidR="007F0F6A" w:rsidRPr="007F0F6A" w:rsidRDefault="007F0F6A" w:rsidP="00714C63">
      <w:pPr>
        <w:pStyle w:val="Heading1"/>
      </w:pPr>
      <w:bookmarkStart w:id="16" w:name="_Toc234945836"/>
      <w:r w:rsidRPr="007F0F6A">
        <w:lastRenderedPageBreak/>
        <w:t>Reference</w:t>
      </w:r>
      <w:r>
        <w:t>s</w:t>
      </w:r>
      <w:bookmarkEnd w:id="16"/>
    </w:p>
    <w:p w14:paraId="66AC6C5A" w14:textId="1D78769F" w:rsidR="007F0F6A" w:rsidRPr="007F0F6A" w:rsidRDefault="007F0F6A" w:rsidP="008441F5">
      <w:pPr>
        <w:spacing w:line="360" w:lineRule="auto"/>
        <w:jc w:val="both"/>
      </w:pPr>
      <w:r w:rsidRPr="007F0F6A">
        <w:t xml:space="preserve">Alzheimer's Research UK (2023) </w:t>
      </w:r>
      <w:r w:rsidRPr="008103B0">
        <w:rPr>
          <w:i/>
          <w:iCs/>
        </w:rPr>
        <w:t>Dementia statistics</w:t>
      </w:r>
      <w:r w:rsidRPr="007F0F6A">
        <w:t>. Available at:</w:t>
      </w:r>
      <w:r w:rsidR="001826E1">
        <w:t xml:space="preserve"> </w:t>
      </w:r>
      <w:hyperlink r:id="rId15" w:history="1">
        <w:r w:rsidRPr="001826E1">
          <w:rPr>
            <w:rStyle w:val="Hyperlink"/>
          </w:rPr>
          <w:t>https://www.alzheimersresearchuk.org/dementia-info/dementia-statistics</w:t>
        </w:r>
      </w:hyperlink>
      <w:r w:rsidRPr="007F0F6A">
        <w:t xml:space="preserve"> (Accessed: </w:t>
      </w:r>
      <w:r w:rsidR="00232CC5">
        <w:t>29</w:t>
      </w:r>
      <w:r w:rsidRPr="007F0F6A">
        <w:t xml:space="preserve"> June 2026).</w:t>
      </w:r>
    </w:p>
    <w:p w14:paraId="7FC5965A" w14:textId="0E7E576B" w:rsidR="007F0F6A" w:rsidRPr="007F0F6A" w:rsidRDefault="007F0F6A" w:rsidP="008441F5">
      <w:pPr>
        <w:spacing w:line="360" w:lineRule="auto"/>
        <w:jc w:val="both"/>
      </w:pPr>
      <w:r w:rsidRPr="007F0F6A">
        <w:t xml:space="preserve">Alzheimer's Society (2024) </w:t>
      </w:r>
      <w:r w:rsidRPr="008103B0">
        <w:rPr>
          <w:i/>
          <w:iCs/>
        </w:rPr>
        <w:t>Dementia UK report: The full picture</w:t>
      </w:r>
      <w:r w:rsidRPr="007F0F6A">
        <w:t>. Available at:</w:t>
      </w:r>
      <w:r w:rsidR="001826E1">
        <w:t xml:space="preserve"> </w:t>
      </w:r>
      <w:hyperlink r:id="rId16" w:history="1">
        <w:r w:rsidRPr="001826E1">
          <w:rPr>
            <w:rStyle w:val="Hyperlink"/>
          </w:rPr>
          <w:t>https://www.alzheimers.org.uk/about-us/policy-and-influencing/dementia-uk-report</w:t>
        </w:r>
      </w:hyperlink>
      <w:r w:rsidRPr="007F0F6A">
        <w:t xml:space="preserve"> (Accessed: 30 June 2026).</w:t>
      </w:r>
    </w:p>
    <w:p w14:paraId="5A25FCD8" w14:textId="3FCAB89A" w:rsidR="007F0F6A" w:rsidRPr="007F0F6A" w:rsidRDefault="007F0F6A" w:rsidP="008441F5">
      <w:pPr>
        <w:spacing w:line="360" w:lineRule="auto"/>
        <w:jc w:val="both"/>
      </w:pPr>
      <w:r w:rsidRPr="007F0F6A">
        <w:t xml:space="preserve">Birks, J.S. and Harvey, R.J. (2018) </w:t>
      </w:r>
      <w:r w:rsidRPr="006C7708">
        <w:rPr>
          <w:i/>
          <w:iCs/>
        </w:rPr>
        <w:t>'Donepezil for dementia due to Alzheimer's disease'</w:t>
      </w:r>
      <w:r w:rsidRPr="007F0F6A">
        <w:t xml:space="preserve">, Cochrane Database of Systematic Reviews, Issue 6, Art. No. CD001190. Available at: </w:t>
      </w:r>
      <w:hyperlink r:id="rId17" w:history="1">
        <w:r w:rsidRPr="001826E1">
          <w:rPr>
            <w:rStyle w:val="Hyperlink"/>
          </w:rPr>
          <w:t>https://doi.org/10.1002/14651858.CD001190.pub3</w:t>
        </w:r>
      </w:hyperlink>
      <w:r w:rsidRPr="007F0F6A">
        <w:t xml:space="preserve"> (Accessed: 30 June 2026).</w:t>
      </w:r>
    </w:p>
    <w:p w14:paraId="7E61D7EF" w14:textId="6D90F331" w:rsidR="007F0F6A" w:rsidRPr="007F0F6A" w:rsidRDefault="007F0F6A" w:rsidP="008441F5">
      <w:pPr>
        <w:spacing w:line="360" w:lineRule="auto"/>
        <w:jc w:val="both"/>
      </w:pPr>
      <w:r w:rsidRPr="007F0F6A">
        <w:t xml:space="preserve">Care Act (2014) c.23. London: </w:t>
      </w:r>
      <w:r w:rsidRPr="006C7708">
        <w:rPr>
          <w:i/>
          <w:iCs/>
        </w:rPr>
        <w:t>The Stationery Office</w:t>
      </w:r>
      <w:r w:rsidRPr="007F0F6A">
        <w:t xml:space="preserve">. Available at: </w:t>
      </w:r>
      <w:hyperlink r:id="rId18" w:history="1">
        <w:r w:rsidRPr="001826E1">
          <w:rPr>
            <w:rStyle w:val="Hyperlink"/>
          </w:rPr>
          <w:t>https://www.legislation.gov.uk/ukpga/2014/23/contents</w:t>
        </w:r>
      </w:hyperlink>
      <w:r w:rsidRPr="007F0F6A">
        <w:t xml:space="preserve"> (Accessed: 30 June 2026).</w:t>
      </w:r>
    </w:p>
    <w:p w14:paraId="0AA5FA7E" w14:textId="2028759F" w:rsidR="007F0F6A" w:rsidRPr="007F0F6A" w:rsidRDefault="007F0F6A" w:rsidP="008441F5">
      <w:pPr>
        <w:spacing w:line="360" w:lineRule="auto"/>
        <w:jc w:val="both"/>
      </w:pPr>
      <w:r w:rsidRPr="007F0F6A">
        <w:t xml:space="preserve">Cummings, J., Zhou, Y., Lee, G., Zhong, K., Fonseca, </w:t>
      </w:r>
      <w:r w:rsidR="008E4E43" w:rsidRPr="007F0F6A">
        <w:t>J.,</w:t>
      </w:r>
      <w:r w:rsidRPr="007F0F6A">
        <w:t xml:space="preserve"> and Cheng, F. (2023) 'Alzheimer's disease drug development pipeline: 2023', Alzheimer's and Dementia: </w:t>
      </w:r>
      <w:r w:rsidRPr="006C7708">
        <w:rPr>
          <w:i/>
          <w:iCs/>
        </w:rPr>
        <w:t>Translational Research and Clinical Interventions</w:t>
      </w:r>
      <w:r w:rsidRPr="007F0F6A">
        <w:t xml:space="preserve">, 9(2), e12385. Available at: </w:t>
      </w:r>
      <w:hyperlink r:id="rId19" w:history="1">
        <w:r w:rsidRPr="001826E1">
          <w:rPr>
            <w:rStyle w:val="Hyperlink"/>
          </w:rPr>
          <w:t>https://doi.org/10.1002/trc2.12385</w:t>
        </w:r>
      </w:hyperlink>
      <w:r w:rsidRPr="007F0F6A">
        <w:t xml:space="preserve"> (Accessed: 30 June 2026).</w:t>
      </w:r>
    </w:p>
    <w:p w14:paraId="1C876142" w14:textId="57850568" w:rsidR="007F0F6A" w:rsidRPr="007F0F6A" w:rsidRDefault="007F0F6A" w:rsidP="008441F5">
      <w:pPr>
        <w:spacing w:line="360" w:lineRule="auto"/>
        <w:jc w:val="both"/>
      </w:pPr>
      <w:r w:rsidRPr="007F0F6A">
        <w:t xml:space="preserve">Dementia UK (2023) </w:t>
      </w:r>
      <w:r w:rsidRPr="00791A78">
        <w:rPr>
          <w:i/>
          <w:iCs/>
        </w:rPr>
        <w:t>What is an Admiral Nurse?</w:t>
      </w:r>
      <w:r w:rsidRPr="007F0F6A">
        <w:t xml:space="preserve"> Available at: </w:t>
      </w:r>
      <w:hyperlink r:id="rId20" w:history="1">
        <w:r w:rsidRPr="001826E1">
          <w:rPr>
            <w:rStyle w:val="Hyperlink"/>
          </w:rPr>
          <w:t>https://www.dementiauk.org/get-support/admiral-nursing/</w:t>
        </w:r>
      </w:hyperlink>
      <w:r w:rsidRPr="007F0F6A">
        <w:t xml:space="preserve"> (Accessed: 30 June 2026).</w:t>
      </w:r>
    </w:p>
    <w:p w14:paraId="10AADE45" w14:textId="1A801EF3" w:rsidR="007F0F6A" w:rsidRPr="007F0F6A" w:rsidRDefault="007F0F6A" w:rsidP="008441F5">
      <w:pPr>
        <w:spacing w:line="360" w:lineRule="auto"/>
        <w:jc w:val="both"/>
      </w:pPr>
      <w:r w:rsidRPr="007F0F6A">
        <w:t xml:space="preserve">Dubois, B., Villain, N., </w:t>
      </w:r>
      <w:proofErr w:type="spellStart"/>
      <w:r w:rsidRPr="007F0F6A">
        <w:t>Frisoni</w:t>
      </w:r>
      <w:proofErr w:type="spellEnd"/>
      <w:r w:rsidRPr="007F0F6A">
        <w:t xml:space="preserve">, G.B., </w:t>
      </w:r>
      <w:proofErr w:type="spellStart"/>
      <w:r w:rsidRPr="007F0F6A">
        <w:t>Rabinovici</w:t>
      </w:r>
      <w:proofErr w:type="spellEnd"/>
      <w:r w:rsidRPr="007F0F6A">
        <w:t xml:space="preserve">, G.D., Sabbagh, M., Cappa, S., </w:t>
      </w:r>
      <w:proofErr w:type="spellStart"/>
      <w:r w:rsidRPr="007F0F6A">
        <w:t>Bejanin</w:t>
      </w:r>
      <w:proofErr w:type="spellEnd"/>
      <w:r w:rsidRPr="007F0F6A">
        <w:t xml:space="preserve">, A., </w:t>
      </w:r>
      <w:proofErr w:type="spellStart"/>
      <w:r w:rsidRPr="007F0F6A">
        <w:t>Bombois</w:t>
      </w:r>
      <w:proofErr w:type="spellEnd"/>
      <w:r w:rsidRPr="007F0F6A">
        <w:t xml:space="preserve">, S., Epelbaum, S., Teichmann, M., Habert, M.O., Nordberg, A., </w:t>
      </w:r>
      <w:proofErr w:type="spellStart"/>
      <w:r w:rsidRPr="007F0F6A">
        <w:t>Blennow</w:t>
      </w:r>
      <w:proofErr w:type="spellEnd"/>
      <w:r w:rsidRPr="007F0F6A">
        <w:t xml:space="preserve">, K., </w:t>
      </w:r>
      <w:proofErr w:type="spellStart"/>
      <w:r w:rsidRPr="007F0F6A">
        <w:t>Galasko</w:t>
      </w:r>
      <w:proofErr w:type="spellEnd"/>
      <w:r w:rsidRPr="007F0F6A">
        <w:t xml:space="preserve">, D., Stern, Y., Rowe, C.C., </w:t>
      </w:r>
      <w:proofErr w:type="spellStart"/>
      <w:r w:rsidRPr="007F0F6A">
        <w:t>Salloway</w:t>
      </w:r>
      <w:proofErr w:type="spellEnd"/>
      <w:r w:rsidRPr="007F0F6A">
        <w:t xml:space="preserve">, S., Schneider, L.S., Cummings, J.L. and Feldman, H.H. (2021) </w:t>
      </w:r>
      <w:r w:rsidRPr="00791A78">
        <w:rPr>
          <w:i/>
          <w:iCs/>
        </w:rPr>
        <w:t>'Clinical diagnosis of Alzheimer's disease: recommendations of the International Working Group'</w:t>
      </w:r>
      <w:r w:rsidRPr="007F0F6A">
        <w:t xml:space="preserve">, The Lancet Neurology, 20(6), pp. 484–496. Available at: </w:t>
      </w:r>
      <w:hyperlink r:id="rId21" w:history="1">
        <w:r w:rsidRPr="00A17FF0">
          <w:rPr>
            <w:rStyle w:val="Hyperlink"/>
          </w:rPr>
          <w:t>https://doi.org/10.1016/S1474-4422(21)00066-1</w:t>
        </w:r>
      </w:hyperlink>
      <w:r w:rsidRPr="007F0F6A">
        <w:t xml:space="preserve"> (Accessed: </w:t>
      </w:r>
      <w:r w:rsidR="00AD1E67">
        <w:t>01</w:t>
      </w:r>
      <w:r w:rsidRPr="007F0F6A">
        <w:t xml:space="preserve"> Ju</w:t>
      </w:r>
      <w:r w:rsidR="00AD1E67">
        <w:t>ly</w:t>
      </w:r>
      <w:r w:rsidRPr="007F0F6A">
        <w:t xml:space="preserve"> 2026).</w:t>
      </w:r>
    </w:p>
    <w:p w14:paraId="061DC6E0" w14:textId="6FF1BC88" w:rsidR="007F0F6A" w:rsidRPr="007F0F6A" w:rsidRDefault="007F0F6A" w:rsidP="008441F5">
      <w:pPr>
        <w:spacing w:line="360" w:lineRule="auto"/>
        <w:jc w:val="both"/>
      </w:pPr>
      <w:r w:rsidRPr="007F0F6A">
        <w:t xml:space="preserve">Equality Act (2010) c.15. London: </w:t>
      </w:r>
      <w:r w:rsidRPr="00791A78">
        <w:rPr>
          <w:i/>
          <w:iCs/>
        </w:rPr>
        <w:t>The Stationery Office</w:t>
      </w:r>
      <w:r w:rsidRPr="007F0F6A">
        <w:t xml:space="preserve">. Available at: </w:t>
      </w:r>
      <w:hyperlink r:id="rId22" w:history="1">
        <w:r w:rsidRPr="00A17FF0">
          <w:rPr>
            <w:rStyle w:val="Hyperlink"/>
          </w:rPr>
          <w:t>https://www.legislation.gov.uk/ukpga/2010/15/contents</w:t>
        </w:r>
      </w:hyperlink>
      <w:r w:rsidRPr="007F0F6A">
        <w:t xml:space="preserve"> (Accessed: 30 June 2026).</w:t>
      </w:r>
    </w:p>
    <w:p w14:paraId="3F632FA1" w14:textId="477F7348" w:rsidR="007F0F6A" w:rsidRPr="007F0F6A" w:rsidRDefault="007F0F6A" w:rsidP="008441F5">
      <w:pPr>
        <w:spacing w:line="360" w:lineRule="auto"/>
        <w:jc w:val="both"/>
      </w:pPr>
      <w:r w:rsidRPr="007F0F6A">
        <w:t xml:space="preserve">Gaebel, W., Stricker, J. and Kerst, A. (2020) </w:t>
      </w:r>
      <w:r w:rsidRPr="00791A78">
        <w:rPr>
          <w:i/>
          <w:iCs/>
        </w:rPr>
        <w:t>'Changes from ICD-10 to ICD-11 and future directions in psychiatric classification'</w:t>
      </w:r>
      <w:r w:rsidRPr="007F0F6A">
        <w:t xml:space="preserve">, Dialogues in Clinical Neuroscience, 22(1), pp. 7–15. Available at: </w:t>
      </w:r>
      <w:hyperlink r:id="rId23" w:history="1">
        <w:r w:rsidRPr="00A17FF0">
          <w:rPr>
            <w:rStyle w:val="Hyperlink"/>
          </w:rPr>
          <w:t>https://doi.org/10.31887/DCNS.2020.22.1/wgaebel</w:t>
        </w:r>
      </w:hyperlink>
      <w:r w:rsidRPr="007F0F6A">
        <w:t xml:space="preserve"> (Accessed: </w:t>
      </w:r>
      <w:r w:rsidR="004F2ABE">
        <w:t>29</w:t>
      </w:r>
      <w:r w:rsidRPr="007F0F6A">
        <w:t xml:space="preserve"> June 2026).</w:t>
      </w:r>
    </w:p>
    <w:p w14:paraId="5B270C6D" w14:textId="648E189D" w:rsidR="007F0F6A" w:rsidRPr="007F0F6A" w:rsidRDefault="007F0F6A" w:rsidP="003F0D4C">
      <w:pPr>
        <w:spacing w:line="360" w:lineRule="auto"/>
        <w:jc w:val="both"/>
      </w:pPr>
      <w:r w:rsidRPr="007F0F6A">
        <w:t xml:space="preserve">House of Commons Library (2025) </w:t>
      </w:r>
      <w:r w:rsidRPr="003F0D4C">
        <w:rPr>
          <w:i/>
          <w:iCs/>
        </w:rPr>
        <w:t>Mental health policy and services in England</w:t>
      </w:r>
      <w:r w:rsidRPr="007F0F6A">
        <w:t xml:space="preserve">. Research Briefing CBP-7547. Available at: </w:t>
      </w:r>
      <w:hyperlink r:id="rId24" w:history="1">
        <w:r w:rsidRPr="00A17FF0">
          <w:rPr>
            <w:rStyle w:val="Hyperlink"/>
          </w:rPr>
          <w:t>https://researchbriefings.files.parliament.uk/documents/CBP-7547/CBP-7547.pdf</w:t>
        </w:r>
      </w:hyperlink>
      <w:r w:rsidRPr="007F0F6A">
        <w:t xml:space="preserve"> (Accessed: 30 June 2026).</w:t>
      </w:r>
    </w:p>
    <w:p w14:paraId="0414A2BE" w14:textId="43D7BE7B" w:rsidR="007F0F6A" w:rsidRPr="007F0F6A" w:rsidRDefault="007F0F6A" w:rsidP="008441F5">
      <w:pPr>
        <w:spacing w:line="360" w:lineRule="auto"/>
        <w:jc w:val="both"/>
      </w:pPr>
      <w:r w:rsidRPr="007F0F6A">
        <w:t xml:space="preserve">Jack, C.R., Bennett, D.A., </w:t>
      </w:r>
      <w:proofErr w:type="spellStart"/>
      <w:r w:rsidRPr="007F0F6A">
        <w:t>Blennow</w:t>
      </w:r>
      <w:proofErr w:type="spellEnd"/>
      <w:r w:rsidRPr="007F0F6A">
        <w:t xml:space="preserve">, K., Carrillo, M.C., Dunn, B., </w:t>
      </w:r>
      <w:proofErr w:type="spellStart"/>
      <w:r w:rsidRPr="007F0F6A">
        <w:t>Haeberlein</w:t>
      </w:r>
      <w:proofErr w:type="spellEnd"/>
      <w:r w:rsidRPr="007F0F6A">
        <w:t xml:space="preserve">, S.B., Holtzman, D.M., </w:t>
      </w:r>
      <w:proofErr w:type="spellStart"/>
      <w:r w:rsidRPr="007F0F6A">
        <w:t>Jagust</w:t>
      </w:r>
      <w:proofErr w:type="spellEnd"/>
      <w:r w:rsidRPr="007F0F6A">
        <w:t xml:space="preserve">, W., Jessen, F., </w:t>
      </w:r>
      <w:proofErr w:type="spellStart"/>
      <w:r w:rsidRPr="007F0F6A">
        <w:t>Karlawish</w:t>
      </w:r>
      <w:proofErr w:type="spellEnd"/>
      <w:r w:rsidRPr="007F0F6A">
        <w:t xml:space="preserve">, J., Liu, E., </w:t>
      </w:r>
      <w:proofErr w:type="spellStart"/>
      <w:r w:rsidRPr="007F0F6A">
        <w:t>Molinuevo</w:t>
      </w:r>
      <w:proofErr w:type="spellEnd"/>
      <w:r w:rsidRPr="007F0F6A">
        <w:t xml:space="preserve">, J.L., Montine, T., Phelps, C., Rankin, K.P., Rowe, C.C., </w:t>
      </w:r>
      <w:proofErr w:type="spellStart"/>
      <w:r w:rsidRPr="007F0F6A">
        <w:t>Scheltens</w:t>
      </w:r>
      <w:proofErr w:type="spellEnd"/>
      <w:r w:rsidRPr="007F0F6A">
        <w:t xml:space="preserve">, P., Siemers, E., Snyder, H.M. and Sperling, R. (2018) </w:t>
      </w:r>
      <w:r w:rsidRPr="003F0D4C">
        <w:rPr>
          <w:i/>
          <w:iCs/>
        </w:rPr>
        <w:t>'NIA-AA research framework: toward a biological definition of Alzheimer's disease'</w:t>
      </w:r>
      <w:r w:rsidRPr="007F0F6A">
        <w:t xml:space="preserve">, Alzheimer's and Dementia, 14(4), pp. 535–562. Available at: </w:t>
      </w:r>
      <w:hyperlink r:id="rId25" w:history="1">
        <w:r w:rsidRPr="00EF14BE">
          <w:rPr>
            <w:rStyle w:val="Hyperlink"/>
          </w:rPr>
          <w:t>https://doi.org/10.1016/j.jalz.2018.02.018</w:t>
        </w:r>
      </w:hyperlink>
      <w:r w:rsidRPr="007F0F6A">
        <w:t xml:space="preserve"> (Accessed: </w:t>
      </w:r>
      <w:r w:rsidR="00C04D02">
        <w:t>14 July</w:t>
      </w:r>
      <w:r w:rsidRPr="007F0F6A">
        <w:t xml:space="preserve"> 2026).</w:t>
      </w:r>
    </w:p>
    <w:p w14:paraId="26B41124" w14:textId="6C4957C8" w:rsidR="007F0F6A" w:rsidRPr="007F0F6A" w:rsidRDefault="007F0F6A" w:rsidP="008441F5">
      <w:pPr>
        <w:spacing w:line="360" w:lineRule="auto"/>
        <w:jc w:val="both"/>
      </w:pPr>
      <w:r w:rsidRPr="007F0F6A">
        <w:t xml:space="preserve">Livingston, G., Huntley, J., </w:t>
      </w:r>
      <w:proofErr w:type="spellStart"/>
      <w:r w:rsidRPr="007F0F6A">
        <w:t>Sommerlad</w:t>
      </w:r>
      <w:proofErr w:type="spellEnd"/>
      <w:r w:rsidRPr="007F0F6A">
        <w:t xml:space="preserve">, A., Ames, D., Ballard, C., Banerjee, S., </w:t>
      </w:r>
      <w:proofErr w:type="spellStart"/>
      <w:r w:rsidRPr="007F0F6A">
        <w:t>Brayne</w:t>
      </w:r>
      <w:proofErr w:type="spellEnd"/>
      <w:r w:rsidRPr="007F0F6A">
        <w:t xml:space="preserve">, C., Burns, A., Cohen-Mansfield, J., Cooper, C., </w:t>
      </w:r>
      <w:proofErr w:type="spellStart"/>
      <w:r w:rsidRPr="007F0F6A">
        <w:t>Costafreda</w:t>
      </w:r>
      <w:proofErr w:type="spellEnd"/>
      <w:r w:rsidRPr="007F0F6A">
        <w:t xml:space="preserve">, S.G., Dias, A., Fox, N., Gitlin, L.N., Howard, R., Kales, H.C., Kivimäki, M., Larson, E.B., Ogunniyi, A., Orgeta, V., Ritchie, K., Rockwood, K., Sampson, E.L., Samus, Q., Schneider, L.S., </w:t>
      </w:r>
      <w:proofErr w:type="spellStart"/>
      <w:r w:rsidRPr="007F0F6A">
        <w:t>Selbæk</w:t>
      </w:r>
      <w:proofErr w:type="spellEnd"/>
      <w:r w:rsidRPr="007F0F6A">
        <w:t xml:space="preserve">, G., Teri, L. and Mukadam, N. (2020) </w:t>
      </w:r>
      <w:r w:rsidRPr="00341F0D">
        <w:rPr>
          <w:i/>
          <w:iCs/>
        </w:rPr>
        <w:t>'Dementia prevention, intervention, and care: 2020 report of the Lancet Commission'</w:t>
      </w:r>
      <w:r w:rsidRPr="007F0F6A">
        <w:t xml:space="preserve">, The Lancet, 396(10248), pp. 413–446. Available at: </w:t>
      </w:r>
      <w:hyperlink r:id="rId26" w:history="1">
        <w:r w:rsidRPr="00EF14BE">
          <w:rPr>
            <w:rStyle w:val="Hyperlink"/>
          </w:rPr>
          <w:t>https://doi.org/10.1016/S0140-6736(20)30367-6</w:t>
        </w:r>
      </w:hyperlink>
      <w:r w:rsidRPr="007F0F6A">
        <w:t xml:space="preserve"> (Accessed: 30 June 2026).</w:t>
      </w:r>
    </w:p>
    <w:p w14:paraId="65025BCE" w14:textId="405A41CE" w:rsidR="007F0F6A" w:rsidRPr="007F0F6A" w:rsidRDefault="007F0F6A" w:rsidP="008441F5">
      <w:pPr>
        <w:spacing w:line="360" w:lineRule="auto"/>
        <w:jc w:val="both"/>
      </w:pPr>
      <w:r w:rsidRPr="007F0F6A">
        <w:t xml:space="preserve">Mental Health Act (1983, amended 2007) c.20. London: </w:t>
      </w:r>
      <w:r w:rsidRPr="00341F0D">
        <w:rPr>
          <w:i/>
          <w:iCs/>
        </w:rPr>
        <w:t>The Stationery Office</w:t>
      </w:r>
      <w:r w:rsidRPr="007F0F6A">
        <w:t xml:space="preserve">. Available at: </w:t>
      </w:r>
      <w:hyperlink r:id="rId27" w:history="1">
        <w:r w:rsidRPr="00EF14BE">
          <w:rPr>
            <w:rStyle w:val="Hyperlink"/>
          </w:rPr>
          <w:t>https://www.legislation.gov.uk/ukpga/1983/20/contents</w:t>
        </w:r>
      </w:hyperlink>
      <w:r w:rsidRPr="007F0F6A">
        <w:t xml:space="preserve"> (Accessed: 30 June 2026).</w:t>
      </w:r>
    </w:p>
    <w:p w14:paraId="2688E3DA" w14:textId="66E3B4A0" w:rsidR="007F0F6A" w:rsidRPr="007F0F6A" w:rsidRDefault="007F0F6A" w:rsidP="008441F5">
      <w:pPr>
        <w:spacing w:line="360" w:lineRule="auto"/>
        <w:jc w:val="both"/>
      </w:pPr>
      <w:r w:rsidRPr="007F0F6A">
        <w:t xml:space="preserve">Milne, R., </w:t>
      </w:r>
      <w:proofErr w:type="spellStart"/>
      <w:r w:rsidRPr="007F0F6A">
        <w:t>Bunnik</w:t>
      </w:r>
      <w:proofErr w:type="spellEnd"/>
      <w:r w:rsidRPr="007F0F6A">
        <w:t xml:space="preserve">, E., Diaz, A., Richard, E., Badger, S., Gove, D., Georges, J., Faure, S., Rumsey, C. and </w:t>
      </w:r>
      <w:proofErr w:type="spellStart"/>
      <w:r w:rsidRPr="007F0F6A">
        <w:t>Brayne</w:t>
      </w:r>
      <w:proofErr w:type="spellEnd"/>
      <w:r w:rsidRPr="007F0F6A">
        <w:t xml:space="preserve">, C. (2021) </w:t>
      </w:r>
      <w:r w:rsidRPr="00341F0D">
        <w:rPr>
          <w:i/>
          <w:iCs/>
        </w:rPr>
        <w:t>'Perspectives on communicating biomarker-based assessments of Alzheimer's disease to cognitively unimpaired individuals'</w:t>
      </w:r>
      <w:r w:rsidRPr="007F0F6A">
        <w:t xml:space="preserve">, Journal of Alzheimer's Disease, 80(3), pp. 979–993. Available at: </w:t>
      </w:r>
      <w:hyperlink r:id="rId28" w:history="1">
        <w:r w:rsidRPr="00EF14BE">
          <w:rPr>
            <w:rStyle w:val="Hyperlink"/>
          </w:rPr>
          <w:t>https://doi.org/10.3233/JAD-201020</w:t>
        </w:r>
      </w:hyperlink>
      <w:r w:rsidRPr="007F0F6A">
        <w:t xml:space="preserve"> (Accessed: 30 June 2026).</w:t>
      </w:r>
    </w:p>
    <w:p w14:paraId="6C99D8E4" w14:textId="29585151" w:rsidR="007F0F6A" w:rsidRPr="007F0F6A" w:rsidRDefault="007F0F6A" w:rsidP="008441F5">
      <w:pPr>
        <w:spacing w:line="360" w:lineRule="auto"/>
        <w:jc w:val="both"/>
      </w:pPr>
      <w:r w:rsidRPr="007F0F6A">
        <w:t xml:space="preserve">NHS England (2024) Dementia: </w:t>
      </w:r>
      <w:r w:rsidRPr="00341F0D">
        <w:rPr>
          <w:i/>
          <w:iCs/>
        </w:rPr>
        <w:t>Diagnosis and treatment</w:t>
      </w:r>
      <w:r w:rsidRPr="007F0F6A">
        <w:t xml:space="preserve">. Available at: </w:t>
      </w:r>
      <w:hyperlink r:id="rId29" w:history="1">
        <w:r w:rsidRPr="006719BB">
          <w:rPr>
            <w:rStyle w:val="Hyperlink"/>
          </w:rPr>
          <w:t>https://www.england.nhs.uk/mental-health/dementia/</w:t>
        </w:r>
      </w:hyperlink>
      <w:r w:rsidRPr="007F0F6A">
        <w:t xml:space="preserve"> (Accessed: </w:t>
      </w:r>
      <w:r w:rsidR="00806855">
        <w:t>28</w:t>
      </w:r>
      <w:r w:rsidRPr="007F0F6A">
        <w:t xml:space="preserve"> June 2026).</w:t>
      </w:r>
    </w:p>
    <w:p w14:paraId="65229398" w14:textId="1F282444" w:rsidR="007F0F6A" w:rsidRPr="007F0F6A" w:rsidRDefault="007F0F6A" w:rsidP="008441F5">
      <w:pPr>
        <w:spacing w:line="360" w:lineRule="auto"/>
        <w:jc w:val="both"/>
      </w:pPr>
      <w:r w:rsidRPr="007F0F6A">
        <w:t xml:space="preserve">NHS Long Term Plan (2019) </w:t>
      </w:r>
      <w:r w:rsidRPr="00101176">
        <w:rPr>
          <w:i/>
          <w:iCs/>
        </w:rPr>
        <w:t xml:space="preserve">The NHS </w:t>
      </w:r>
      <w:r w:rsidR="006719BB" w:rsidRPr="00101176">
        <w:rPr>
          <w:i/>
          <w:iCs/>
        </w:rPr>
        <w:t>long-term</w:t>
      </w:r>
      <w:r w:rsidRPr="00101176">
        <w:rPr>
          <w:i/>
          <w:iCs/>
        </w:rPr>
        <w:t xml:space="preserve"> plan</w:t>
      </w:r>
      <w:r w:rsidRPr="007F0F6A">
        <w:t xml:space="preserve">. Available at: </w:t>
      </w:r>
      <w:hyperlink r:id="rId30" w:history="1">
        <w:r w:rsidRPr="006719BB">
          <w:rPr>
            <w:rStyle w:val="Hyperlink"/>
          </w:rPr>
          <w:t>https://www.longtermplan.nhs.uk/publication/nhs-long-term-plan/</w:t>
        </w:r>
      </w:hyperlink>
      <w:r w:rsidRPr="007F0F6A">
        <w:t xml:space="preserve"> (Accessed: </w:t>
      </w:r>
      <w:r w:rsidR="00136872">
        <w:t>12</w:t>
      </w:r>
      <w:r w:rsidRPr="007F0F6A">
        <w:t xml:space="preserve"> Ju</w:t>
      </w:r>
      <w:r w:rsidR="00136872">
        <w:t>ly</w:t>
      </w:r>
      <w:r w:rsidRPr="007F0F6A">
        <w:t xml:space="preserve"> 2026).</w:t>
      </w:r>
    </w:p>
    <w:p w14:paraId="7A85164A" w14:textId="004A6554" w:rsidR="007F0F6A" w:rsidRPr="007F0F6A" w:rsidRDefault="007F0F6A" w:rsidP="008441F5">
      <w:pPr>
        <w:spacing w:line="360" w:lineRule="auto"/>
        <w:jc w:val="both"/>
      </w:pPr>
      <w:r w:rsidRPr="007F0F6A">
        <w:t xml:space="preserve">NICE (National Institute for Health and Care Excellence) (2023) </w:t>
      </w:r>
      <w:r w:rsidRPr="00341F0D">
        <w:rPr>
          <w:i/>
          <w:iCs/>
        </w:rPr>
        <w:t>Dementia: Assessment, management and support for people living with dementia and their carers. Clinical Guideline NG97</w:t>
      </w:r>
      <w:r w:rsidRPr="007F0F6A">
        <w:t xml:space="preserve">. Available at: </w:t>
      </w:r>
      <w:hyperlink r:id="rId31" w:history="1">
        <w:r w:rsidRPr="006719BB">
          <w:rPr>
            <w:rStyle w:val="Hyperlink"/>
          </w:rPr>
          <w:t>https://www.nice.org.uk/guidance/ng97</w:t>
        </w:r>
      </w:hyperlink>
      <w:r w:rsidRPr="007F0F6A">
        <w:t xml:space="preserve"> (Accessed: 30 June 2026).</w:t>
      </w:r>
    </w:p>
    <w:p w14:paraId="5EB5208C" w14:textId="5840EAD5" w:rsidR="007F0F6A" w:rsidRPr="007F0F6A" w:rsidRDefault="007F0F6A" w:rsidP="008441F5">
      <w:pPr>
        <w:spacing w:line="360" w:lineRule="auto"/>
        <w:jc w:val="both"/>
      </w:pPr>
      <w:r w:rsidRPr="007F0F6A">
        <w:t xml:space="preserve">NICE (National Institute for Health and Care Excellence) (2024) </w:t>
      </w:r>
      <w:r w:rsidRPr="00635ACE">
        <w:rPr>
          <w:i/>
          <w:iCs/>
        </w:rPr>
        <w:t>Lecanemab for treating mild cognitive impairment and mild dementia due to Alzheimer's disease.</w:t>
      </w:r>
      <w:r w:rsidRPr="007F0F6A">
        <w:t xml:space="preserve"> Technology Appraisal TA1012. Available at: </w:t>
      </w:r>
      <w:hyperlink r:id="rId32" w:history="1">
        <w:r w:rsidRPr="006719BB">
          <w:rPr>
            <w:rStyle w:val="Hyperlink"/>
          </w:rPr>
          <w:t>https://www.nice.org.uk/guidance/ta1012</w:t>
        </w:r>
      </w:hyperlink>
      <w:r w:rsidRPr="007F0F6A">
        <w:t xml:space="preserve"> (Accessed: </w:t>
      </w:r>
      <w:r w:rsidR="00136872">
        <w:t>29</w:t>
      </w:r>
      <w:r w:rsidRPr="007F0F6A">
        <w:t xml:space="preserve"> June 2026).</w:t>
      </w:r>
    </w:p>
    <w:p w14:paraId="65AE8AE0" w14:textId="0456DBE5" w:rsidR="007F0F6A" w:rsidRPr="007F0F6A" w:rsidRDefault="007F0F6A" w:rsidP="008441F5">
      <w:pPr>
        <w:spacing w:line="360" w:lineRule="auto"/>
        <w:jc w:val="both"/>
      </w:pPr>
      <w:r w:rsidRPr="007F0F6A">
        <w:lastRenderedPageBreak/>
        <w:t xml:space="preserve">van Dyck, C.H., Swanson, C.J., Aisen, P., Bateman, R.J., Chen, C., Gee, M., </w:t>
      </w:r>
      <w:proofErr w:type="spellStart"/>
      <w:r w:rsidRPr="007F0F6A">
        <w:t>Kanekiyo</w:t>
      </w:r>
      <w:proofErr w:type="spellEnd"/>
      <w:r w:rsidRPr="007F0F6A">
        <w:t xml:space="preserve">, M., Li, D., </w:t>
      </w:r>
      <w:proofErr w:type="spellStart"/>
      <w:r w:rsidRPr="007F0F6A">
        <w:t>Reyderman</w:t>
      </w:r>
      <w:proofErr w:type="spellEnd"/>
      <w:r w:rsidRPr="007F0F6A">
        <w:t xml:space="preserve">, L., Cohen, S., Froelich, L., Katayama, S., Sabbagh, M., Vellas, B., Watson, D., Dhadda, S., Irizarry, M., Kramer, L.D. and </w:t>
      </w:r>
      <w:proofErr w:type="spellStart"/>
      <w:r w:rsidRPr="007F0F6A">
        <w:t>Iwatsubo</w:t>
      </w:r>
      <w:proofErr w:type="spellEnd"/>
      <w:r w:rsidRPr="007F0F6A">
        <w:t xml:space="preserve">, T. (2023) </w:t>
      </w:r>
      <w:r w:rsidRPr="00901957">
        <w:rPr>
          <w:i/>
          <w:iCs/>
        </w:rPr>
        <w:t>'Lecanemab in early Alzheimer's disease'</w:t>
      </w:r>
      <w:r w:rsidRPr="007F0F6A">
        <w:t xml:space="preserve">, New England Journal of Medicine, 388(1), pp. 9–21. Available at: </w:t>
      </w:r>
      <w:hyperlink r:id="rId33" w:history="1">
        <w:r w:rsidRPr="00D05C5F">
          <w:rPr>
            <w:rStyle w:val="Hyperlink"/>
          </w:rPr>
          <w:t>https://doi.org/10.1056/NEJMoa2212948</w:t>
        </w:r>
      </w:hyperlink>
      <w:r w:rsidRPr="007F0F6A">
        <w:t xml:space="preserve"> (Accessed: 30 June 2026).</w:t>
      </w:r>
    </w:p>
    <w:p w14:paraId="7412A26A" w14:textId="3E5ADF56" w:rsidR="007F0F6A" w:rsidRPr="007F0F6A" w:rsidRDefault="007F0F6A" w:rsidP="008441F5">
      <w:pPr>
        <w:spacing w:line="360" w:lineRule="auto"/>
        <w:jc w:val="both"/>
      </w:pPr>
      <w:r w:rsidRPr="007F0F6A">
        <w:t xml:space="preserve">WHO (World Health </w:t>
      </w:r>
      <w:r w:rsidR="00F22518">
        <w:t>Organisation</w:t>
      </w:r>
      <w:r w:rsidRPr="007F0F6A">
        <w:t xml:space="preserve">) (2022) </w:t>
      </w:r>
      <w:r w:rsidRPr="00E56CD5">
        <w:rPr>
          <w:i/>
          <w:iCs/>
        </w:rPr>
        <w:t xml:space="preserve">Clinical descriptions and diagnostic requirements for ICD-11 mental, </w:t>
      </w:r>
      <w:r w:rsidR="008E4E43" w:rsidRPr="00E56CD5">
        <w:rPr>
          <w:i/>
          <w:iCs/>
        </w:rPr>
        <w:t>behavioural,</w:t>
      </w:r>
      <w:r w:rsidRPr="00E56CD5">
        <w:rPr>
          <w:i/>
          <w:iCs/>
        </w:rPr>
        <w:t xml:space="preserve"> and neurodevelopmental disorders</w:t>
      </w:r>
      <w:r w:rsidRPr="007F0F6A">
        <w:t>. Geneva: WHO Press.</w:t>
      </w:r>
    </w:p>
    <w:p w14:paraId="09EDC40F" w14:textId="04DC57A7" w:rsidR="007F0F6A" w:rsidRPr="007F0F6A" w:rsidRDefault="007F0F6A" w:rsidP="008441F5">
      <w:pPr>
        <w:spacing w:line="360" w:lineRule="auto"/>
        <w:jc w:val="both"/>
      </w:pPr>
      <w:r w:rsidRPr="007F0F6A">
        <w:t xml:space="preserve">WHO (World Health </w:t>
      </w:r>
      <w:r w:rsidR="00F22518">
        <w:t>Organisation</w:t>
      </w:r>
      <w:r w:rsidRPr="007F0F6A">
        <w:t xml:space="preserve">) (2023) </w:t>
      </w:r>
      <w:r w:rsidRPr="00E56CD5">
        <w:rPr>
          <w:i/>
          <w:iCs/>
        </w:rPr>
        <w:t>Dementia fact sheet</w:t>
      </w:r>
      <w:r w:rsidRPr="007F0F6A">
        <w:t xml:space="preserve">. Available at: </w:t>
      </w:r>
      <w:hyperlink r:id="rId34" w:history="1">
        <w:r w:rsidRPr="00D05C5F">
          <w:rPr>
            <w:rStyle w:val="Hyperlink"/>
          </w:rPr>
          <w:t>https://www.who.int/news-room/fact-sheets/detail/dementia</w:t>
        </w:r>
      </w:hyperlink>
      <w:r w:rsidRPr="007F0F6A">
        <w:t xml:space="preserve"> (Accessed: 0</w:t>
      </w:r>
      <w:r w:rsidR="00F749C6">
        <w:t>8</w:t>
      </w:r>
      <w:r w:rsidRPr="007F0F6A">
        <w:t xml:space="preserve"> Ju</w:t>
      </w:r>
      <w:r w:rsidR="00F749C6">
        <w:t>ly</w:t>
      </w:r>
      <w:r w:rsidRPr="007F0F6A">
        <w:t xml:space="preserve"> 2026).</w:t>
      </w:r>
    </w:p>
    <w:p w14:paraId="213D7B25" w14:textId="194C364C" w:rsidR="007F0F6A" w:rsidRPr="007F0F6A" w:rsidRDefault="007F0F6A" w:rsidP="00F22518">
      <w:pPr>
        <w:spacing w:line="360" w:lineRule="auto"/>
        <w:jc w:val="both"/>
      </w:pPr>
      <w:r w:rsidRPr="007F0F6A">
        <w:t xml:space="preserve">Woods, B., Aguirre, E., Spector, A.E. and Orrell, M. (2023) </w:t>
      </w:r>
      <w:r w:rsidRPr="00E56CD5">
        <w:rPr>
          <w:i/>
          <w:iCs/>
        </w:rPr>
        <w:t>'Cognitive stimulation to improve cognitive functioning in people with dementia'</w:t>
      </w:r>
      <w:r w:rsidRPr="007F0F6A">
        <w:t xml:space="preserve">, Cochrane Database of Systematic Reviews, Issue 2, Art. No. CD005562. Available at: </w:t>
      </w:r>
      <w:hyperlink r:id="rId35" w:history="1">
        <w:r w:rsidRPr="00D05C5F">
          <w:rPr>
            <w:rStyle w:val="Hyperlink"/>
          </w:rPr>
          <w:t>https://doi.org/10.1002/14651858.CD005562.pub3</w:t>
        </w:r>
      </w:hyperlink>
      <w:r w:rsidRPr="007F0F6A">
        <w:t xml:space="preserve"> (Accessed: </w:t>
      </w:r>
      <w:r w:rsidR="00F749C6">
        <w:t>1</w:t>
      </w:r>
      <w:r w:rsidRPr="007F0F6A">
        <w:t xml:space="preserve">0 </w:t>
      </w:r>
      <w:r w:rsidR="00F749C6">
        <w:t>July</w:t>
      </w:r>
      <w:r w:rsidRPr="007F0F6A">
        <w:t xml:space="preserve"> 2026).</w:t>
      </w:r>
    </w:p>
    <w:sectPr w:rsidR="007F0F6A" w:rsidRPr="007F0F6A" w:rsidSect="008A6FBC">
      <w:footerReference w:type="default" r:id="rId36"/>
      <w:pgSz w:w="11906" w:h="16838"/>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60DE98" w14:textId="77777777" w:rsidR="00CA4DC9" w:rsidRDefault="00CA4DC9" w:rsidP="007F0F6A">
      <w:pPr>
        <w:spacing w:after="0" w:line="240" w:lineRule="auto"/>
      </w:pPr>
      <w:r>
        <w:separator/>
      </w:r>
    </w:p>
  </w:endnote>
  <w:endnote w:type="continuationSeparator" w:id="0">
    <w:p w14:paraId="6289DD36" w14:textId="77777777" w:rsidR="00CA4DC9" w:rsidRDefault="00CA4DC9" w:rsidP="007F0F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A6B45B" w14:textId="210F7397" w:rsidR="008A6FBC" w:rsidRDefault="008A6FBC">
    <w:pPr>
      <w:pStyle w:val="Footer"/>
      <w:jc w:val="center"/>
    </w:pPr>
  </w:p>
  <w:p w14:paraId="63A66819" w14:textId="77777777" w:rsidR="008A6FBC" w:rsidRDefault="008A6F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1359405"/>
      <w:docPartObj>
        <w:docPartGallery w:val="Page Numbers (Bottom of Page)"/>
        <w:docPartUnique/>
      </w:docPartObj>
    </w:sdtPr>
    <w:sdtEndPr>
      <w:rPr>
        <w:noProof/>
      </w:rPr>
    </w:sdtEndPr>
    <w:sdtContent>
      <w:p w14:paraId="6F9C0070" w14:textId="77777777" w:rsidR="008A6FBC" w:rsidRDefault="008A6F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C9CC09" w14:textId="77777777" w:rsidR="008A6FBC" w:rsidRDefault="008A6F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74BF11" w14:textId="77777777" w:rsidR="00CA4DC9" w:rsidRDefault="00CA4DC9" w:rsidP="007F0F6A">
      <w:pPr>
        <w:spacing w:after="0" w:line="240" w:lineRule="auto"/>
      </w:pPr>
      <w:r>
        <w:separator/>
      </w:r>
    </w:p>
  </w:footnote>
  <w:footnote w:type="continuationSeparator" w:id="0">
    <w:p w14:paraId="728FF7F0" w14:textId="77777777" w:rsidR="00CA4DC9" w:rsidRDefault="00CA4DC9" w:rsidP="007F0F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F6A"/>
    <w:rsid w:val="000463C1"/>
    <w:rsid w:val="00101176"/>
    <w:rsid w:val="00103CA2"/>
    <w:rsid w:val="00136872"/>
    <w:rsid w:val="00142A2E"/>
    <w:rsid w:val="001826E1"/>
    <w:rsid w:val="0018697C"/>
    <w:rsid w:val="001A51A5"/>
    <w:rsid w:val="001C4C3F"/>
    <w:rsid w:val="00232CC5"/>
    <w:rsid w:val="0024571B"/>
    <w:rsid w:val="00313E4C"/>
    <w:rsid w:val="00341F0D"/>
    <w:rsid w:val="0035050C"/>
    <w:rsid w:val="00374796"/>
    <w:rsid w:val="00376419"/>
    <w:rsid w:val="0039291B"/>
    <w:rsid w:val="00393BF1"/>
    <w:rsid w:val="0039438F"/>
    <w:rsid w:val="003957E1"/>
    <w:rsid w:val="003F0D4C"/>
    <w:rsid w:val="004545E0"/>
    <w:rsid w:val="00474C71"/>
    <w:rsid w:val="004B6179"/>
    <w:rsid w:val="004C5310"/>
    <w:rsid w:val="004F2ABE"/>
    <w:rsid w:val="005C4705"/>
    <w:rsid w:val="005D1FD0"/>
    <w:rsid w:val="00635ACE"/>
    <w:rsid w:val="006719BB"/>
    <w:rsid w:val="0068005A"/>
    <w:rsid w:val="006C7708"/>
    <w:rsid w:val="006F46BB"/>
    <w:rsid w:val="00714C63"/>
    <w:rsid w:val="007177BE"/>
    <w:rsid w:val="00726F2A"/>
    <w:rsid w:val="00732A4C"/>
    <w:rsid w:val="0074426E"/>
    <w:rsid w:val="00783AE1"/>
    <w:rsid w:val="00791A78"/>
    <w:rsid w:val="007B204A"/>
    <w:rsid w:val="007F0F6A"/>
    <w:rsid w:val="00806855"/>
    <w:rsid w:val="008103B0"/>
    <w:rsid w:val="008169DB"/>
    <w:rsid w:val="008441F5"/>
    <w:rsid w:val="008A6B29"/>
    <w:rsid w:val="008A6FBC"/>
    <w:rsid w:val="008E4E43"/>
    <w:rsid w:val="008F3904"/>
    <w:rsid w:val="008F3E58"/>
    <w:rsid w:val="00901957"/>
    <w:rsid w:val="009F640D"/>
    <w:rsid w:val="00A05410"/>
    <w:rsid w:val="00A17FF0"/>
    <w:rsid w:val="00A25537"/>
    <w:rsid w:val="00A41E7A"/>
    <w:rsid w:val="00A47EBA"/>
    <w:rsid w:val="00AB0705"/>
    <w:rsid w:val="00AD1E67"/>
    <w:rsid w:val="00B02ED1"/>
    <w:rsid w:val="00B170A1"/>
    <w:rsid w:val="00B6124A"/>
    <w:rsid w:val="00B72CD7"/>
    <w:rsid w:val="00B87DA5"/>
    <w:rsid w:val="00BB51F1"/>
    <w:rsid w:val="00BC091A"/>
    <w:rsid w:val="00BD6981"/>
    <w:rsid w:val="00BD780C"/>
    <w:rsid w:val="00C04D02"/>
    <w:rsid w:val="00C14FA3"/>
    <w:rsid w:val="00C37108"/>
    <w:rsid w:val="00C41BAF"/>
    <w:rsid w:val="00C479F6"/>
    <w:rsid w:val="00C550F3"/>
    <w:rsid w:val="00C6690B"/>
    <w:rsid w:val="00C66DBD"/>
    <w:rsid w:val="00C67AC9"/>
    <w:rsid w:val="00CA300D"/>
    <w:rsid w:val="00CA4DC9"/>
    <w:rsid w:val="00CC16A8"/>
    <w:rsid w:val="00D05C5F"/>
    <w:rsid w:val="00D242E0"/>
    <w:rsid w:val="00D26AB2"/>
    <w:rsid w:val="00D33DD7"/>
    <w:rsid w:val="00D54024"/>
    <w:rsid w:val="00D82BAF"/>
    <w:rsid w:val="00D84C7D"/>
    <w:rsid w:val="00D86CF1"/>
    <w:rsid w:val="00DE3508"/>
    <w:rsid w:val="00DE7109"/>
    <w:rsid w:val="00E4306A"/>
    <w:rsid w:val="00E56CD5"/>
    <w:rsid w:val="00E97330"/>
    <w:rsid w:val="00EC5D4A"/>
    <w:rsid w:val="00EF14BE"/>
    <w:rsid w:val="00EF2CD5"/>
    <w:rsid w:val="00F22518"/>
    <w:rsid w:val="00F25708"/>
    <w:rsid w:val="00F34F91"/>
    <w:rsid w:val="00F749C6"/>
    <w:rsid w:val="00FE01FB"/>
    <w:rsid w:val="00FF3BC6"/>
    <w:rsid w:val="00FF65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E91DC"/>
  <w15:chartTrackingRefBased/>
  <w15:docId w15:val="{5404D083-DD1E-413E-9239-9B068FA88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color w:val="000000" w:themeColor="text1"/>
        <w:sz w:val="22"/>
        <w:szCs w:val="22"/>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14C63"/>
    <w:pPr>
      <w:keepNext/>
      <w:keepLines/>
      <w:spacing w:before="360" w:after="80" w:line="360" w:lineRule="auto"/>
      <w:jc w:val="both"/>
      <w:outlineLvl w:val="0"/>
    </w:pPr>
    <w:rPr>
      <w:rFonts w:eastAsiaTheme="majorEastAsia" w:cstheme="majorBidi"/>
      <w:color w:val="auto"/>
      <w:sz w:val="40"/>
      <w:szCs w:val="40"/>
    </w:rPr>
  </w:style>
  <w:style w:type="paragraph" w:styleId="Heading2">
    <w:name w:val="heading 2"/>
    <w:basedOn w:val="Normal"/>
    <w:next w:val="Normal"/>
    <w:link w:val="Heading2Char"/>
    <w:autoRedefine/>
    <w:uiPriority w:val="9"/>
    <w:unhideWhenUsed/>
    <w:qFormat/>
    <w:rsid w:val="00F25708"/>
    <w:pPr>
      <w:keepNext/>
      <w:keepLines/>
      <w:spacing w:before="160" w:after="80"/>
      <w:outlineLvl w:val="1"/>
    </w:pPr>
    <w:rPr>
      <w:rFonts w:eastAsiaTheme="majorEastAsia" w:cstheme="majorBidi"/>
      <w:color w:val="auto"/>
      <w:sz w:val="32"/>
      <w:szCs w:val="32"/>
    </w:rPr>
  </w:style>
  <w:style w:type="paragraph" w:styleId="Heading3">
    <w:name w:val="heading 3"/>
    <w:basedOn w:val="Normal"/>
    <w:next w:val="Normal"/>
    <w:link w:val="Heading3Char"/>
    <w:uiPriority w:val="9"/>
    <w:semiHidden/>
    <w:unhideWhenUsed/>
    <w:qFormat/>
    <w:rsid w:val="007F0F6A"/>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0F6A"/>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F0F6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F0F6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F0F6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F0F6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F0F6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4C63"/>
    <w:rPr>
      <w:rFonts w:eastAsiaTheme="majorEastAsia" w:cstheme="majorBidi"/>
      <w:color w:val="auto"/>
      <w:sz w:val="40"/>
      <w:szCs w:val="40"/>
    </w:rPr>
  </w:style>
  <w:style w:type="character" w:customStyle="1" w:styleId="Heading2Char">
    <w:name w:val="Heading 2 Char"/>
    <w:basedOn w:val="DefaultParagraphFont"/>
    <w:link w:val="Heading2"/>
    <w:uiPriority w:val="9"/>
    <w:rsid w:val="00F25708"/>
    <w:rPr>
      <w:rFonts w:eastAsiaTheme="majorEastAsia" w:cstheme="majorBidi"/>
      <w:color w:val="auto"/>
      <w:sz w:val="32"/>
      <w:szCs w:val="32"/>
    </w:rPr>
  </w:style>
  <w:style w:type="character" w:customStyle="1" w:styleId="Heading3Char">
    <w:name w:val="Heading 3 Char"/>
    <w:basedOn w:val="DefaultParagraphFont"/>
    <w:link w:val="Heading3"/>
    <w:uiPriority w:val="9"/>
    <w:semiHidden/>
    <w:rsid w:val="007F0F6A"/>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0F6A"/>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7F0F6A"/>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7F0F6A"/>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7F0F6A"/>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7F0F6A"/>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7F0F6A"/>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7F0F6A"/>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7F0F6A"/>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7F0F6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0F6A"/>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7F0F6A"/>
    <w:pPr>
      <w:spacing w:before="160"/>
      <w:jc w:val="center"/>
    </w:pPr>
    <w:rPr>
      <w:i/>
      <w:iCs/>
      <w:color w:val="404040" w:themeColor="text1" w:themeTint="BF"/>
    </w:rPr>
  </w:style>
  <w:style w:type="character" w:customStyle="1" w:styleId="QuoteChar">
    <w:name w:val="Quote Char"/>
    <w:basedOn w:val="DefaultParagraphFont"/>
    <w:link w:val="Quote"/>
    <w:uiPriority w:val="29"/>
    <w:rsid w:val="007F0F6A"/>
    <w:rPr>
      <w:i/>
      <w:iCs/>
      <w:color w:val="404040" w:themeColor="text1" w:themeTint="BF"/>
    </w:rPr>
  </w:style>
  <w:style w:type="paragraph" w:styleId="ListParagraph">
    <w:name w:val="List Paragraph"/>
    <w:basedOn w:val="Normal"/>
    <w:uiPriority w:val="34"/>
    <w:qFormat/>
    <w:rsid w:val="007F0F6A"/>
    <w:pPr>
      <w:ind w:left="720"/>
      <w:contextualSpacing/>
    </w:pPr>
  </w:style>
  <w:style w:type="character" w:styleId="IntenseEmphasis">
    <w:name w:val="Intense Emphasis"/>
    <w:basedOn w:val="DefaultParagraphFont"/>
    <w:uiPriority w:val="21"/>
    <w:qFormat/>
    <w:rsid w:val="007F0F6A"/>
    <w:rPr>
      <w:i/>
      <w:iCs/>
      <w:color w:val="0F4761" w:themeColor="accent1" w:themeShade="BF"/>
    </w:rPr>
  </w:style>
  <w:style w:type="paragraph" w:styleId="IntenseQuote">
    <w:name w:val="Intense Quote"/>
    <w:basedOn w:val="Normal"/>
    <w:next w:val="Normal"/>
    <w:link w:val="IntenseQuoteChar"/>
    <w:uiPriority w:val="30"/>
    <w:qFormat/>
    <w:rsid w:val="007F0F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0F6A"/>
    <w:rPr>
      <w:i/>
      <w:iCs/>
      <w:color w:val="0F4761" w:themeColor="accent1" w:themeShade="BF"/>
    </w:rPr>
  </w:style>
  <w:style w:type="character" w:styleId="IntenseReference">
    <w:name w:val="Intense Reference"/>
    <w:basedOn w:val="DefaultParagraphFont"/>
    <w:uiPriority w:val="32"/>
    <w:qFormat/>
    <w:rsid w:val="007F0F6A"/>
    <w:rPr>
      <w:b/>
      <w:bCs/>
      <w:smallCaps/>
      <w:color w:val="0F4761" w:themeColor="accent1" w:themeShade="BF"/>
      <w:spacing w:val="5"/>
    </w:rPr>
  </w:style>
  <w:style w:type="paragraph" w:styleId="Header">
    <w:name w:val="header"/>
    <w:basedOn w:val="Normal"/>
    <w:link w:val="HeaderChar"/>
    <w:uiPriority w:val="99"/>
    <w:unhideWhenUsed/>
    <w:rsid w:val="007F0F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F6A"/>
  </w:style>
  <w:style w:type="paragraph" w:styleId="Footer">
    <w:name w:val="footer"/>
    <w:basedOn w:val="Normal"/>
    <w:link w:val="FooterChar"/>
    <w:uiPriority w:val="99"/>
    <w:unhideWhenUsed/>
    <w:rsid w:val="007F0F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F6A"/>
  </w:style>
  <w:style w:type="table" w:styleId="PlainTable5">
    <w:name w:val="Plain Table 5"/>
    <w:basedOn w:val="TableNormal"/>
    <w:uiPriority w:val="45"/>
    <w:rsid w:val="007F0F6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Heading">
    <w:name w:val="TOC Heading"/>
    <w:basedOn w:val="Heading1"/>
    <w:next w:val="Normal"/>
    <w:uiPriority w:val="39"/>
    <w:unhideWhenUsed/>
    <w:qFormat/>
    <w:rsid w:val="007F0F6A"/>
    <w:pPr>
      <w:spacing w:before="240" w:after="0" w:line="259" w:lineRule="auto"/>
      <w:outlineLvl w:val="9"/>
    </w:pPr>
    <w:rPr>
      <w:rFonts w:asciiTheme="majorHAnsi" w:hAnsiTheme="majorHAnsi"/>
      <w:color w:val="0F4761" w:themeColor="accent1" w:themeShade="BF"/>
      <w:sz w:val="32"/>
      <w:szCs w:val="32"/>
      <w:lang w:val="en-US"/>
    </w:rPr>
  </w:style>
  <w:style w:type="paragraph" w:styleId="TOC1">
    <w:name w:val="toc 1"/>
    <w:basedOn w:val="Normal"/>
    <w:next w:val="Normal"/>
    <w:autoRedefine/>
    <w:uiPriority w:val="39"/>
    <w:unhideWhenUsed/>
    <w:rsid w:val="007F0F6A"/>
    <w:pPr>
      <w:spacing w:after="100"/>
    </w:pPr>
  </w:style>
  <w:style w:type="character" w:styleId="Hyperlink">
    <w:name w:val="Hyperlink"/>
    <w:basedOn w:val="DefaultParagraphFont"/>
    <w:uiPriority w:val="99"/>
    <w:unhideWhenUsed/>
    <w:rsid w:val="007F0F6A"/>
    <w:rPr>
      <w:color w:val="467886" w:themeColor="hyperlink"/>
      <w:u w:val="single"/>
    </w:rPr>
  </w:style>
  <w:style w:type="paragraph" w:styleId="TOC2">
    <w:name w:val="toc 2"/>
    <w:basedOn w:val="Normal"/>
    <w:next w:val="Normal"/>
    <w:autoRedefine/>
    <w:uiPriority w:val="39"/>
    <w:unhideWhenUsed/>
    <w:rsid w:val="008A6FBC"/>
    <w:pPr>
      <w:spacing w:after="100"/>
      <w:ind w:left="220"/>
    </w:pPr>
  </w:style>
  <w:style w:type="character" w:styleId="UnresolvedMention">
    <w:name w:val="Unresolved Mention"/>
    <w:basedOn w:val="DefaultParagraphFont"/>
    <w:uiPriority w:val="99"/>
    <w:semiHidden/>
    <w:unhideWhenUsed/>
    <w:rsid w:val="001826E1"/>
    <w:rPr>
      <w:color w:val="605E5C"/>
      <w:shd w:val="clear" w:color="auto" w:fill="E1DFDD"/>
    </w:rPr>
  </w:style>
  <w:style w:type="character" w:styleId="FollowedHyperlink">
    <w:name w:val="FollowedHyperlink"/>
    <w:basedOn w:val="DefaultParagraphFont"/>
    <w:uiPriority w:val="99"/>
    <w:semiHidden/>
    <w:unhideWhenUsed/>
    <w:rsid w:val="00EF14B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microsoft.com/office/2007/relationships/hdphoto" Target="media/hdphoto1.wdp"/><Relationship Id="rId18" Type="http://schemas.openxmlformats.org/officeDocument/2006/relationships/hyperlink" Target="https://www.legislation.gov.uk/ukpga/2014/23/contents" TargetMode="External"/><Relationship Id="rId26" Type="http://schemas.openxmlformats.org/officeDocument/2006/relationships/hyperlink" Target="https://www.thelancet.com/journals/lancet/article/PIIS0140-6736(20)30367-6/fulltext" TargetMode="External"/><Relationship Id="rId21" Type="http://schemas.openxmlformats.org/officeDocument/2006/relationships/hyperlink" Target="https://www.thelancet.com/journals/laneur/article/PIIS1474-4422(21)00066-1/abstract" TargetMode="External"/><Relationship Id="rId34" Type="http://schemas.openxmlformats.org/officeDocument/2006/relationships/hyperlink" Target="https://www.who.int/news-room/fact-sheets/detail/dementia"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www.cochranelibrary.com/cdsr/doi/10.1002/14651858.CD001190.pub3/full" TargetMode="External"/><Relationship Id="rId25" Type="http://schemas.openxmlformats.org/officeDocument/2006/relationships/hyperlink" Target="https://alz-journals.onlinelibrary.wiley.com/doi/10.1016/j.jalz.2018.02.018" TargetMode="External"/><Relationship Id="rId33" Type="http://schemas.openxmlformats.org/officeDocument/2006/relationships/hyperlink" Target="https://www.nejm.org/doi/10.1056/NEJMoa2212948"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alzheimers.org.uk/what-we-do/policy-and-influencing" TargetMode="External"/><Relationship Id="rId20" Type="http://schemas.openxmlformats.org/officeDocument/2006/relationships/hyperlink" Target="https://www.dementiauk.org/information-and-support/how-we-can-support-you/what-is-an-admiral-nurse/" TargetMode="External"/><Relationship Id="rId29" Type="http://schemas.openxmlformats.org/officeDocument/2006/relationships/hyperlink" Target="https://www.england.nhs.uk/mental-health/dementia/"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researchbriefings.files.parliament.uk/documents/CBP-7547/CBP-7547.pdf" TargetMode="External"/><Relationship Id="rId32" Type="http://schemas.openxmlformats.org/officeDocument/2006/relationships/hyperlink" Target="https://www.nice.org.uk/guidance/ta1012"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dementiastatistics.org/" TargetMode="External"/><Relationship Id="rId23" Type="http://schemas.openxmlformats.org/officeDocument/2006/relationships/hyperlink" Target="https://www.tandfonline.com/doi/full/10.31887/DCNS.2020.22.1/wgaebel" TargetMode="External"/><Relationship Id="rId28" Type="http://schemas.openxmlformats.org/officeDocument/2006/relationships/hyperlink" Target="https://pmc.ncbi.nlm.nih.gov/articles/PMC5836405/" TargetMode="External"/><Relationship Id="rId36"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alz-journals.onlinelibrary.wiley.com/doi/10.1002/trc2.12385" TargetMode="External"/><Relationship Id="rId31" Type="http://schemas.openxmlformats.org/officeDocument/2006/relationships/hyperlink" Target="https://www.nice.org.uk/guidance/ng97"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legislation.gov.uk/ukpga/2010/15/contents" TargetMode="External"/><Relationship Id="rId27" Type="http://schemas.openxmlformats.org/officeDocument/2006/relationships/hyperlink" Target="https://www.legislation.gov.uk/ukpga/1983/20/contents" TargetMode="External"/><Relationship Id="rId30" Type="http://schemas.openxmlformats.org/officeDocument/2006/relationships/hyperlink" Target="https://webarchive.nationalarchives.gov.uk/ukgwa/20250506042016/https:/www.longtermplan.nhs.uk/publication/nhs-long-term-plan/" TargetMode="External"/><Relationship Id="rId35" Type="http://schemas.openxmlformats.org/officeDocument/2006/relationships/hyperlink" Target="https://www.cochranelibrary.com/cdsr/doi/10.1002/14651858.CD005562.pub3/full" TargetMode="External"/><Relationship Id="rId8" Type="http://schemas.openxmlformats.org/officeDocument/2006/relationships/footer" Target="footer1.xm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5E4D80-D38E-4C0E-9777-5BA4908D0C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3949</Words>
  <Characters>22511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Dinu (2329564)</dc:creator>
  <cp:keywords/>
  <dc:description/>
  <cp:lastModifiedBy>Gabriela Dinu (2329564)</cp:lastModifiedBy>
  <cp:revision>57</cp:revision>
  <dcterms:created xsi:type="dcterms:W3CDTF">2026-07-01T09:52:00Z</dcterms:created>
  <dcterms:modified xsi:type="dcterms:W3CDTF">2026-07-14T17:23:00Z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6b2b666c-c27b-4d77-bca1-7e7963f7a891</vt:lpwstr>
  </property>
</Properties>
</file>