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92539" w14:textId="77777777" w:rsidR="00B255BB" w:rsidRDefault="4835035B" w:rsidP="4835035B">
      <w:pPr>
        <w:pStyle w:val="NormalWeb"/>
        <w:spacing w:line="480" w:lineRule="auto"/>
        <w:jc w:val="center"/>
        <w:rPr>
          <w:u w:val="single"/>
        </w:rPr>
      </w:pPr>
      <w:r w:rsidRPr="4835035B">
        <w:rPr>
          <w:u w:val="single"/>
        </w:rPr>
        <w:t>Essay one – Maintaining Professional Standards</w:t>
      </w:r>
    </w:p>
    <w:p w14:paraId="3855EC53" w14:textId="77777777" w:rsidR="00B255BB" w:rsidRPr="00D4055C" w:rsidRDefault="4835035B" w:rsidP="4835035B">
      <w:pPr>
        <w:pStyle w:val="NormalWeb"/>
        <w:spacing w:line="480" w:lineRule="auto"/>
        <w:jc w:val="center"/>
        <w:rPr>
          <w:u w:val="single"/>
        </w:rPr>
      </w:pPr>
      <w:r w:rsidRPr="4835035B">
        <w:rPr>
          <w:u w:val="single"/>
        </w:rPr>
        <w:t>Critically examine policing policies and procedures aimed at reducing misconduct and malpractice by police officers. How might these increase public confidence in police?</w:t>
      </w:r>
      <w:r w:rsidR="00B255BB">
        <w:br/>
      </w:r>
    </w:p>
    <w:p w14:paraId="72F6326D" w14:textId="35B7501C" w:rsidR="00B255BB" w:rsidRPr="00D4055C"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There are numerous policies and procedures in place amongst Police forces across the United Kingdom.  They are in place </w:t>
      </w:r>
      <w:proofErr w:type="gramStart"/>
      <w:r w:rsidRPr="4835035B">
        <w:rPr>
          <w:rFonts w:ascii="Times New Roman" w:eastAsia="Times New Roman" w:hAnsi="Times New Roman" w:cs="Times New Roman"/>
          <w:sz w:val="24"/>
          <w:szCs w:val="24"/>
        </w:rPr>
        <w:t>in order to</w:t>
      </w:r>
      <w:proofErr w:type="gramEnd"/>
      <w:r w:rsidRPr="4835035B">
        <w:rPr>
          <w:rFonts w:ascii="Times New Roman" w:eastAsia="Times New Roman" w:hAnsi="Times New Roman" w:cs="Times New Roman"/>
          <w:sz w:val="24"/>
          <w:szCs w:val="24"/>
        </w:rPr>
        <w:t xml:space="preserve"> reduce the amount of misconduct and malpractice from Police Officers. One of the main Policies within the United Kingdom is, The Police and Criminal Evidence Act 1984. (PACE) (Statute Law Database, 1984.) Following the Brixton, London Riots in 1981, public confidence in the Police was at an unprecedented low in certain communities, due to the racism and systematic ‘over Policing’ that Young Black men were experiencing on almost a daily basis (Lea &amp;Hallsworth, 2012.) An example of this ‘over Policing ‘was Operation Swamp 81, which was a plain clothes Police operation where over one hundred plain clothes Police Officers were deployed to Brixton where they carried out over one thousand stop and searches and carried out over one hundred and fifty arrests over a period of ten days (Blankson, 2023.)</w:t>
      </w:r>
    </w:p>
    <w:p w14:paraId="211F0A73" w14:textId="43E8E9B0" w:rsidR="00B255BB" w:rsidRPr="00D4055C"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 The Police and Criminal Evidence Act was passed following The Scarman Report, which was written up following an inquiry into the Brixton Riots. (Taylor, 1984.) The aim of the Police and Criminal Evidence Act is to ensure that there is a balance between the powers that the Police have access to and the rights and freedom of the public (Home Office, 2023.)</w:t>
      </w:r>
    </w:p>
    <w:p w14:paraId="4AC37EAB" w14:textId="37E13E9E" w:rsidR="00B255BB" w:rsidRPr="00D4055C"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The Police and Criminal Evidence Act is made up of eight Codes of Practice which are in place to ensure Police stick within the remits of their powers. The Codes of Practice lay out the powers that Police have when carrying out. Their duties such as conducting stop and searches, interviewing suspects and powers of arrest by Police officers (Department of Justice, 2023.) The introduction of the Police and Criminal Evidence Act and the Codes of Practice also </w:t>
      </w:r>
      <w:r w:rsidRPr="4835035B">
        <w:rPr>
          <w:rFonts w:ascii="Times New Roman" w:eastAsia="Times New Roman" w:hAnsi="Times New Roman" w:cs="Times New Roman"/>
          <w:sz w:val="24"/>
          <w:szCs w:val="24"/>
        </w:rPr>
        <w:lastRenderedPageBreak/>
        <w:t xml:space="preserve">ensures that Miscarriages of Justices, do not occur and that the wrongful detention of individuals does not happen anymore. An example of a high profile Miscarriage of Justice that occurred before the introduction of the Police and Criminal </w:t>
      </w:r>
      <w:proofErr w:type="gramStart"/>
      <w:r w:rsidRPr="4835035B">
        <w:rPr>
          <w:rFonts w:ascii="Times New Roman" w:eastAsia="Times New Roman" w:hAnsi="Times New Roman" w:cs="Times New Roman"/>
          <w:sz w:val="24"/>
          <w:szCs w:val="24"/>
        </w:rPr>
        <w:t>evidence  Act</w:t>
      </w:r>
      <w:proofErr w:type="gramEnd"/>
      <w:r w:rsidRPr="4835035B">
        <w:rPr>
          <w:rFonts w:ascii="Times New Roman" w:eastAsia="Times New Roman" w:hAnsi="Times New Roman" w:cs="Times New Roman"/>
          <w:sz w:val="24"/>
          <w:szCs w:val="24"/>
        </w:rPr>
        <w:t xml:space="preserve"> 1984 is the case of  the Guildford Four. The Police and Criminal Evidence Act would have prevented this miscarriage of justice as it would have meant the Police would have acted in a more ethical and legal way when interviewing the suspects for the offence (History Editors, 2020.)</w:t>
      </w:r>
    </w:p>
    <w:p w14:paraId="39E1984E" w14:textId="274203F4" w:rsidR="00B255BB" w:rsidRPr="00D4055C"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The Police and Criminal Evidence Act may increase public confidence within the Police as it was drafted and passed to ensure that Police cannot carry out actions that breach the human rights of the public unless, they have a legal power to do so, that is outlined within the Police and Criminal Evidence Act. An example of this is under Code G of the Police and Criminal Evidence Act which states that Police officers may only arrest a suspect should there be a relevant necessity for the arrest and an outcome cannot be met via less intrusive means (Home Office, 2022.) Another way Police forces within the United Kingdom can improve public perception and build more confidence from within the communities in which they Police is by employing individuals from all different backgrounds and walks of life. This is because, by having a more diverse Police force it can improve trust and confidence in the police because the police will accurately represent the communities they serve (South Wales Police, 2024.) Having Police officers from different walks of life can increase the confidence in the Police force because it makes the officers more relatable. Examples of this include hiring officers from ethnic minority backgrounds, women, people from disadvantaged backgrounds and people with disabilities. This is because recently across England and Wales trust in the Police has decreased, especially amongst certain genders and ethnicities, so by having a diverse police force, more communities will feel represented and valued (Hobbs &amp; Brown, 2023.) </w:t>
      </w:r>
    </w:p>
    <w:p w14:paraId="1E9CB344" w14:textId="6C7BF21B" w:rsidR="00B255BB"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The use of Body worn video can be a crucial piece of equipment when it is used to reduce malpractice and misconduct from Police officers across the United Kingdom. Body worn video </w:t>
      </w:r>
      <w:r w:rsidRPr="4835035B">
        <w:rPr>
          <w:rFonts w:ascii="Times New Roman" w:eastAsia="Times New Roman" w:hAnsi="Times New Roman" w:cs="Times New Roman"/>
          <w:sz w:val="24"/>
          <w:szCs w:val="24"/>
        </w:rPr>
        <w:lastRenderedPageBreak/>
        <w:t xml:space="preserve">is a piece of equipment that Police officers wear on their persons and it is used to capture key evidence and it is also used in protecting the public (South Wales Police, 2023.) Body worn videos hold Police officers accountable for their actions and ensures that they are using their powers in a legal and justifiable way.  One way the use of body worn videos hold Police officers accountable is because the footage that is captured can be shared to an individual panel that can scrutinise the Police officers, actions (Murria, 2023.) Body worn cameras can increase confidence in the Police from members of the public because body worn camera footage acts as an independent witness and captures the raw unfiltered and unbiased versions of events (NPCC, 2023.) The capturing of the raw incident can be used as a deterrent for officers who may lie to members of the public, on the other hand if officers do lie the use of the body worn footage can be used as evidence in the publics favour when making a complaint and exposing the officers misconduct. An example of is the Bianca Williams and Ricardo dos Santos, case (Sky News, 2023.) Where Police officers lied on camera about smelling cannabis as grounds for a stop and search. Therefore, the </w:t>
      </w:r>
      <w:proofErr w:type="gramStart"/>
      <w:r w:rsidRPr="4835035B">
        <w:rPr>
          <w:rFonts w:ascii="Times New Roman" w:eastAsia="Times New Roman" w:hAnsi="Times New Roman" w:cs="Times New Roman"/>
          <w:sz w:val="24"/>
          <w:szCs w:val="24"/>
        </w:rPr>
        <w:t>general public</w:t>
      </w:r>
      <w:proofErr w:type="gramEnd"/>
      <w:r w:rsidRPr="4835035B">
        <w:rPr>
          <w:rFonts w:ascii="Times New Roman" w:eastAsia="Times New Roman" w:hAnsi="Times New Roman" w:cs="Times New Roman"/>
          <w:sz w:val="24"/>
          <w:szCs w:val="24"/>
        </w:rPr>
        <w:t xml:space="preserve"> may have more trust in. Police officers as they know that their body worn video holds them accountable. </w:t>
      </w:r>
    </w:p>
    <w:p w14:paraId="7C9603C1" w14:textId="77777777" w:rsidR="00B255BB" w:rsidRPr="00D4055C" w:rsidRDefault="00B255BB" w:rsidP="4835035B">
      <w:pPr>
        <w:spacing w:line="480" w:lineRule="auto"/>
        <w:jc w:val="both"/>
        <w:rPr>
          <w:rFonts w:ascii="Times New Roman" w:eastAsia="Times New Roman" w:hAnsi="Times New Roman" w:cs="Times New Roman"/>
          <w:sz w:val="24"/>
          <w:szCs w:val="24"/>
        </w:rPr>
      </w:pPr>
    </w:p>
    <w:p w14:paraId="221AEAF7" w14:textId="34F0639D" w:rsidR="00B255BB" w:rsidRPr="00D4055C"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In conclusion, there are many different policies and procedures in place across Police forces in England and Wales that can be used and that are in place to increase public confidence in the Police. The more confidence the public have in their Police forces the greater the possibility that the Police force can Police by consent (Home Office, 2012.) Policing by consent all stems from the police being transparent with their powers and using integrity and accountability when exercising those powers. (Andrew, 2023) However on the other hand, it is argued by some people that Police forces care too much about what the public think and have become too “woke.” (Gillespie, 2022.) This means that some people believe Police are acting differently due to what they think the public perception may be instead of acting in a way which is correct.</w:t>
      </w:r>
    </w:p>
    <w:p w14:paraId="7DB4D646" w14:textId="77777777" w:rsidR="00B255BB"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 </w:t>
      </w:r>
    </w:p>
    <w:p w14:paraId="4368EA55" w14:textId="77777777" w:rsidR="00671375" w:rsidRDefault="00671375" w:rsidP="4835035B">
      <w:pPr>
        <w:spacing w:line="480" w:lineRule="auto"/>
        <w:jc w:val="both"/>
        <w:rPr>
          <w:rFonts w:ascii="Times New Roman" w:eastAsia="Times New Roman" w:hAnsi="Times New Roman" w:cs="Times New Roman"/>
          <w:sz w:val="24"/>
          <w:szCs w:val="24"/>
          <w:u w:val="single"/>
        </w:rPr>
      </w:pPr>
    </w:p>
    <w:p w14:paraId="38F62FB7" w14:textId="49FAE7B4" w:rsidR="00671375" w:rsidRPr="00671375"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Word Count (1039)</w:t>
      </w:r>
    </w:p>
    <w:p w14:paraId="1D8D45C0" w14:textId="2AF2A023" w:rsidR="00B255BB" w:rsidRPr="004F4C07" w:rsidRDefault="4835035B" w:rsidP="4835035B">
      <w:pPr>
        <w:spacing w:line="480" w:lineRule="auto"/>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u w:val="single"/>
        </w:rPr>
        <w:t>Reference List</w:t>
      </w:r>
    </w:p>
    <w:p w14:paraId="4FB99637" w14:textId="77777777" w:rsidR="00B255BB" w:rsidRDefault="4835035B" w:rsidP="4835035B">
      <w:pPr>
        <w:pStyle w:val="NormalWeb"/>
        <w:spacing w:line="480" w:lineRule="auto"/>
        <w:ind w:hanging="720"/>
        <w:rPr>
          <w:color w:val="000000"/>
        </w:rPr>
      </w:pPr>
      <w:r w:rsidRPr="4835035B">
        <w:rPr>
          <w:color w:val="000000" w:themeColor="text1"/>
        </w:rPr>
        <w:t>Andrew, D. (2023)</w:t>
      </w:r>
      <w:r w:rsidRPr="4835035B">
        <w:rPr>
          <w:rStyle w:val="apple-converted-space"/>
          <w:color w:val="000000" w:themeColor="text1"/>
        </w:rPr>
        <w:t> </w:t>
      </w:r>
      <w:r w:rsidRPr="4835035B">
        <w:rPr>
          <w:i/>
          <w:iCs/>
          <w:color w:val="000000" w:themeColor="text1"/>
        </w:rPr>
        <w:t xml:space="preserve">Why is policing by consent </w:t>
      </w:r>
      <w:proofErr w:type="gramStart"/>
      <w:r w:rsidRPr="4835035B">
        <w:rPr>
          <w:i/>
          <w:iCs/>
          <w:color w:val="000000" w:themeColor="text1"/>
        </w:rPr>
        <w:t>important?</w:t>
      </w:r>
      <w:r w:rsidRPr="4835035B">
        <w:rPr>
          <w:color w:val="000000" w:themeColor="text1"/>
        </w:rPr>
        <w:t>,</w:t>
      </w:r>
      <w:proofErr w:type="gramEnd"/>
      <w:r w:rsidRPr="4835035B">
        <w:rPr>
          <w:rStyle w:val="apple-converted-space"/>
          <w:color w:val="000000" w:themeColor="text1"/>
        </w:rPr>
        <w:t> </w:t>
      </w:r>
      <w:r w:rsidRPr="4835035B">
        <w:rPr>
          <w:i/>
          <w:iCs/>
          <w:color w:val="000000" w:themeColor="text1"/>
        </w:rPr>
        <w:t>Why is policing by consent important? – Bodyloveconference.com</w:t>
      </w:r>
      <w:r w:rsidRPr="4835035B">
        <w:rPr>
          <w:color w:val="000000" w:themeColor="text1"/>
        </w:rPr>
        <w:t>. Available at: https://www.bodyloveconference.com/writing-hub/why-is-policing-by-consent-important/ (Accessed: 05 May 2024).</w:t>
      </w:r>
      <w:r w:rsidRPr="4835035B">
        <w:rPr>
          <w:rStyle w:val="apple-converted-space"/>
          <w:color w:val="000000" w:themeColor="text1"/>
        </w:rPr>
        <w:t> </w:t>
      </w:r>
    </w:p>
    <w:p w14:paraId="1DC4900D" w14:textId="77777777" w:rsidR="00B255BB" w:rsidRDefault="4835035B" w:rsidP="4835035B">
      <w:pPr>
        <w:pStyle w:val="NormalWeb"/>
        <w:spacing w:line="480" w:lineRule="auto"/>
        <w:ind w:hanging="720"/>
        <w:rPr>
          <w:color w:val="000000"/>
        </w:rPr>
      </w:pPr>
      <w:r w:rsidRPr="4835035B">
        <w:rPr>
          <w:color w:val="000000" w:themeColor="text1"/>
        </w:rPr>
        <w:t>Blankson, P. (2023)</w:t>
      </w:r>
      <w:r w:rsidRPr="4835035B">
        <w:rPr>
          <w:rStyle w:val="apple-converted-space"/>
          <w:color w:val="000000" w:themeColor="text1"/>
        </w:rPr>
        <w:t> </w:t>
      </w:r>
      <w:r w:rsidRPr="4835035B">
        <w:rPr>
          <w:i/>
          <w:iCs/>
          <w:color w:val="000000" w:themeColor="text1"/>
        </w:rPr>
        <w:t xml:space="preserve">The great insurrection: Remembering the </w:t>
      </w:r>
      <w:proofErr w:type="spellStart"/>
      <w:r w:rsidRPr="4835035B">
        <w:rPr>
          <w:i/>
          <w:iCs/>
          <w:color w:val="000000" w:themeColor="text1"/>
        </w:rPr>
        <w:t>brixton</w:t>
      </w:r>
      <w:proofErr w:type="spellEnd"/>
      <w:r w:rsidRPr="4835035B">
        <w:rPr>
          <w:i/>
          <w:iCs/>
          <w:color w:val="000000" w:themeColor="text1"/>
        </w:rPr>
        <w:t xml:space="preserve"> uprising</w:t>
      </w:r>
      <w:r w:rsidRPr="4835035B">
        <w:rPr>
          <w:color w:val="000000" w:themeColor="text1"/>
        </w:rPr>
        <w:t>,</w:t>
      </w:r>
      <w:r w:rsidRPr="4835035B">
        <w:rPr>
          <w:rStyle w:val="apple-converted-space"/>
          <w:color w:val="000000" w:themeColor="text1"/>
        </w:rPr>
        <w:t> </w:t>
      </w:r>
      <w:r w:rsidRPr="4835035B">
        <w:rPr>
          <w:i/>
          <w:iCs/>
          <w:color w:val="000000" w:themeColor="text1"/>
        </w:rPr>
        <w:t>Tribune</w:t>
      </w:r>
      <w:r w:rsidRPr="4835035B">
        <w:rPr>
          <w:color w:val="000000" w:themeColor="text1"/>
        </w:rPr>
        <w:t>. Available at: https://tribunemag.co.uk/2023/04/the-great-insurrection-remembering-the-brixton-uprising (Accessed: 05 May 2024).</w:t>
      </w:r>
      <w:r w:rsidRPr="4835035B">
        <w:rPr>
          <w:rStyle w:val="apple-converted-space"/>
          <w:color w:val="000000" w:themeColor="text1"/>
        </w:rPr>
        <w:t> </w:t>
      </w:r>
    </w:p>
    <w:p w14:paraId="18D714EC" w14:textId="77777777" w:rsidR="00B255BB" w:rsidRDefault="4835035B" w:rsidP="4835035B">
      <w:pPr>
        <w:pStyle w:val="NormalWeb"/>
        <w:spacing w:line="480" w:lineRule="auto"/>
        <w:ind w:hanging="720"/>
        <w:rPr>
          <w:color w:val="000000"/>
        </w:rPr>
      </w:pPr>
      <w:r w:rsidRPr="4835035B">
        <w:rPr>
          <w:color w:val="000000" w:themeColor="text1"/>
        </w:rPr>
        <w:t>Department of Justice (2023)</w:t>
      </w:r>
      <w:r w:rsidRPr="4835035B">
        <w:rPr>
          <w:rStyle w:val="apple-converted-space"/>
          <w:color w:val="000000" w:themeColor="text1"/>
        </w:rPr>
        <w:t> </w:t>
      </w:r>
      <w:r w:rsidRPr="4835035B">
        <w:rPr>
          <w:i/>
          <w:iCs/>
          <w:color w:val="000000" w:themeColor="text1"/>
        </w:rPr>
        <w:t>Pace Codes of Practice</w:t>
      </w:r>
      <w:r w:rsidRPr="4835035B">
        <w:rPr>
          <w:color w:val="000000" w:themeColor="text1"/>
        </w:rPr>
        <w:t>,</w:t>
      </w:r>
      <w:r w:rsidRPr="4835035B">
        <w:rPr>
          <w:rStyle w:val="apple-converted-space"/>
          <w:color w:val="000000" w:themeColor="text1"/>
        </w:rPr>
        <w:t> </w:t>
      </w:r>
      <w:r w:rsidRPr="4835035B">
        <w:rPr>
          <w:i/>
          <w:iCs/>
          <w:color w:val="000000" w:themeColor="text1"/>
        </w:rPr>
        <w:t>Justice</w:t>
      </w:r>
      <w:r w:rsidRPr="4835035B">
        <w:rPr>
          <w:color w:val="000000" w:themeColor="text1"/>
        </w:rPr>
        <w:t>. Available at: https://www.justice-ni.gov.uk/articles/pace-codes-practice (Accessed: 05 May 2024).</w:t>
      </w:r>
      <w:r w:rsidRPr="4835035B">
        <w:rPr>
          <w:rStyle w:val="apple-converted-space"/>
          <w:color w:val="000000" w:themeColor="text1"/>
        </w:rPr>
        <w:t> </w:t>
      </w:r>
    </w:p>
    <w:p w14:paraId="0E4A5F2E" w14:textId="77777777" w:rsidR="00B255BB" w:rsidRDefault="4835035B" w:rsidP="4835035B">
      <w:pPr>
        <w:pStyle w:val="NormalWeb"/>
        <w:spacing w:line="480" w:lineRule="auto"/>
        <w:ind w:hanging="720"/>
        <w:rPr>
          <w:color w:val="000000"/>
        </w:rPr>
      </w:pPr>
      <w:r w:rsidRPr="4835035B">
        <w:rPr>
          <w:color w:val="000000" w:themeColor="text1"/>
        </w:rPr>
        <w:t>Gillespie, T. (2022)</w:t>
      </w:r>
      <w:r w:rsidRPr="4835035B">
        <w:rPr>
          <w:rStyle w:val="apple-converted-space"/>
          <w:color w:val="000000" w:themeColor="text1"/>
        </w:rPr>
        <w:t> </w:t>
      </w:r>
      <w:r w:rsidRPr="4835035B">
        <w:rPr>
          <w:i/>
          <w:iCs/>
          <w:color w:val="000000" w:themeColor="text1"/>
        </w:rPr>
        <w:t>British policing has ‘lost its way’ as public fears officers are too ‘</w:t>
      </w:r>
      <w:proofErr w:type="gramStart"/>
      <w:r w:rsidRPr="4835035B">
        <w:rPr>
          <w:i/>
          <w:iCs/>
          <w:color w:val="000000" w:themeColor="text1"/>
        </w:rPr>
        <w:t>woke</w:t>
      </w:r>
      <w:proofErr w:type="gramEnd"/>
      <w:r w:rsidRPr="4835035B">
        <w:rPr>
          <w:i/>
          <w:iCs/>
          <w:color w:val="000000" w:themeColor="text1"/>
        </w:rPr>
        <w:t>’, report finds</w:t>
      </w:r>
      <w:r w:rsidRPr="4835035B">
        <w:rPr>
          <w:color w:val="000000" w:themeColor="text1"/>
        </w:rPr>
        <w:t>,</w:t>
      </w:r>
      <w:r w:rsidRPr="4835035B">
        <w:rPr>
          <w:rStyle w:val="apple-converted-space"/>
          <w:color w:val="000000" w:themeColor="text1"/>
        </w:rPr>
        <w:t> </w:t>
      </w:r>
      <w:r w:rsidRPr="4835035B">
        <w:rPr>
          <w:i/>
          <w:iCs/>
          <w:color w:val="000000" w:themeColor="text1"/>
        </w:rPr>
        <w:t>Sky News</w:t>
      </w:r>
      <w:r w:rsidRPr="4835035B">
        <w:rPr>
          <w:color w:val="000000" w:themeColor="text1"/>
        </w:rPr>
        <w:t>. Available at: https://news.sky.com/story/british-policing-has-lost-its-way-as-public-fears-officers-are-too-woke-report-finds-12685861 (Accessed: 05 May 2024).</w:t>
      </w:r>
      <w:r w:rsidRPr="4835035B">
        <w:rPr>
          <w:rStyle w:val="apple-converted-space"/>
          <w:color w:val="000000" w:themeColor="text1"/>
        </w:rPr>
        <w:t> </w:t>
      </w:r>
    </w:p>
    <w:p w14:paraId="56321916" w14:textId="77777777" w:rsidR="00B255BB" w:rsidRDefault="4835035B" w:rsidP="4835035B">
      <w:pPr>
        <w:pStyle w:val="NormalWeb"/>
        <w:spacing w:line="480" w:lineRule="auto"/>
        <w:ind w:hanging="720"/>
        <w:rPr>
          <w:color w:val="000000"/>
        </w:rPr>
      </w:pPr>
      <w:r w:rsidRPr="4835035B">
        <w:rPr>
          <w:color w:val="000000" w:themeColor="text1"/>
        </w:rPr>
        <w:t>History Editors (2020)</w:t>
      </w:r>
      <w:r w:rsidRPr="4835035B">
        <w:rPr>
          <w:rStyle w:val="apple-converted-space"/>
          <w:color w:val="000000" w:themeColor="text1"/>
        </w:rPr>
        <w:t> </w:t>
      </w:r>
      <w:r w:rsidRPr="4835035B">
        <w:rPr>
          <w:i/>
          <w:iCs/>
          <w:color w:val="000000" w:themeColor="text1"/>
        </w:rPr>
        <w:t>Guildford four are cleared of IRA bombings | October 19, 1989</w:t>
      </w:r>
      <w:r w:rsidRPr="4835035B">
        <w:rPr>
          <w:color w:val="000000" w:themeColor="text1"/>
        </w:rPr>
        <w:t>,</w:t>
      </w:r>
      <w:r w:rsidRPr="4835035B">
        <w:rPr>
          <w:rStyle w:val="apple-converted-space"/>
          <w:color w:val="000000" w:themeColor="text1"/>
        </w:rPr>
        <w:t> </w:t>
      </w:r>
      <w:r w:rsidRPr="4835035B">
        <w:rPr>
          <w:i/>
          <w:iCs/>
          <w:color w:val="000000" w:themeColor="text1"/>
        </w:rPr>
        <w:t>History.com</w:t>
      </w:r>
      <w:r w:rsidRPr="4835035B">
        <w:rPr>
          <w:color w:val="000000" w:themeColor="text1"/>
        </w:rPr>
        <w:t>. Available at: https://www.history.com/this-day-in-history/guildford-four-are-cleared (Accessed: 05 May 2024).</w:t>
      </w:r>
      <w:r w:rsidRPr="4835035B">
        <w:rPr>
          <w:rStyle w:val="apple-converted-space"/>
          <w:color w:val="000000" w:themeColor="text1"/>
        </w:rPr>
        <w:t> </w:t>
      </w:r>
    </w:p>
    <w:p w14:paraId="5AF955BB" w14:textId="77777777" w:rsidR="00B255BB" w:rsidRDefault="4835035B" w:rsidP="4835035B">
      <w:pPr>
        <w:pStyle w:val="NormalWeb"/>
        <w:spacing w:line="480" w:lineRule="auto"/>
        <w:ind w:hanging="720"/>
        <w:rPr>
          <w:color w:val="000000"/>
        </w:rPr>
      </w:pPr>
      <w:r w:rsidRPr="4835035B">
        <w:rPr>
          <w:color w:val="000000" w:themeColor="text1"/>
        </w:rPr>
        <w:t>Hobbs, A. and Brown, R. (2023)</w:t>
      </w:r>
      <w:r w:rsidRPr="4835035B">
        <w:rPr>
          <w:rStyle w:val="apple-converted-space"/>
          <w:color w:val="000000" w:themeColor="text1"/>
        </w:rPr>
        <w:t> </w:t>
      </w:r>
      <w:r w:rsidRPr="4835035B">
        <w:rPr>
          <w:i/>
          <w:iCs/>
          <w:color w:val="000000" w:themeColor="text1"/>
        </w:rPr>
        <w:t>Trust in the police - post parliament</w:t>
      </w:r>
      <w:r w:rsidRPr="4835035B">
        <w:rPr>
          <w:color w:val="000000" w:themeColor="text1"/>
        </w:rPr>
        <w:t>,</w:t>
      </w:r>
      <w:r w:rsidRPr="4835035B">
        <w:rPr>
          <w:rStyle w:val="apple-converted-space"/>
          <w:color w:val="000000" w:themeColor="text1"/>
        </w:rPr>
        <w:t> </w:t>
      </w:r>
      <w:r w:rsidRPr="4835035B">
        <w:rPr>
          <w:i/>
          <w:iCs/>
          <w:color w:val="000000" w:themeColor="text1"/>
        </w:rPr>
        <w:t>UK Parliament Post</w:t>
      </w:r>
      <w:r w:rsidRPr="4835035B">
        <w:rPr>
          <w:color w:val="000000" w:themeColor="text1"/>
        </w:rPr>
        <w:t>. Available at: https://post.parliament.uk/research-briefings/post-pn-0693/. (Accessed: 05 May 2024).</w:t>
      </w:r>
      <w:r w:rsidRPr="4835035B">
        <w:rPr>
          <w:rStyle w:val="apple-converted-space"/>
          <w:color w:val="000000" w:themeColor="text1"/>
        </w:rPr>
        <w:t> </w:t>
      </w:r>
    </w:p>
    <w:p w14:paraId="2A5AC0A0" w14:textId="77777777" w:rsidR="00B255BB" w:rsidRDefault="4835035B" w:rsidP="4835035B">
      <w:pPr>
        <w:pStyle w:val="NormalWeb"/>
        <w:spacing w:line="480" w:lineRule="auto"/>
        <w:ind w:hanging="720"/>
        <w:rPr>
          <w:color w:val="000000"/>
        </w:rPr>
      </w:pPr>
      <w:r w:rsidRPr="4835035B">
        <w:rPr>
          <w:color w:val="000000" w:themeColor="text1"/>
        </w:rPr>
        <w:t>Home Office (2012)</w:t>
      </w:r>
      <w:r w:rsidRPr="4835035B">
        <w:rPr>
          <w:rStyle w:val="apple-converted-space"/>
          <w:color w:val="000000" w:themeColor="text1"/>
        </w:rPr>
        <w:t> </w:t>
      </w:r>
      <w:r w:rsidRPr="4835035B">
        <w:rPr>
          <w:i/>
          <w:iCs/>
          <w:color w:val="000000" w:themeColor="text1"/>
        </w:rPr>
        <w:t>Definition of policing by consent</w:t>
      </w:r>
      <w:r w:rsidRPr="4835035B">
        <w:rPr>
          <w:color w:val="000000" w:themeColor="text1"/>
        </w:rPr>
        <w:t>,</w:t>
      </w:r>
      <w:r w:rsidRPr="4835035B">
        <w:rPr>
          <w:rStyle w:val="apple-converted-space"/>
          <w:color w:val="000000" w:themeColor="text1"/>
        </w:rPr>
        <w:t> </w:t>
      </w:r>
      <w:r w:rsidRPr="4835035B">
        <w:rPr>
          <w:i/>
          <w:iCs/>
          <w:color w:val="000000" w:themeColor="text1"/>
        </w:rPr>
        <w:t>GOV.UK</w:t>
      </w:r>
      <w:r w:rsidRPr="4835035B">
        <w:rPr>
          <w:color w:val="000000" w:themeColor="text1"/>
        </w:rPr>
        <w:t xml:space="preserve">. Available </w:t>
      </w:r>
      <w:proofErr w:type="gramStart"/>
      <w:r w:rsidRPr="4835035B">
        <w:rPr>
          <w:color w:val="000000" w:themeColor="text1"/>
        </w:rPr>
        <w:t>at:https://www.gov.uk/government/publications/policing-by-consent/definition-of-policing-by-consent</w:t>
      </w:r>
      <w:proofErr w:type="gramEnd"/>
      <w:r w:rsidRPr="4835035B">
        <w:rPr>
          <w:color w:val="000000" w:themeColor="text1"/>
        </w:rPr>
        <w:t xml:space="preserve"> (Accessed: 05 May 2024).</w:t>
      </w:r>
      <w:r w:rsidRPr="4835035B">
        <w:rPr>
          <w:rStyle w:val="apple-converted-space"/>
          <w:color w:val="000000" w:themeColor="text1"/>
        </w:rPr>
        <w:t> </w:t>
      </w:r>
      <w:r w:rsidRPr="4835035B">
        <w:rPr>
          <w:color w:val="000000" w:themeColor="text1"/>
        </w:rPr>
        <w:t xml:space="preserve">   </w:t>
      </w:r>
    </w:p>
    <w:p w14:paraId="769C7DDB" w14:textId="77777777" w:rsidR="00B255BB" w:rsidRDefault="4835035B" w:rsidP="4835035B">
      <w:pPr>
        <w:pStyle w:val="NormalWeb"/>
        <w:spacing w:line="480" w:lineRule="auto"/>
        <w:ind w:hanging="720"/>
        <w:rPr>
          <w:color w:val="000000"/>
        </w:rPr>
      </w:pPr>
      <w:r w:rsidRPr="4835035B">
        <w:rPr>
          <w:color w:val="000000" w:themeColor="text1"/>
        </w:rPr>
        <w:t>Home Office (2022)</w:t>
      </w:r>
      <w:r w:rsidRPr="4835035B">
        <w:rPr>
          <w:rStyle w:val="apple-converted-space"/>
          <w:color w:val="000000" w:themeColor="text1"/>
        </w:rPr>
        <w:t> </w:t>
      </w:r>
      <w:r w:rsidRPr="4835035B">
        <w:rPr>
          <w:i/>
          <w:iCs/>
          <w:color w:val="000000" w:themeColor="text1"/>
        </w:rPr>
        <w:t>Pace code G 2012 (accessible)</w:t>
      </w:r>
      <w:r w:rsidRPr="4835035B">
        <w:rPr>
          <w:color w:val="000000" w:themeColor="text1"/>
        </w:rPr>
        <w:t>,</w:t>
      </w:r>
      <w:r w:rsidRPr="4835035B">
        <w:rPr>
          <w:rStyle w:val="apple-converted-space"/>
          <w:color w:val="000000" w:themeColor="text1"/>
        </w:rPr>
        <w:t> </w:t>
      </w:r>
      <w:r w:rsidRPr="4835035B">
        <w:rPr>
          <w:i/>
          <w:iCs/>
          <w:color w:val="000000" w:themeColor="text1"/>
        </w:rPr>
        <w:t>GOV.UK</w:t>
      </w:r>
      <w:r w:rsidRPr="4835035B">
        <w:rPr>
          <w:color w:val="000000" w:themeColor="text1"/>
        </w:rPr>
        <w:t>. Available at: https://www.gov.uk/government/publications/pace-code-g-2012/pace-code-g-2012-accessible. (Accessed: 05 May 2024).</w:t>
      </w:r>
      <w:r w:rsidRPr="4835035B">
        <w:rPr>
          <w:rStyle w:val="apple-converted-space"/>
          <w:color w:val="000000" w:themeColor="text1"/>
        </w:rPr>
        <w:t> </w:t>
      </w:r>
    </w:p>
    <w:p w14:paraId="6C95428D" w14:textId="77777777" w:rsidR="00B255BB" w:rsidRDefault="4835035B" w:rsidP="4835035B">
      <w:pPr>
        <w:pStyle w:val="NormalWeb"/>
        <w:spacing w:line="480" w:lineRule="auto"/>
        <w:ind w:hanging="720"/>
        <w:rPr>
          <w:color w:val="000000"/>
        </w:rPr>
      </w:pPr>
      <w:r w:rsidRPr="4835035B">
        <w:rPr>
          <w:color w:val="000000" w:themeColor="text1"/>
        </w:rPr>
        <w:t>Home Office (2023)</w:t>
      </w:r>
      <w:r w:rsidRPr="4835035B">
        <w:rPr>
          <w:rStyle w:val="apple-converted-space"/>
          <w:color w:val="000000" w:themeColor="text1"/>
        </w:rPr>
        <w:t> </w:t>
      </w:r>
      <w:r w:rsidRPr="4835035B">
        <w:rPr>
          <w:i/>
          <w:iCs/>
          <w:color w:val="000000" w:themeColor="text1"/>
        </w:rPr>
        <w:t>Police and criminal evidence act 1984 (PACE) codes of Practice</w:t>
      </w:r>
      <w:r w:rsidRPr="4835035B">
        <w:rPr>
          <w:color w:val="000000" w:themeColor="text1"/>
        </w:rPr>
        <w:t>,</w:t>
      </w:r>
      <w:r w:rsidRPr="4835035B">
        <w:rPr>
          <w:rStyle w:val="apple-converted-space"/>
          <w:color w:val="000000" w:themeColor="text1"/>
        </w:rPr>
        <w:t> </w:t>
      </w:r>
      <w:r w:rsidRPr="4835035B">
        <w:rPr>
          <w:i/>
          <w:iCs/>
          <w:color w:val="000000" w:themeColor="text1"/>
        </w:rPr>
        <w:t>GOV.UK</w:t>
      </w:r>
      <w:r w:rsidRPr="4835035B">
        <w:rPr>
          <w:color w:val="000000" w:themeColor="text1"/>
        </w:rPr>
        <w:t>. Available at: https://www.gov.uk/guidance/police-and-criminal-evidence-act-1984-pace-codes-of-practice. (Accessed: 05 May 2024).</w:t>
      </w:r>
      <w:r w:rsidRPr="4835035B">
        <w:rPr>
          <w:rStyle w:val="apple-converted-space"/>
          <w:color w:val="000000" w:themeColor="text1"/>
        </w:rPr>
        <w:t> </w:t>
      </w:r>
    </w:p>
    <w:p w14:paraId="35270F23" w14:textId="77777777" w:rsidR="00B255BB" w:rsidRDefault="4835035B" w:rsidP="4835035B">
      <w:pPr>
        <w:pStyle w:val="NormalWeb"/>
        <w:spacing w:line="480" w:lineRule="auto"/>
        <w:ind w:hanging="720"/>
        <w:rPr>
          <w:color w:val="000000"/>
        </w:rPr>
      </w:pPr>
      <w:r w:rsidRPr="4835035B">
        <w:rPr>
          <w:color w:val="000000" w:themeColor="text1"/>
        </w:rPr>
        <w:t>Lea, J. and Hallsworth, S. (2012)</w:t>
      </w:r>
      <w:r w:rsidRPr="4835035B">
        <w:rPr>
          <w:rStyle w:val="apple-converted-space"/>
          <w:color w:val="000000" w:themeColor="text1"/>
        </w:rPr>
        <w:t> </w:t>
      </w:r>
      <w:r w:rsidRPr="4835035B">
        <w:rPr>
          <w:i/>
          <w:iCs/>
          <w:color w:val="000000" w:themeColor="text1"/>
        </w:rPr>
        <w:t>Understanding the riots</w:t>
      </w:r>
      <w:r w:rsidRPr="4835035B">
        <w:rPr>
          <w:color w:val="000000" w:themeColor="text1"/>
        </w:rPr>
        <w:t>,</w:t>
      </w:r>
      <w:r w:rsidRPr="4835035B">
        <w:rPr>
          <w:rStyle w:val="apple-converted-space"/>
          <w:color w:val="000000" w:themeColor="text1"/>
        </w:rPr>
        <w:t> </w:t>
      </w:r>
      <w:r w:rsidRPr="4835035B">
        <w:rPr>
          <w:i/>
          <w:iCs/>
          <w:color w:val="000000" w:themeColor="text1"/>
        </w:rPr>
        <w:t>Understanding the riots | Centre for Crime and Justice Studies</w:t>
      </w:r>
      <w:r w:rsidRPr="4835035B">
        <w:rPr>
          <w:color w:val="000000" w:themeColor="text1"/>
        </w:rPr>
        <w:t>. Available at: https://www.crimeandjustice.org.uk/publications/cjm/article/understanding-riots (Accessed: 22 April 2024).</w:t>
      </w:r>
      <w:r w:rsidRPr="4835035B">
        <w:rPr>
          <w:rStyle w:val="apple-converted-space"/>
          <w:color w:val="000000" w:themeColor="text1"/>
        </w:rPr>
        <w:t> </w:t>
      </w:r>
    </w:p>
    <w:p w14:paraId="367C8B8E" w14:textId="77777777" w:rsidR="00B255BB" w:rsidRDefault="4835035B" w:rsidP="4835035B">
      <w:pPr>
        <w:pStyle w:val="NormalWeb"/>
        <w:spacing w:line="480" w:lineRule="auto"/>
        <w:ind w:hanging="720"/>
        <w:rPr>
          <w:color w:val="000000"/>
        </w:rPr>
      </w:pPr>
      <w:r w:rsidRPr="4835035B">
        <w:rPr>
          <w:color w:val="000000" w:themeColor="text1"/>
        </w:rPr>
        <w:t>Murria, S. (2023)</w:t>
      </w:r>
      <w:r w:rsidRPr="4835035B">
        <w:rPr>
          <w:rStyle w:val="apple-converted-space"/>
          <w:color w:val="000000" w:themeColor="text1"/>
        </w:rPr>
        <w:t> </w:t>
      </w:r>
      <w:r w:rsidRPr="4835035B">
        <w:rPr>
          <w:i/>
          <w:iCs/>
          <w:color w:val="000000" w:themeColor="text1"/>
        </w:rPr>
        <w:t>Policing the police: Bodycams and public scrutiny</w:t>
      </w:r>
      <w:r w:rsidRPr="4835035B">
        <w:rPr>
          <w:color w:val="000000" w:themeColor="text1"/>
        </w:rPr>
        <w:t>,</w:t>
      </w:r>
      <w:r w:rsidRPr="4835035B">
        <w:rPr>
          <w:rStyle w:val="apple-converted-space"/>
          <w:color w:val="000000" w:themeColor="text1"/>
        </w:rPr>
        <w:t> </w:t>
      </w:r>
      <w:r w:rsidRPr="4835035B">
        <w:rPr>
          <w:i/>
          <w:iCs/>
          <w:color w:val="000000" w:themeColor="text1"/>
        </w:rPr>
        <w:t>‘The use of Body-Worn Videos in Community Stop and Search Scrutiny Panels</w:t>
      </w:r>
      <w:proofErr w:type="gramStart"/>
      <w:r w:rsidRPr="4835035B">
        <w:rPr>
          <w:i/>
          <w:iCs/>
          <w:color w:val="000000" w:themeColor="text1"/>
        </w:rPr>
        <w:t>’</w:t>
      </w:r>
      <w:r w:rsidRPr="4835035B">
        <w:rPr>
          <w:rStyle w:val="apple-converted-space"/>
          <w:i/>
          <w:iCs/>
          <w:color w:val="000000" w:themeColor="text1"/>
        </w:rPr>
        <w:t> </w:t>
      </w:r>
      <w:r w:rsidRPr="4835035B">
        <w:rPr>
          <w:color w:val="000000" w:themeColor="text1"/>
        </w:rPr>
        <w:t>.</w:t>
      </w:r>
      <w:proofErr w:type="gramEnd"/>
      <w:r w:rsidRPr="4835035B">
        <w:rPr>
          <w:color w:val="000000" w:themeColor="text1"/>
        </w:rPr>
        <w:t xml:space="preserve"> Available at: https://www.bcu.ac.uk/social-sciences/blog/policing-the-police (Accessed: 05 May 2024).</w:t>
      </w:r>
      <w:r w:rsidRPr="4835035B">
        <w:rPr>
          <w:rStyle w:val="apple-converted-space"/>
          <w:color w:val="000000" w:themeColor="text1"/>
        </w:rPr>
        <w:t> </w:t>
      </w:r>
    </w:p>
    <w:p w14:paraId="63029842" w14:textId="77777777" w:rsidR="00B255BB" w:rsidRDefault="4835035B" w:rsidP="4835035B">
      <w:pPr>
        <w:pStyle w:val="NormalWeb"/>
        <w:spacing w:line="480" w:lineRule="auto"/>
        <w:ind w:hanging="720"/>
        <w:rPr>
          <w:color w:val="000000"/>
        </w:rPr>
      </w:pPr>
      <w:r w:rsidRPr="4835035B">
        <w:rPr>
          <w:color w:val="000000" w:themeColor="text1"/>
        </w:rPr>
        <w:t>NPCC (2023)</w:t>
      </w:r>
      <w:r w:rsidRPr="4835035B">
        <w:rPr>
          <w:rStyle w:val="apple-converted-space"/>
          <w:color w:val="000000" w:themeColor="text1"/>
        </w:rPr>
        <w:t> </w:t>
      </w:r>
      <w:r w:rsidRPr="4835035B">
        <w:rPr>
          <w:i/>
          <w:iCs/>
          <w:color w:val="000000" w:themeColor="text1"/>
        </w:rPr>
        <w:t>2023 body-worn video</w:t>
      </w:r>
      <w:r w:rsidRPr="4835035B">
        <w:rPr>
          <w:color w:val="000000" w:themeColor="text1"/>
        </w:rPr>
        <w:t>,</w:t>
      </w:r>
      <w:r w:rsidRPr="4835035B">
        <w:rPr>
          <w:rStyle w:val="apple-converted-space"/>
          <w:color w:val="000000" w:themeColor="text1"/>
        </w:rPr>
        <w:t> </w:t>
      </w:r>
      <w:r w:rsidRPr="4835035B">
        <w:rPr>
          <w:i/>
          <w:iCs/>
          <w:color w:val="000000" w:themeColor="text1"/>
        </w:rPr>
        <w:t>Police Use of Body Worn Video</w:t>
      </w:r>
      <w:r w:rsidRPr="4835035B">
        <w:rPr>
          <w:color w:val="000000" w:themeColor="text1"/>
        </w:rPr>
        <w:t>. Available at: https://www.npcc.police.uk/SysSiteAssets/media/downloads/publications/publications-log/local-policing-coordination-committee/2023/national-guidance-2023-final.pdf (Accessed: 05 May 2024).</w:t>
      </w:r>
      <w:r w:rsidRPr="4835035B">
        <w:rPr>
          <w:rStyle w:val="apple-converted-space"/>
          <w:color w:val="000000" w:themeColor="text1"/>
        </w:rPr>
        <w:t> </w:t>
      </w:r>
    </w:p>
    <w:p w14:paraId="7597F55D" w14:textId="77777777" w:rsidR="00B255BB" w:rsidRDefault="4835035B" w:rsidP="4835035B">
      <w:pPr>
        <w:pStyle w:val="NormalWeb"/>
        <w:spacing w:line="480" w:lineRule="auto"/>
        <w:ind w:hanging="720"/>
        <w:rPr>
          <w:color w:val="000000"/>
        </w:rPr>
      </w:pPr>
      <w:r w:rsidRPr="4835035B">
        <w:rPr>
          <w:color w:val="000000" w:themeColor="text1"/>
        </w:rPr>
        <w:t>Sky News (2023)</w:t>
      </w:r>
      <w:r w:rsidRPr="4835035B">
        <w:rPr>
          <w:rStyle w:val="apple-converted-space"/>
          <w:color w:val="000000" w:themeColor="text1"/>
        </w:rPr>
        <w:t> </w:t>
      </w:r>
      <w:r w:rsidRPr="4835035B">
        <w:rPr>
          <w:i/>
          <w:iCs/>
          <w:color w:val="000000" w:themeColor="text1"/>
        </w:rPr>
        <w:t>Two police officers sacked after being found guilty of gross misconduct for lying during search of athletes Bianca Williams and Ricardo dos Santos</w:t>
      </w:r>
      <w:r w:rsidRPr="4835035B">
        <w:rPr>
          <w:color w:val="000000" w:themeColor="text1"/>
        </w:rPr>
        <w:t>,</w:t>
      </w:r>
      <w:r w:rsidRPr="4835035B">
        <w:rPr>
          <w:rStyle w:val="apple-converted-space"/>
          <w:color w:val="000000" w:themeColor="text1"/>
        </w:rPr>
        <w:t> </w:t>
      </w:r>
      <w:r w:rsidRPr="4835035B">
        <w:rPr>
          <w:i/>
          <w:iCs/>
          <w:color w:val="000000" w:themeColor="text1"/>
        </w:rPr>
        <w:t>Sky News</w:t>
      </w:r>
      <w:r w:rsidRPr="4835035B">
        <w:rPr>
          <w:color w:val="000000" w:themeColor="text1"/>
        </w:rPr>
        <w:t>. Available at: https://news.sky.com/story/two-metropolitan-police-officers-guilty-of-gross-misconduct-over-stop-and-search-of-team-gb-athlete-and-her-partner-12992204 (Accessed: 05 May 2024).</w:t>
      </w:r>
      <w:r w:rsidRPr="4835035B">
        <w:rPr>
          <w:rStyle w:val="apple-converted-space"/>
          <w:color w:val="000000" w:themeColor="text1"/>
        </w:rPr>
        <w:t> </w:t>
      </w:r>
    </w:p>
    <w:p w14:paraId="61ACE55F" w14:textId="77777777" w:rsidR="00B255BB" w:rsidRDefault="4835035B" w:rsidP="4835035B">
      <w:pPr>
        <w:pStyle w:val="NormalWeb"/>
        <w:spacing w:line="480" w:lineRule="auto"/>
        <w:ind w:hanging="720"/>
        <w:rPr>
          <w:color w:val="000000"/>
        </w:rPr>
      </w:pPr>
      <w:r w:rsidRPr="4835035B">
        <w:rPr>
          <w:color w:val="000000" w:themeColor="text1"/>
        </w:rPr>
        <w:t>South Wales Police (2023)</w:t>
      </w:r>
      <w:r w:rsidRPr="4835035B">
        <w:rPr>
          <w:rStyle w:val="apple-converted-space"/>
          <w:color w:val="000000" w:themeColor="text1"/>
        </w:rPr>
        <w:t> </w:t>
      </w:r>
      <w:r w:rsidRPr="4835035B">
        <w:rPr>
          <w:i/>
          <w:iCs/>
          <w:color w:val="000000" w:themeColor="text1"/>
        </w:rPr>
        <w:t>Body worn video cameras</w:t>
      </w:r>
      <w:r w:rsidRPr="4835035B">
        <w:rPr>
          <w:color w:val="000000" w:themeColor="text1"/>
        </w:rPr>
        <w:t>,</w:t>
      </w:r>
      <w:r w:rsidRPr="4835035B">
        <w:rPr>
          <w:rStyle w:val="apple-converted-space"/>
          <w:color w:val="000000" w:themeColor="text1"/>
        </w:rPr>
        <w:t> </w:t>
      </w:r>
      <w:r w:rsidRPr="4835035B">
        <w:rPr>
          <w:i/>
          <w:iCs/>
          <w:color w:val="000000" w:themeColor="text1"/>
        </w:rPr>
        <w:t>Body Worn Video Cameras</w:t>
      </w:r>
      <w:r w:rsidRPr="4835035B">
        <w:rPr>
          <w:color w:val="000000" w:themeColor="text1"/>
        </w:rPr>
        <w:t>. Available at: https://www.south-wales.police.uk/police-forces/south-wales-police/areas/about-us/about-us/body-worn-video-camera/. (Accessed: 05 May 2024).</w:t>
      </w:r>
      <w:r w:rsidRPr="4835035B">
        <w:rPr>
          <w:rStyle w:val="apple-converted-space"/>
          <w:color w:val="000000" w:themeColor="text1"/>
        </w:rPr>
        <w:t> </w:t>
      </w:r>
    </w:p>
    <w:p w14:paraId="40E85FA1" w14:textId="77777777" w:rsidR="00B255BB" w:rsidRDefault="4835035B" w:rsidP="4835035B">
      <w:pPr>
        <w:pStyle w:val="NormalWeb"/>
        <w:spacing w:line="480" w:lineRule="auto"/>
        <w:ind w:hanging="720"/>
        <w:rPr>
          <w:color w:val="000000"/>
        </w:rPr>
      </w:pPr>
      <w:r w:rsidRPr="4835035B">
        <w:rPr>
          <w:color w:val="000000" w:themeColor="text1"/>
        </w:rPr>
        <w:t>South Wales Police (2024)</w:t>
      </w:r>
      <w:r w:rsidRPr="4835035B">
        <w:rPr>
          <w:rStyle w:val="apple-converted-space"/>
          <w:color w:val="000000" w:themeColor="text1"/>
        </w:rPr>
        <w:t> </w:t>
      </w:r>
      <w:r w:rsidRPr="4835035B">
        <w:rPr>
          <w:i/>
          <w:iCs/>
          <w:color w:val="000000" w:themeColor="text1"/>
        </w:rPr>
        <w:t>Equality, diversity and inclusion: Recruitment</w:t>
      </w:r>
      <w:r w:rsidRPr="4835035B">
        <w:rPr>
          <w:color w:val="000000" w:themeColor="text1"/>
        </w:rPr>
        <w:t>,</w:t>
      </w:r>
      <w:r w:rsidRPr="4835035B">
        <w:rPr>
          <w:rStyle w:val="apple-converted-space"/>
          <w:color w:val="000000" w:themeColor="text1"/>
        </w:rPr>
        <w:t> </w:t>
      </w:r>
      <w:r w:rsidRPr="4835035B">
        <w:rPr>
          <w:i/>
          <w:iCs/>
          <w:color w:val="000000" w:themeColor="text1"/>
        </w:rPr>
        <w:t>Recruitment</w:t>
      </w:r>
      <w:r w:rsidRPr="4835035B">
        <w:rPr>
          <w:color w:val="000000" w:themeColor="text1"/>
        </w:rPr>
        <w:t>. Available at: https://www.south-wales.police.uk/police-forces/south-wales-police/areas/careers/careers/equality-diversity-and-inclusion-recruitment (Accessed: 05 May 2024).</w:t>
      </w:r>
      <w:r w:rsidRPr="4835035B">
        <w:rPr>
          <w:rStyle w:val="apple-converted-space"/>
          <w:color w:val="000000" w:themeColor="text1"/>
        </w:rPr>
        <w:t> </w:t>
      </w:r>
    </w:p>
    <w:p w14:paraId="2DA96F78" w14:textId="77777777" w:rsidR="00B255BB" w:rsidRDefault="4835035B" w:rsidP="4835035B">
      <w:pPr>
        <w:pStyle w:val="NormalWeb"/>
        <w:spacing w:line="480" w:lineRule="auto"/>
        <w:ind w:hanging="720"/>
        <w:rPr>
          <w:rStyle w:val="apple-converted-space"/>
          <w:color w:val="000000"/>
        </w:rPr>
      </w:pPr>
      <w:r w:rsidRPr="4835035B">
        <w:rPr>
          <w:color w:val="000000" w:themeColor="text1"/>
        </w:rPr>
        <w:t>Statute Law Database (1984)</w:t>
      </w:r>
      <w:r w:rsidRPr="4835035B">
        <w:rPr>
          <w:rStyle w:val="apple-converted-space"/>
          <w:color w:val="000000" w:themeColor="text1"/>
        </w:rPr>
        <w:t> </w:t>
      </w:r>
      <w:r w:rsidRPr="4835035B">
        <w:rPr>
          <w:i/>
          <w:iCs/>
          <w:color w:val="000000" w:themeColor="text1"/>
        </w:rPr>
        <w:t>Police and criminal evidence act 1984</w:t>
      </w:r>
      <w:r w:rsidRPr="4835035B">
        <w:rPr>
          <w:color w:val="000000" w:themeColor="text1"/>
        </w:rPr>
        <w:t>,</w:t>
      </w:r>
      <w:r w:rsidRPr="4835035B">
        <w:rPr>
          <w:rStyle w:val="apple-converted-space"/>
          <w:color w:val="000000" w:themeColor="text1"/>
        </w:rPr>
        <w:t> </w:t>
      </w:r>
      <w:r w:rsidRPr="4835035B">
        <w:rPr>
          <w:i/>
          <w:iCs/>
          <w:color w:val="000000" w:themeColor="text1"/>
        </w:rPr>
        <w:t>Legislation.gov.uk</w:t>
      </w:r>
      <w:r w:rsidRPr="4835035B">
        <w:rPr>
          <w:color w:val="000000" w:themeColor="text1"/>
        </w:rPr>
        <w:t>. Available at: https://www.legislation.gov.uk/ukpga/1984/60/contents (Accessed: 05 May 2024).</w:t>
      </w:r>
    </w:p>
    <w:p w14:paraId="5826091D" w14:textId="77777777" w:rsidR="00B255BB" w:rsidRDefault="4835035B" w:rsidP="4835035B">
      <w:pPr>
        <w:pStyle w:val="NormalWeb"/>
        <w:spacing w:line="480" w:lineRule="auto"/>
        <w:ind w:hanging="720"/>
        <w:rPr>
          <w:color w:val="000000"/>
        </w:rPr>
      </w:pPr>
      <w:r w:rsidRPr="4835035B">
        <w:rPr>
          <w:color w:val="000000" w:themeColor="text1"/>
        </w:rPr>
        <w:t xml:space="preserve">Taylor, S., 1984. The Scarman Report and explanations of riots. In Scarman and after (pp. 20-34). Pergamon.  </w:t>
      </w:r>
    </w:p>
    <w:p w14:paraId="4638720E" w14:textId="77777777" w:rsidR="00B255BB" w:rsidRDefault="00B255BB" w:rsidP="4835035B">
      <w:pPr>
        <w:pStyle w:val="NormalWeb"/>
        <w:spacing w:line="480" w:lineRule="auto"/>
        <w:ind w:hanging="720"/>
        <w:rPr>
          <w:color w:val="000000"/>
        </w:rPr>
      </w:pPr>
    </w:p>
    <w:p w14:paraId="7E7C58BA" w14:textId="77777777" w:rsidR="00B255BB" w:rsidRPr="00890181" w:rsidRDefault="00B255BB" w:rsidP="4835035B">
      <w:pPr>
        <w:pStyle w:val="NormalWeb"/>
        <w:spacing w:line="480" w:lineRule="auto"/>
        <w:ind w:hanging="720"/>
        <w:jc w:val="both"/>
        <w:rPr>
          <w:color w:val="000000"/>
        </w:rPr>
      </w:pPr>
    </w:p>
    <w:p w14:paraId="4AF77DB4" w14:textId="77777777" w:rsidR="0067118A" w:rsidRDefault="0067118A" w:rsidP="4835035B">
      <w:pPr>
        <w:spacing w:line="480" w:lineRule="auto"/>
        <w:jc w:val="both"/>
        <w:rPr>
          <w:rFonts w:ascii="Times New Roman" w:eastAsia="Times New Roman" w:hAnsi="Times New Roman" w:cs="Times New Roman"/>
          <w:sz w:val="24"/>
          <w:szCs w:val="24"/>
        </w:rPr>
      </w:pPr>
    </w:p>
    <w:p w14:paraId="3981E935" w14:textId="77777777" w:rsidR="0067118A" w:rsidRDefault="0067118A" w:rsidP="4835035B">
      <w:pPr>
        <w:spacing w:line="480" w:lineRule="auto"/>
        <w:jc w:val="both"/>
        <w:rPr>
          <w:rFonts w:ascii="Times New Roman" w:eastAsia="Times New Roman" w:hAnsi="Times New Roman" w:cs="Times New Roman"/>
          <w:sz w:val="24"/>
          <w:szCs w:val="24"/>
        </w:rPr>
      </w:pPr>
    </w:p>
    <w:p w14:paraId="6F605368" w14:textId="77777777" w:rsidR="0067118A" w:rsidRDefault="0067118A" w:rsidP="4835035B">
      <w:pPr>
        <w:spacing w:line="480" w:lineRule="auto"/>
        <w:jc w:val="both"/>
        <w:rPr>
          <w:rFonts w:ascii="Times New Roman" w:eastAsia="Times New Roman" w:hAnsi="Times New Roman" w:cs="Times New Roman"/>
          <w:sz w:val="24"/>
          <w:szCs w:val="24"/>
        </w:rPr>
      </w:pPr>
    </w:p>
    <w:p w14:paraId="2AEF1718" w14:textId="77777777" w:rsidR="0067118A" w:rsidRDefault="0067118A" w:rsidP="4835035B">
      <w:pPr>
        <w:spacing w:line="480" w:lineRule="auto"/>
        <w:jc w:val="both"/>
        <w:rPr>
          <w:rFonts w:ascii="Times New Roman" w:eastAsia="Times New Roman" w:hAnsi="Times New Roman" w:cs="Times New Roman"/>
          <w:sz w:val="24"/>
          <w:szCs w:val="24"/>
        </w:rPr>
      </w:pPr>
    </w:p>
    <w:p w14:paraId="42E9E210" w14:textId="77777777" w:rsidR="0067118A" w:rsidRDefault="0067118A" w:rsidP="4835035B">
      <w:pPr>
        <w:spacing w:line="480" w:lineRule="auto"/>
        <w:jc w:val="both"/>
        <w:rPr>
          <w:rFonts w:ascii="Times New Roman" w:eastAsia="Times New Roman" w:hAnsi="Times New Roman" w:cs="Times New Roman"/>
          <w:sz w:val="24"/>
          <w:szCs w:val="24"/>
        </w:rPr>
      </w:pPr>
    </w:p>
    <w:p w14:paraId="058C1898" w14:textId="77777777" w:rsidR="0067118A" w:rsidRDefault="0067118A" w:rsidP="4835035B">
      <w:pPr>
        <w:spacing w:line="480" w:lineRule="auto"/>
        <w:jc w:val="both"/>
        <w:rPr>
          <w:rFonts w:ascii="Times New Roman" w:eastAsia="Times New Roman" w:hAnsi="Times New Roman" w:cs="Times New Roman"/>
          <w:sz w:val="24"/>
          <w:szCs w:val="24"/>
          <w:u w:val="single"/>
        </w:rPr>
      </w:pPr>
    </w:p>
    <w:p w14:paraId="3DF6B27C" w14:textId="0C088952" w:rsidR="0067118A" w:rsidRDefault="4835035B" w:rsidP="4835035B">
      <w:pPr>
        <w:spacing w:line="480" w:lineRule="auto"/>
        <w:jc w:val="center"/>
        <w:rPr>
          <w:rFonts w:ascii="Times New Roman" w:eastAsia="Times New Roman" w:hAnsi="Times New Roman" w:cs="Times New Roman"/>
          <w:sz w:val="28"/>
          <w:szCs w:val="28"/>
          <w:u w:val="single"/>
        </w:rPr>
      </w:pPr>
      <w:r w:rsidRPr="4835035B">
        <w:rPr>
          <w:rFonts w:ascii="Times New Roman" w:eastAsia="Times New Roman" w:hAnsi="Times New Roman" w:cs="Times New Roman"/>
          <w:sz w:val="28"/>
          <w:szCs w:val="28"/>
          <w:u w:val="single"/>
        </w:rPr>
        <w:t>Essay two – Public Protection What characteristics can make a person vulnerable to exploitation to criminal gangs?</w:t>
      </w:r>
    </w:p>
    <w:p w14:paraId="29F343AA" w14:textId="77777777" w:rsidR="007C2CB5" w:rsidRDefault="007C2CB5" w:rsidP="4835035B">
      <w:pPr>
        <w:spacing w:line="480" w:lineRule="auto"/>
        <w:jc w:val="both"/>
        <w:rPr>
          <w:rFonts w:ascii="Times New Roman" w:eastAsia="Times New Roman" w:hAnsi="Times New Roman" w:cs="Times New Roman"/>
          <w:sz w:val="24"/>
          <w:szCs w:val="24"/>
        </w:rPr>
      </w:pPr>
    </w:p>
    <w:p w14:paraId="23B56563" w14:textId="667C38E6" w:rsidR="00020FDE" w:rsidRPr="00962262"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This essay will explore what characteristics people have that may make them more vulnerable as opposed to others from exploitation from criminal gangs. A criminal gang is defined by the United Nations Office on Drugs and Crime (2023.).  As a group of three or more person who have a common identifying sign that engage in or have been engaged in criminal activity and insight intimidation and fear in other persons.</w:t>
      </w:r>
    </w:p>
    <w:p w14:paraId="44F81A94" w14:textId="0DD308B9" w:rsidR="00144FE8" w:rsidRPr="00962262"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One characteristic that make certain people vulnerable to exploitation from criminal gangs is disabilities such as autism and other learning disabilities (Alexiou, 2020.) One reason why having autism may be a characteristic that gets exploited by members of criminal gangs is the fact that some people with autism struggle to make and find friends and struggle in social situations and settings (NHS, 2022.) This is a factor that gang members can pray upon and use to their advantage to exploit individuals with autism, by pretending to be their friend to gain their trust before exploiting them. This can lead to individuals being exploited by methods such as cuckooing. Cuckooing is a form of exploitation where criminals pray on victims’ vulnerabilities and use it to their advantage to carry out actions such as taking over a victim’s home and forcing the victim to do what their told through threats and violence (Bainbridge, 2022.)</w:t>
      </w:r>
    </w:p>
    <w:p w14:paraId="10B2EA1D" w14:textId="469FC1BF" w:rsidR="000742D5" w:rsidRPr="00962262"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Being a child can be a characteristic that makes an individual more susceptible to being exploited by criminal gangs, </w:t>
      </w:r>
      <w:proofErr w:type="gramStart"/>
      <w:r w:rsidRPr="4835035B">
        <w:rPr>
          <w:rFonts w:ascii="Times New Roman" w:eastAsia="Times New Roman" w:hAnsi="Times New Roman" w:cs="Times New Roman"/>
          <w:sz w:val="24"/>
          <w:szCs w:val="24"/>
        </w:rPr>
        <w:t>due to the fact that</w:t>
      </w:r>
      <w:proofErr w:type="gramEnd"/>
      <w:r w:rsidRPr="4835035B">
        <w:rPr>
          <w:rFonts w:ascii="Times New Roman" w:eastAsia="Times New Roman" w:hAnsi="Times New Roman" w:cs="Times New Roman"/>
          <w:sz w:val="24"/>
          <w:szCs w:val="24"/>
        </w:rPr>
        <w:t xml:space="preserve"> children are highly impressionable, and their decisions can be swayed by other individuals and factors, which causes them to make reckless decisions and effects their overall self-control (Nuwer, 2012.)  Also, children make easy victims for criminal gangs to exploit especially when they are already victims of abuse. An example of this is Sosa </w:t>
      </w:r>
      <w:proofErr w:type="spellStart"/>
      <w:r w:rsidRPr="4835035B">
        <w:rPr>
          <w:rFonts w:ascii="Times New Roman" w:eastAsia="Times New Roman" w:hAnsi="Times New Roman" w:cs="Times New Roman"/>
          <w:sz w:val="24"/>
          <w:szCs w:val="24"/>
        </w:rPr>
        <w:t>Henkoma</w:t>
      </w:r>
      <w:proofErr w:type="spellEnd"/>
      <w:r w:rsidRPr="4835035B">
        <w:rPr>
          <w:rFonts w:ascii="Times New Roman" w:eastAsia="Times New Roman" w:hAnsi="Times New Roman" w:cs="Times New Roman"/>
          <w:sz w:val="24"/>
          <w:szCs w:val="24"/>
        </w:rPr>
        <w:t xml:space="preserve"> who was exploited into county lines drug trafficking at the age of nine after suffering abuse at home and a criminal gang offered to help him if he delivered “a parcel” for them (Hassall &amp; Hesketh, 2024.) This is a sad reality for thousands of children across the United Kingdom who have been targeted by adults who then abuse them and use them for their own gain by getting them to commit offences such as drug dealing and drug trafficking (NSPCC Learning, 2023.) County lines are drug trafficking and organised crime gangs that are involved in the importation and sale of illegal drugs and weapons within the United Kingdom. County Lines gangs use tactics such as coercion, physical and sexual abuse to exploit children into their gangs (Public Health England, 2021.)</w:t>
      </w:r>
    </w:p>
    <w:p w14:paraId="2515C19B" w14:textId="59116997" w:rsidR="00186932" w:rsidRPr="00962262"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Childrens vulnerabilities are also </w:t>
      </w:r>
      <w:proofErr w:type="spellStart"/>
      <w:r w:rsidRPr="4835035B">
        <w:rPr>
          <w:rFonts w:ascii="Times New Roman" w:eastAsia="Times New Roman" w:hAnsi="Times New Roman" w:cs="Times New Roman"/>
          <w:sz w:val="24"/>
          <w:szCs w:val="24"/>
        </w:rPr>
        <w:t>prayed</w:t>
      </w:r>
      <w:proofErr w:type="spellEnd"/>
      <w:r w:rsidRPr="4835035B">
        <w:rPr>
          <w:rFonts w:ascii="Times New Roman" w:eastAsia="Times New Roman" w:hAnsi="Times New Roman" w:cs="Times New Roman"/>
          <w:sz w:val="24"/>
          <w:szCs w:val="24"/>
        </w:rPr>
        <w:t xml:space="preserve"> upon by gang members leading them to be exploited in county line gangs, they are exploited by gangs for other reasons such as sexual abuse. One example of this exploitation is a gang in the Rotherham area, where twenty-four criminal members were arrested for sexually exploiting young girls and committing offences such as rape and human trafficking (Austin, 2024.)</w:t>
      </w:r>
    </w:p>
    <w:p w14:paraId="2A608A84" w14:textId="4F0D9632" w:rsidR="008333D2"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When a person is at an economic disadvantage, they may be more vulnerable to be exploited by criminal gangs, this is because there is often a correlation between individuals of a low economic status joining gangs </w:t>
      </w:r>
      <w:proofErr w:type="gramStart"/>
      <w:r w:rsidRPr="4835035B">
        <w:rPr>
          <w:rFonts w:ascii="Times New Roman" w:eastAsia="Times New Roman" w:hAnsi="Times New Roman" w:cs="Times New Roman"/>
          <w:sz w:val="24"/>
          <w:szCs w:val="24"/>
        </w:rPr>
        <w:t>in an effort to</w:t>
      </w:r>
      <w:proofErr w:type="gramEnd"/>
      <w:r w:rsidRPr="4835035B">
        <w:rPr>
          <w:rFonts w:ascii="Times New Roman" w:eastAsia="Times New Roman" w:hAnsi="Times New Roman" w:cs="Times New Roman"/>
          <w:sz w:val="24"/>
          <w:szCs w:val="24"/>
        </w:rPr>
        <w:t xml:space="preserve"> make money by illegal means (Chen, Voisin &amp; Jacobson, 2016.)  This can make a person vulnerable to exploitation as criminal gangs pray up on the fact that people need money, and they use this as a lure to recruit people into working for them or to commit crimes for them. One of the tactics used by criminal gangs who are looking to exploit victims from low socioeconomic status is to shower them with money and expensive gifts that would usually be out of their means of living (Fazackerley, 2022.) One of the main groups of individuals whose economic disadvantages are targeted by criminal gangs are immigrants to the United Kingdom. This is because criminal gangs target immigrants and charge them extortionate amounts of money in return for them to be smuggled into the United Kingdom (ITV News, 2021.) Only for the immigrants to later realise that they will never be able to re-pay the debt that they owe, criminal gangs will then pray on this vulnerability of not being able to repay the debt and subsequently they often become victims of modern-day slavery. Modern-say slavery is when a person is exploited by another person or group of people for personal or commercial gain and can be done through human trafficking, forced labour and debt bondage for example (Home Office, 2023.)</w:t>
      </w:r>
    </w:p>
    <w:p w14:paraId="7BEE0B6F" w14:textId="28575A83" w:rsidR="00CA3E2D"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To conclude, many groups of people can easily become victims of gang exploitation, due to several characteristics as stated above, such as disabilities, age, ethnicity, socioeconomic factors, and gender. One of the main ways that police can assist vulnerable victims and prevent them from being criminally exploited is </w:t>
      </w:r>
      <w:proofErr w:type="gramStart"/>
      <w:r w:rsidRPr="4835035B">
        <w:rPr>
          <w:rFonts w:ascii="Times New Roman" w:eastAsia="Times New Roman" w:hAnsi="Times New Roman" w:cs="Times New Roman"/>
          <w:sz w:val="24"/>
          <w:szCs w:val="24"/>
        </w:rPr>
        <w:t>through the use of</w:t>
      </w:r>
      <w:proofErr w:type="gramEnd"/>
      <w:r w:rsidRPr="4835035B">
        <w:rPr>
          <w:rFonts w:ascii="Times New Roman" w:eastAsia="Times New Roman" w:hAnsi="Times New Roman" w:cs="Times New Roman"/>
          <w:sz w:val="24"/>
          <w:szCs w:val="24"/>
        </w:rPr>
        <w:t xml:space="preserve"> lawfully sharing information to the relevant partner agencies who can offer support, advice and information to vulnerable victims and their close friends and family. A public protection notification report is one of the most important documents that police officers can share with relevant third partner agencies, such as social services, schools, and hospitals (BCP Council, 2024.) Police should submit a public protection notification whenever they have concerns about any seemingly vulnerable individuals, so that if police have no legal powers to act, they can still be offered support from the relevant agencies. An example of this would be submitting a public protection notification report for a missing child when they have been located.</w:t>
      </w:r>
    </w:p>
    <w:p w14:paraId="0E27A97D" w14:textId="77777777" w:rsidR="007F5470" w:rsidRDefault="007F5470" w:rsidP="4835035B">
      <w:pPr>
        <w:spacing w:line="480" w:lineRule="auto"/>
        <w:jc w:val="both"/>
        <w:rPr>
          <w:rFonts w:ascii="Times New Roman" w:eastAsia="Times New Roman" w:hAnsi="Times New Roman" w:cs="Times New Roman"/>
          <w:sz w:val="24"/>
          <w:szCs w:val="24"/>
        </w:rPr>
      </w:pPr>
    </w:p>
    <w:p w14:paraId="1ECD5AFF" w14:textId="6D274530" w:rsidR="007F5470"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Word Count (920). </w:t>
      </w:r>
    </w:p>
    <w:p w14:paraId="2BBD6A20" w14:textId="075AC5CB" w:rsidR="00671375" w:rsidRDefault="00671375" w:rsidP="4835035B">
      <w:pPr>
        <w:spacing w:line="480" w:lineRule="auto"/>
        <w:jc w:val="both"/>
        <w:rPr>
          <w:rFonts w:ascii="Times New Roman" w:eastAsia="Times New Roman" w:hAnsi="Times New Roman" w:cs="Times New Roman"/>
          <w:sz w:val="24"/>
          <w:szCs w:val="24"/>
          <w:u w:val="single"/>
        </w:rPr>
      </w:pPr>
    </w:p>
    <w:p w14:paraId="32F1821A" w14:textId="77777777" w:rsidR="003C3866" w:rsidRDefault="003C3866" w:rsidP="4835035B">
      <w:pPr>
        <w:spacing w:line="360" w:lineRule="auto"/>
        <w:rPr>
          <w:rFonts w:ascii="Times New Roman" w:eastAsia="Times New Roman" w:hAnsi="Times New Roman" w:cs="Times New Roman"/>
          <w:sz w:val="24"/>
          <w:szCs w:val="24"/>
          <w:u w:val="single"/>
        </w:rPr>
      </w:pPr>
    </w:p>
    <w:p w14:paraId="3323C51A" w14:textId="77777777" w:rsidR="003C3866" w:rsidRDefault="003C3866" w:rsidP="4835035B">
      <w:pPr>
        <w:spacing w:line="360" w:lineRule="auto"/>
        <w:rPr>
          <w:rFonts w:ascii="Times New Roman" w:eastAsia="Times New Roman" w:hAnsi="Times New Roman" w:cs="Times New Roman"/>
          <w:sz w:val="24"/>
          <w:szCs w:val="24"/>
          <w:u w:val="single"/>
        </w:rPr>
      </w:pPr>
    </w:p>
    <w:p w14:paraId="5ABA4FE8" w14:textId="7618DEAF" w:rsidR="00645FD6" w:rsidRPr="00CA3E2D" w:rsidRDefault="4835035B" w:rsidP="4835035B">
      <w:pPr>
        <w:spacing w:line="360" w:lineRule="auto"/>
        <w:rPr>
          <w:rFonts w:ascii="Times New Roman" w:eastAsia="Times New Roman" w:hAnsi="Times New Roman" w:cs="Times New Roman"/>
          <w:sz w:val="24"/>
          <w:szCs w:val="24"/>
          <w:u w:val="single"/>
        </w:rPr>
      </w:pPr>
      <w:r w:rsidRPr="4835035B">
        <w:rPr>
          <w:rFonts w:ascii="Times New Roman" w:eastAsia="Times New Roman" w:hAnsi="Times New Roman" w:cs="Times New Roman"/>
          <w:sz w:val="24"/>
          <w:szCs w:val="24"/>
          <w:u w:val="single"/>
        </w:rPr>
        <w:t>Reference List</w:t>
      </w:r>
    </w:p>
    <w:p w14:paraId="389863C7" w14:textId="77777777" w:rsidR="00645FD6" w:rsidRDefault="4835035B" w:rsidP="4835035B">
      <w:pPr>
        <w:pStyle w:val="NormalWeb"/>
        <w:spacing w:line="360" w:lineRule="auto"/>
        <w:ind w:left="567" w:hanging="567"/>
      </w:pPr>
      <w:r w:rsidRPr="4835035B">
        <w:t xml:space="preserve">Alexiou, G. (2020) </w:t>
      </w:r>
      <w:r w:rsidRPr="4835035B">
        <w:rPr>
          <w:i/>
          <w:iCs/>
        </w:rPr>
        <w:t>No justice, no speech: Autism a deadly hazard when dealing with police</w:t>
      </w:r>
      <w:r w:rsidRPr="4835035B">
        <w:t xml:space="preserve">, </w:t>
      </w:r>
      <w:r w:rsidRPr="4835035B">
        <w:rPr>
          <w:i/>
          <w:iCs/>
        </w:rPr>
        <w:t>Forbes</w:t>
      </w:r>
      <w:r w:rsidRPr="4835035B">
        <w:t xml:space="preserve">. Available at: https://www.forbes.com/sites/gusalexiou/2020/06/14/police-killing-and-criminal-exploitation-dual-threats-to-the-disabled/ (Accessed: 04 May 2024). </w:t>
      </w:r>
    </w:p>
    <w:p w14:paraId="3E303077" w14:textId="597A2D69" w:rsidR="4835035B" w:rsidRDefault="4835035B" w:rsidP="4835035B">
      <w:pPr>
        <w:pStyle w:val="NormalWeb"/>
        <w:spacing w:line="360" w:lineRule="auto"/>
        <w:ind w:left="567" w:hanging="567"/>
      </w:pPr>
    </w:p>
    <w:p w14:paraId="4938A3BB" w14:textId="77777777" w:rsidR="00645FD6" w:rsidRDefault="4835035B" w:rsidP="4835035B">
      <w:pPr>
        <w:pStyle w:val="NormalWeb"/>
        <w:spacing w:line="360" w:lineRule="auto"/>
        <w:ind w:left="567" w:hanging="567"/>
      </w:pPr>
      <w:r w:rsidRPr="4835035B">
        <w:t xml:space="preserve">Austin, J. (2024) </w:t>
      </w:r>
      <w:r w:rsidRPr="4835035B">
        <w:rPr>
          <w:i/>
          <w:iCs/>
        </w:rPr>
        <w:t>Gang of 24 jailed for child sex abuse in latest grooming scandal</w:t>
      </w:r>
      <w:r w:rsidRPr="4835035B">
        <w:t xml:space="preserve">, </w:t>
      </w:r>
      <w:r w:rsidRPr="4835035B">
        <w:rPr>
          <w:i/>
          <w:iCs/>
        </w:rPr>
        <w:t>Express.co.uk</w:t>
      </w:r>
      <w:r w:rsidRPr="4835035B">
        <w:t xml:space="preserve">. Available at: https://www.express.co.uk/news/uk/1893282/Gang-of-24-jailed-child-sex-grooming-Rotherham (Accessed: 04 May 2024). </w:t>
      </w:r>
    </w:p>
    <w:p w14:paraId="0827E63A" w14:textId="01BC8805" w:rsidR="4835035B" w:rsidRDefault="4835035B" w:rsidP="4835035B">
      <w:pPr>
        <w:pStyle w:val="NormalWeb"/>
        <w:spacing w:line="360" w:lineRule="auto"/>
        <w:ind w:left="567" w:hanging="567"/>
      </w:pPr>
    </w:p>
    <w:p w14:paraId="1CEE1FFE" w14:textId="77777777" w:rsidR="00645FD6" w:rsidRDefault="4835035B" w:rsidP="4835035B">
      <w:pPr>
        <w:pStyle w:val="NormalWeb"/>
        <w:spacing w:line="360" w:lineRule="auto"/>
        <w:ind w:left="567" w:hanging="567"/>
      </w:pPr>
      <w:r w:rsidRPr="4835035B">
        <w:t xml:space="preserve">Bainbridge, L. (2022) </w:t>
      </w:r>
      <w:r w:rsidRPr="4835035B">
        <w:rPr>
          <w:i/>
          <w:iCs/>
        </w:rPr>
        <w:t>Understanding and preventing ‘cuckooing’ victimisation</w:t>
      </w:r>
      <w:r w:rsidRPr="4835035B">
        <w:t xml:space="preserve">, </w:t>
      </w:r>
      <w:r w:rsidRPr="4835035B">
        <w:rPr>
          <w:i/>
          <w:iCs/>
        </w:rPr>
        <w:t>College of Policing</w:t>
      </w:r>
      <w:r w:rsidRPr="4835035B">
        <w:t xml:space="preserve">. Available at: https://www.college.police.uk/research/projects/understanding-and-preventing-cuckooing-victimisation (Accessed: 04 May 2024). </w:t>
      </w:r>
    </w:p>
    <w:p w14:paraId="493F5DE9" w14:textId="32E9E0D1" w:rsidR="4835035B" w:rsidRDefault="4835035B" w:rsidP="4835035B">
      <w:pPr>
        <w:pStyle w:val="NormalWeb"/>
        <w:spacing w:line="360" w:lineRule="auto"/>
        <w:ind w:left="567" w:hanging="567"/>
      </w:pPr>
    </w:p>
    <w:p w14:paraId="764E0BB1" w14:textId="4D9575E3" w:rsidR="00645FD6" w:rsidRDefault="442890DA" w:rsidP="4835035B">
      <w:pPr>
        <w:pStyle w:val="NormalWeb"/>
        <w:spacing w:line="360" w:lineRule="auto"/>
        <w:ind w:left="567" w:hanging="567"/>
      </w:pPr>
      <w:r w:rsidRPr="442890DA">
        <w:t>Chen, P., Voisin, D. R., &amp; Jacobson, K. C. (2016). Community Violence Exposure and Adolescent Delinquency: Examining a Spectrum of Promotive Factors. Youth &amp; Society, 48(1), 33-57. https://doi.org/10.1177/0044118X13475827</w:t>
      </w:r>
    </w:p>
    <w:p w14:paraId="2CC8843B" w14:textId="10317EA5" w:rsidR="4835035B" w:rsidRDefault="4835035B" w:rsidP="4835035B">
      <w:pPr>
        <w:pStyle w:val="NormalWeb"/>
        <w:spacing w:line="360" w:lineRule="auto"/>
        <w:ind w:left="567" w:hanging="567"/>
      </w:pPr>
    </w:p>
    <w:p w14:paraId="2B237CE3" w14:textId="77777777" w:rsidR="00645FD6" w:rsidRDefault="4835035B" w:rsidP="4835035B">
      <w:pPr>
        <w:pStyle w:val="NormalWeb"/>
        <w:spacing w:line="360" w:lineRule="auto"/>
        <w:ind w:left="567" w:hanging="567"/>
      </w:pPr>
      <w:r w:rsidRPr="4835035B">
        <w:t xml:space="preserve">BCP Council (2024) </w:t>
      </w:r>
      <w:r w:rsidRPr="4835035B">
        <w:rPr>
          <w:i/>
          <w:iCs/>
        </w:rPr>
        <w:t>Early Years Safeguarding</w:t>
      </w:r>
      <w:r w:rsidRPr="4835035B">
        <w:t xml:space="preserve">, </w:t>
      </w:r>
      <w:r w:rsidRPr="4835035B">
        <w:rPr>
          <w:i/>
          <w:iCs/>
        </w:rPr>
        <w:t>BCP Council</w:t>
      </w:r>
      <w:r w:rsidRPr="4835035B">
        <w:t xml:space="preserve">. Available at: https://www.bcpcouncil.gov.uk/children-young-people-and-families/working-in-childcare/early-years-safeguarding/multi-agency-risk-assessment-conference-and-public-protection-notice-forms. </w:t>
      </w:r>
    </w:p>
    <w:p w14:paraId="0B2388DD" w14:textId="673D8BE2" w:rsidR="4835035B" w:rsidRDefault="4835035B" w:rsidP="4835035B">
      <w:pPr>
        <w:pStyle w:val="NormalWeb"/>
        <w:spacing w:line="360" w:lineRule="auto"/>
        <w:ind w:left="567" w:hanging="567"/>
      </w:pPr>
    </w:p>
    <w:p w14:paraId="0B7AE669" w14:textId="77777777" w:rsidR="00645FD6" w:rsidRDefault="4835035B" w:rsidP="4835035B">
      <w:pPr>
        <w:pStyle w:val="NormalWeb"/>
        <w:spacing w:line="360" w:lineRule="auto"/>
        <w:ind w:left="567" w:hanging="567"/>
      </w:pPr>
      <w:r w:rsidRPr="4835035B">
        <w:t xml:space="preserve">Fazackerley, A. (2022) </w:t>
      </w:r>
      <w:r w:rsidRPr="4835035B">
        <w:rPr>
          <w:i/>
          <w:iCs/>
        </w:rPr>
        <w:t>Burgers and Coats: County lines gangs exploit hardship to recruit UK kids</w:t>
      </w:r>
      <w:r w:rsidRPr="4835035B">
        <w:t xml:space="preserve">, </w:t>
      </w:r>
      <w:r w:rsidRPr="4835035B">
        <w:rPr>
          <w:i/>
          <w:iCs/>
        </w:rPr>
        <w:t>The Guardian</w:t>
      </w:r>
      <w:r w:rsidRPr="4835035B">
        <w:t xml:space="preserve">. Available at: https://www.theguardian.com/uk-news/2022/dec/10/county-lines-gangs-cost-of-living-crisis (Accessed: 04 May 2024). </w:t>
      </w:r>
    </w:p>
    <w:p w14:paraId="04E60ABD" w14:textId="77777777" w:rsidR="00645FD6" w:rsidRDefault="00645FD6" w:rsidP="4835035B">
      <w:pPr>
        <w:pStyle w:val="NormalWeb"/>
        <w:spacing w:line="360" w:lineRule="auto"/>
        <w:ind w:left="567" w:hanging="567"/>
      </w:pPr>
    </w:p>
    <w:p w14:paraId="083697CE" w14:textId="77777777" w:rsidR="00645FD6" w:rsidRDefault="4835035B" w:rsidP="4835035B">
      <w:pPr>
        <w:pStyle w:val="NormalWeb"/>
        <w:spacing w:line="360" w:lineRule="auto"/>
        <w:ind w:left="567" w:hanging="567"/>
      </w:pPr>
      <w:r w:rsidRPr="4835035B">
        <w:t xml:space="preserve">Hassall, H. and Hesketh, S. (2024) </w:t>
      </w:r>
      <w:r w:rsidRPr="4835035B">
        <w:rPr>
          <w:i/>
          <w:iCs/>
        </w:rPr>
        <w:t>County lines: ‘I was nine when drug dealers recruited me’</w:t>
      </w:r>
      <w:r w:rsidRPr="4835035B">
        <w:t xml:space="preserve">, </w:t>
      </w:r>
      <w:r w:rsidRPr="4835035B">
        <w:rPr>
          <w:i/>
          <w:iCs/>
        </w:rPr>
        <w:t>BBC News</w:t>
      </w:r>
      <w:r w:rsidRPr="4835035B">
        <w:t xml:space="preserve">. Available at: https://www.bbc.com/news/uk-england-merseyside-68066672 (Accessed: 04 May 2024). </w:t>
      </w:r>
    </w:p>
    <w:p w14:paraId="3F4BFDA7" w14:textId="33763FD7" w:rsidR="4835035B" w:rsidRDefault="4835035B" w:rsidP="4835035B">
      <w:pPr>
        <w:pStyle w:val="NormalWeb"/>
        <w:spacing w:line="360" w:lineRule="auto"/>
        <w:ind w:left="567" w:hanging="567"/>
      </w:pPr>
    </w:p>
    <w:p w14:paraId="316A7495" w14:textId="77777777" w:rsidR="00645FD6" w:rsidRDefault="4835035B" w:rsidP="4835035B">
      <w:pPr>
        <w:pStyle w:val="NormalWeb"/>
        <w:spacing w:line="360" w:lineRule="auto"/>
        <w:ind w:left="567" w:hanging="567"/>
      </w:pPr>
      <w:r w:rsidRPr="4835035B">
        <w:t xml:space="preserve">Home Office (2023) </w:t>
      </w:r>
      <w:r w:rsidRPr="4835035B">
        <w:rPr>
          <w:i/>
          <w:iCs/>
        </w:rPr>
        <w:t>Modern slavery</w:t>
      </w:r>
      <w:r w:rsidRPr="4835035B">
        <w:t xml:space="preserve">, </w:t>
      </w:r>
      <w:r w:rsidRPr="4835035B">
        <w:rPr>
          <w:i/>
          <w:iCs/>
        </w:rPr>
        <w:t>GOV.UK</w:t>
      </w:r>
      <w:r w:rsidRPr="4835035B">
        <w:t xml:space="preserve">. Available at: https://www.gov.uk/government/collections/modern-slavery (Accessed: 04 May 2024). </w:t>
      </w:r>
    </w:p>
    <w:p w14:paraId="1023DF2F" w14:textId="54F80337" w:rsidR="4835035B" w:rsidRDefault="4835035B" w:rsidP="4835035B">
      <w:pPr>
        <w:pStyle w:val="NormalWeb"/>
        <w:spacing w:line="360" w:lineRule="auto"/>
        <w:ind w:left="567" w:hanging="567"/>
      </w:pPr>
    </w:p>
    <w:p w14:paraId="5C073B30" w14:textId="77777777" w:rsidR="00645FD6" w:rsidRDefault="4835035B" w:rsidP="4835035B">
      <w:pPr>
        <w:pStyle w:val="NormalWeb"/>
        <w:spacing w:line="360" w:lineRule="auto"/>
        <w:ind w:left="567" w:hanging="567"/>
      </w:pPr>
      <w:r w:rsidRPr="4835035B">
        <w:t xml:space="preserve">ITV News (2021) </w:t>
      </w:r>
      <w:r w:rsidRPr="4835035B">
        <w:rPr>
          <w:i/>
          <w:iCs/>
        </w:rPr>
        <w:t>Migrant channel crossings rising as gangs attracted to ‘high success rate’</w:t>
      </w:r>
      <w:r w:rsidRPr="4835035B">
        <w:t xml:space="preserve">, </w:t>
      </w:r>
      <w:r w:rsidRPr="4835035B">
        <w:rPr>
          <w:i/>
          <w:iCs/>
        </w:rPr>
        <w:t>ITV News</w:t>
      </w:r>
      <w:r w:rsidRPr="4835035B">
        <w:t xml:space="preserve">. Available at: https://www.itv.com/news/2021-05-25/migrant-channel-crossings-rising-as-gangs-attracted-to-high-success-rate (Accessed: 04 May 2024). </w:t>
      </w:r>
    </w:p>
    <w:p w14:paraId="60723425" w14:textId="45F77891" w:rsidR="00645FD6" w:rsidRDefault="00645FD6" w:rsidP="4835035B">
      <w:pPr>
        <w:pStyle w:val="NormalWeb"/>
        <w:spacing w:line="360" w:lineRule="auto"/>
        <w:ind w:left="567" w:hanging="567"/>
      </w:pPr>
    </w:p>
    <w:p w14:paraId="1C769015" w14:textId="463CA1CA" w:rsidR="00645FD6" w:rsidRDefault="4835035B" w:rsidP="4835035B">
      <w:pPr>
        <w:pStyle w:val="NormalWeb"/>
        <w:spacing w:line="360" w:lineRule="auto"/>
        <w:ind w:left="567" w:hanging="567"/>
      </w:pPr>
      <w:r w:rsidRPr="4835035B">
        <w:t xml:space="preserve">NHS (2022) </w:t>
      </w:r>
      <w:r w:rsidRPr="4835035B">
        <w:rPr>
          <w:i/>
          <w:iCs/>
        </w:rPr>
        <w:t>Signs of Autism in Adults</w:t>
      </w:r>
      <w:r w:rsidRPr="4835035B">
        <w:t xml:space="preserve">, </w:t>
      </w:r>
      <w:r w:rsidRPr="4835035B">
        <w:rPr>
          <w:i/>
          <w:iCs/>
        </w:rPr>
        <w:t>NHS choices</w:t>
      </w:r>
      <w:r w:rsidRPr="4835035B">
        <w:t xml:space="preserve">. Available at: https://www.nhs.uk/conditions/autism/signs/adults/ (Accessed: 04 May 2024). </w:t>
      </w:r>
    </w:p>
    <w:p w14:paraId="7489EB18" w14:textId="50488384" w:rsidR="4835035B" w:rsidRDefault="4835035B" w:rsidP="4835035B">
      <w:pPr>
        <w:pStyle w:val="NormalWeb"/>
        <w:spacing w:line="360" w:lineRule="auto"/>
        <w:ind w:left="567" w:hanging="567"/>
      </w:pPr>
    </w:p>
    <w:p w14:paraId="0B8241D6" w14:textId="77777777" w:rsidR="00645FD6" w:rsidRDefault="4835035B" w:rsidP="4835035B">
      <w:pPr>
        <w:pStyle w:val="NormalWeb"/>
        <w:spacing w:line="360" w:lineRule="auto"/>
        <w:ind w:left="567" w:hanging="567"/>
      </w:pPr>
      <w:r w:rsidRPr="4835035B">
        <w:t xml:space="preserve">NSPCC Learning (2023) </w:t>
      </w:r>
      <w:r w:rsidRPr="4835035B">
        <w:rPr>
          <w:i/>
          <w:iCs/>
        </w:rPr>
        <w:t>Protecting children from county lines</w:t>
      </w:r>
      <w:r w:rsidRPr="4835035B">
        <w:t xml:space="preserve">, </w:t>
      </w:r>
      <w:r w:rsidRPr="4835035B">
        <w:rPr>
          <w:i/>
          <w:iCs/>
        </w:rPr>
        <w:t>NSPCC Learning</w:t>
      </w:r>
      <w:r w:rsidRPr="4835035B">
        <w:t xml:space="preserve">. Available at: https://learning.nspcc.org.uk/child-abuse-and-neglect/county-lines/ (Accessed: 04 May 2024). </w:t>
      </w:r>
    </w:p>
    <w:p w14:paraId="03228B90" w14:textId="5FD2B497" w:rsidR="4835035B" w:rsidRDefault="4835035B" w:rsidP="4835035B">
      <w:pPr>
        <w:pStyle w:val="NormalWeb"/>
        <w:spacing w:line="360" w:lineRule="auto"/>
        <w:ind w:left="567" w:hanging="567"/>
      </w:pPr>
    </w:p>
    <w:p w14:paraId="1F2457CE" w14:textId="77777777" w:rsidR="00645FD6" w:rsidRDefault="4835035B" w:rsidP="4835035B">
      <w:pPr>
        <w:pStyle w:val="NormalWeb"/>
        <w:spacing w:line="360" w:lineRule="auto"/>
        <w:ind w:left="567" w:hanging="567"/>
      </w:pPr>
      <w:r w:rsidRPr="4835035B">
        <w:t xml:space="preserve">Nuwer, R. (2012) </w:t>
      </w:r>
      <w:r w:rsidRPr="4835035B">
        <w:rPr>
          <w:i/>
          <w:iCs/>
        </w:rPr>
        <w:t xml:space="preserve">Teenage brains are like soft, impressionable </w:t>
      </w:r>
      <w:proofErr w:type="spellStart"/>
      <w:r w:rsidRPr="4835035B">
        <w:rPr>
          <w:i/>
          <w:iCs/>
        </w:rPr>
        <w:t>play-doh</w:t>
      </w:r>
      <w:proofErr w:type="spellEnd"/>
      <w:r w:rsidRPr="4835035B">
        <w:t xml:space="preserve">, </w:t>
      </w:r>
      <w:r w:rsidRPr="4835035B">
        <w:rPr>
          <w:i/>
          <w:iCs/>
        </w:rPr>
        <w:t>Smithsonian.com</w:t>
      </w:r>
      <w:r w:rsidRPr="4835035B">
        <w:t xml:space="preserve">. Available at: https://www.smithsonianmag.com/smart-news/teenage-brains-are-like-soft-impressionable-play-doh-78650963/ (Accessed: 04 May 2024). </w:t>
      </w:r>
    </w:p>
    <w:p w14:paraId="047DFFE1" w14:textId="7BB21019" w:rsidR="4835035B" w:rsidRDefault="4835035B" w:rsidP="4835035B">
      <w:pPr>
        <w:pStyle w:val="NormalWeb"/>
        <w:spacing w:line="360" w:lineRule="auto"/>
        <w:ind w:left="567" w:hanging="567"/>
      </w:pPr>
    </w:p>
    <w:p w14:paraId="504941FE" w14:textId="77777777" w:rsidR="00645FD6" w:rsidRDefault="4835035B" w:rsidP="4835035B">
      <w:pPr>
        <w:pStyle w:val="NormalWeb"/>
        <w:spacing w:line="360" w:lineRule="auto"/>
        <w:ind w:left="567" w:hanging="567"/>
      </w:pPr>
      <w:r w:rsidRPr="4835035B">
        <w:t xml:space="preserve">Public Health England (2021) </w:t>
      </w:r>
      <w:r w:rsidRPr="4835035B">
        <w:rPr>
          <w:i/>
          <w:iCs/>
        </w:rPr>
        <w:t>County lines exploitation: Applying all our health</w:t>
      </w:r>
      <w:r w:rsidRPr="4835035B">
        <w:t xml:space="preserve">, </w:t>
      </w:r>
      <w:r w:rsidRPr="4835035B">
        <w:rPr>
          <w:i/>
          <w:iCs/>
        </w:rPr>
        <w:t>GOV.UK</w:t>
      </w:r>
      <w:r w:rsidRPr="4835035B">
        <w:t xml:space="preserve">. Available at: https://www.gov.uk/government/publications/county-lines-exploitation-applying-all-our-health/county-lines-exploitation-applying-all-our-health (Accessed: 04 May 2024). </w:t>
      </w:r>
    </w:p>
    <w:p w14:paraId="26A20235" w14:textId="648115DB" w:rsidR="4835035B" w:rsidRDefault="4835035B" w:rsidP="4835035B">
      <w:pPr>
        <w:pStyle w:val="NormalWeb"/>
        <w:spacing w:line="360" w:lineRule="auto"/>
        <w:ind w:left="567" w:hanging="567"/>
      </w:pPr>
    </w:p>
    <w:p w14:paraId="2575840B" w14:textId="77777777" w:rsidR="00645FD6" w:rsidRDefault="4835035B" w:rsidP="4835035B">
      <w:pPr>
        <w:pStyle w:val="NormalWeb"/>
        <w:spacing w:line="360" w:lineRule="auto"/>
        <w:ind w:left="567" w:hanging="567"/>
      </w:pPr>
      <w:r w:rsidRPr="4835035B">
        <w:t xml:space="preserve">United Nations (2023) </w:t>
      </w:r>
      <w:r w:rsidRPr="4835035B">
        <w:rPr>
          <w:i/>
          <w:iCs/>
        </w:rPr>
        <w:t>Firearms module 7 key issues: Criminal gangs</w:t>
      </w:r>
      <w:r w:rsidRPr="4835035B">
        <w:t xml:space="preserve">, </w:t>
      </w:r>
      <w:r w:rsidRPr="4835035B">
        <w:rPr>
          <w:i/>
          <w:iCs/>
        </w:rPr>
        <w:t>Firearms Module 7 Key Issues: Criminal Gangs</w:t>
      </w:r>
      <w:r w:rsidRPr="4835035B">
        <w:t xml:space="preserve">. Available at: https://www.unodc.org/e4j/en/firearms/module-7/key-issues/criminal-gangs.html (Accessed: 04 May 2024). </w:t>
      </w:r>
    </w:p>
    <w:p w14:paraId="51D1D9F9" w14:textId="77777777" w:rsidR="007D5A0A" w:rsidRDefault="007D5A0A" w:rsidP="4835035B">
      <w:pPr>
        <w:spacing w:line="480" w:lineRule="auto"/>
        <w:rPr>
          <w:rFonts w:ascii="Times New Roman" w:eastAsia="Times New Roman" w:hAnsi="Times New Roman" w:cs="Times New Roman"/>
          <w:sz w:val="24"/>
          <w:szCs w:val="24"/>
        </w:rPr>
      </w:pPr>
    </w:p>
    <w:p w14:paraId="1945F044" w14:textId="77777777" w:rsidR="007F5470" w:rsidRDefault="007F5470" w:rsidP="4835035B">
      <w:pPr>
        <w:spacing w:line="480" w:lineRule="auto"/>
        <w:rPr>
          <w:rFonts w:ascii="Times New Roman" w:eastAsia="Times New Roman" w:hAnsi="Times New Roman" w:cs="Times New Roman"/>
          <w:sz w:val="24"/>
          <w:szCs w:val="24"/>
        </w:rPr>
      </w:pPr>
    </w:p>
    <w:p w14:paraId="665DEBF4" w14:textId="77777777" w:rsidR="007F5470" w:rsidRDefault="007F5470" w:rsidP="4835035B">
      <w:pPr>
        <w:spacing w:line="480" w:lineRule="auto"/>
        <w:jc w:val="both"/>
        <w:rPr>
          <w:rFonts w:ascii="Times New Roman" w:eastAsia="Times New Roman" w:hAnsi="Times New Roman" w:cs="Times New Roman"/>
          <w:sz w:val="24"/>
          <w:szCs w:val="24"/>
        </w:rPr>
      </w:pPr>
    </w:p>
    <w:p w14:paraId="5F7B094A" w14:textId="77777777" w:rsidR="007F5470" w:rsidRDefault="007F5470" w:rsidP="4835035B">
      <w:pPr>
        <w:spacing w:line="480" w:lineRule="auto"/>
        <w:jc w:val="both"/>
        <w:rPr>
          <w:rFonts w:ascii="Times New Roman" w:eastAsia="Times New Roman" w:hAnsi="Times New Roman" w:cs="Times New Roman"/>
          <w:sz w:val="24"/>
          <w:szCs w:val="24"/>
        </w:rPr>
      </w:pPr>
    </w:p>
    <w:p w14:paraId="186D47AE" w14:textId="65E0D0C1" w:rsidR="0067118A" w:rsidRDefault="0067118A" w:rsidP="4835035B">
      <w:pPr>
        <w:spacing w:line="480" w:lineRule="auto"/>
        <w:jc w:val="both"/>
        <w:rPr>
          <w:rFonts w:ascii="Times New Roman" w:eastAsia="Times New Roman" w:hAnsi="Times New Roman" w:cs="Times New Roman"/>
          <w:sz w:val="24"/>
          <w:szCs w:val="24"/>
        </w:rPr>
      </w:pPr>
    </w:p>
    <w:p w14:paraId="3C919B99" w14:textId="63C804DA" w:rsidR="4835035B" w:rsidRDefault="4835035B" w:rsidP="4835035B">
      <w:pPr>
        <w:spacing w:line="480" w:lineRule="auto"/>
        <w:jc w:val="both"/>
        <w:rPr>
          <w:rFonts w:ascii="Times New Roman" w:eastAsia="Times New Roman" w:hAnsi="Times New Roman" w:cs="Times New Roman"/>
          <w:sz w:val="24"/>
          <w:szCs w:val="24"/>
        </w:rPr>
      </w:pPr>
    </w:p>
    <w:p w14:paraId="77C5C9E9" w14:textId="77777777" w:rsidR="003C3866" w:rsidRDefault="003C3866" w:rsidP="4835035B">
      <w:pPr>
        <w:spacing w:line="480" w:lineRule="auto"/>
        <w:jc w:val="both"/>
        <w:rPr>
          <w:rFonts w:ascii="Times New Roman" w:eastAsia="Times New Roman" w:hAnsi="Times New Roman" w:cs="Times New Roman"/>
          <w:sz w:val="24"/>
          <w:szCs w:val="24"/>
        </w:rPr>
      </w:pPr>
    </w:p>
    <w:p w14:paraId="1FADA1D2" w14:textId="77777777" w:rsidR="003C3866" w:rsidRDefault="003C3866" w:rsidP="4835035B">
      <w:pPr>
        <w:spacing w:line="480" w:lineRule="auto"/>
        <w:jc w:val="both"/>
        <w:rPr>
          <w:rFonts w:ascii="Times New Roman" w:eastAsia="Times New Roman" w:hAnsi="Times New Roman" w:cs="Times New Roman"/>
          <w:sz w:val="24"/>
          <w:szCs w:val="24"/>
        </w:rPr>
      </w:pPr>
    </w:p>
    <w:p w14:paraId="3AF588C4" w14:textId="77777777" w:rsidR="003C3866" w:rsidRDefault="003C3866" w:rsidP="4835035B">
      <w:pPr>
        <w:spacing w:line="480" w:lineRule="auto"/>
        <w:jc w:val="both"/>
        <w:rPr>
          <w:rFonts w:ascii="Times New Roman" w:eastAsia="Times New Roman" w:hAnsi="Times New Roman" w:cs="Times New Roman"/>
          <w:sz w:val="24"/>
          <w:szCs w:val="24"/>
        </w:rPr>
      </w:pPr>
    </w:p>
    <w:p w14:paraId="463332DB" w14:textId="77777777" w:rsidR="003C3866" w:rsidRDefault="003C3866" w:rsidP="4835035B">
      <w:pPr>
        <w:spacing w:line="480" w:lineRule="auto"/>
        <w:jc w:val="both"/>
        <w:rPr>
          <w:rFonts w:ascii="Times New Roman" w:eastAsia="Times New Roman" w:hAnsi="Times New Roman" w:cs="Times New Roman"/>
          <w:sz w:val="24"/>
          <w:szCs w:val="24"/>
        </w:rPr>
      </w:pPr>
    </w:p>
    <w:p w14:paraId="7CFA5BA6" w14:textId="77777777" w:rsidR="003C3866" w:rsidRDefault="003C3866" w:rsidP="4835035B">
      <w:pPr>
        <w:spacing w:line="480" w:lineRule="auto"/>
        <w:jc w:val="both"/>
        <w:rPr>
          <w:rFonts w:ascii="Times New Roman" w:eastAsia="Times New Roman" w:hAnsi="Times New Roman" w:cs="Times New Roman"/>
          <w:sz w:val="24"/>
          <w:szCs w:val="24"/>
        </w:rPr>
      </w:pPr>
    </w:p>
    <w:p w14:paraId="73E2C8F3" w14:textId="77777777" w:rsidR="003C3866" w:rsidRDefault="003C3866" w:rsidP="4835035B">
      <w:pPr>
        <w:spacing w:line="480" w:lineRule="auto"/>
        <w:jc w:val="both"/>
        <w:rPr>
          <w:rFonts w:ascii="Times New Roman" w:eastAsia="Times New Roman" w:hAnsi="Times New Roman" w:cs="Times New Roman"/>
          <w:sz w:val="24"/>
          <w:szCs w:val="24"/>
        </w:rPr>
      </w:pPr>
    </w:p>
    <w:p w14:paraId="74CDA71F" w14:textId="77777777" w:rsidR="003C3866" w:rsidRDefault="003C3866" w:rsidP="4835035B">
      <w:pPr>
        <w:spacing w:line="480" w:lineRule="auto"/>
        <w:jc w:val="both"/>
        <w:rPr>
          <w:rFonts w:ascii="Times New Roman" w:eastAsia="Times New Roman" w:hAnsi="Times New Roman" w:cs="Times New Roman"/>
          <w:sz w:val="24"/>
          <w:szCs w:val="24"/>
        </w:rPr>
      </w:pPr>
    </w:p>
    <w:p w14:paraId="1D9FF6A7" w14:textId="5E44145A" w:rsidR="00CA3E2D"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Essay three – Vulnerability &amp; Risk. Is early intervention an effective means of preventing young people from offending? What increases or detracts from its effectiveness? Your answer must be based on academic research. Word limit: 1000 words.</w:t>
      </w:r>
    </w:p>
    <w:p w14:paraId="6A142289" w14:textId="77777777" w:rsidR="003C3866" w:rsidRDefault="003C3866" w:rsidP="4835035B">
      <w:pPr>
        <w:spacing w:line="480" w:lineRule="auto"/>
        <w:jc w:val="both"/>
        <w:rPr>
          <w:rFonts w:ascii="Times New Roman" w:eastAsia="Times New Roman" w:hAnsi="Times New Roman" w:cs="Times New Roman"/>
          <w:sz w:val="24"/>
          <w:szCs w:val="24"/>
        </w:rPr>
      </w:pPr>
    </w:p>
    <w:p w14:paraId="3B0193AA" w14:textId="75F3AE82" w:rsidR="00CA3E2D"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PLAN, </w:t>
      </w:r>
    </w:p>
    <w:p w14:paraId="1BDEF2C4" w14:textId="692EC993" w:rsidR="007D5A0A"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VUKNERABILITY WITHIN YOUTHS WHAT TYPE OF VULNERABILITY THEY HAVE. </w:t>
      </w:r>
    </w:p>
    <w:p w14:paraId="0A39C264" w14:textId="0E3C84F9" w:rsidR="007D5A0A"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WHAT TIMES CRIMES ARE THEY MORE LIKELY TO COMMIT (ASB, CRIMINAL DAMAGE, DRUG OFFENCES, KNIFE OFFENCES.)</w:t>
      </w:r>
    </w:p>
    <w:p w14:paraId="524AD9E7" w14:textId="673DC08D" w:rsidR="007D5A0A"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FORMS OF EARLY PREVENTION (SCHOOLS, PCSOS, YOUTH OFFENDING BUREAU, TAKING LEAST INTRUSIVE MEASURE AND FOCUS MORE REHABILITATON)</w:t>
      </w:r>
    </w:p>
    <w:p w14:paraId="68947E98" w14:textId="128D2AEC" w:rsidR="007D5A0A" w:rsidRDefault="007D5A0A" w:rsidP="4835035B">
      <w:pPr>
        <w:spacing w:line="480" w:lineRule="auto"/>
        <w:jc w:val="both"/>
        <w:rPr>
          <w:rFonts w:ascii="Times New Roman" w:eastAsia="Times New Roman" w:hAnsi="Times New Roman" w:cs="Times New Roman"/>
          <w:sz w:val="24"/>
          <w:szCs w:val="24"/>
        </w:rPr>
      </w:pPr>
    </w:p>
    <w:p w14:paraId="03047F49" w14:textId="77777777" w:rsidR="007D5A0A" w:rsidRDefault="007D5A0A" w:rsidP="4835035B">
      <w:pPr>
        <w:spacing w:line="480" w:lineRule="auto"/>
        <w:jc w:val="both"/>
        <w:rPr>
          <w:rFonts w:ascii="Times New Roman" w:eastAsia="Times New Roman" w:hAnsi="Times New Roman" w:cs="Times New Roman"/>
          <w:sz w:val="24"/>
          <w:szCs w:val="24"/>
        </w:rPr>
      </w:pPr>
    </w:p>
    <w:p w14:paraId="4B9CFE3E" w14:textId="77777777" w:rsidR="007D5A0A" w:rsidRDefault="007D5A0A" w:rsidP="4835035B">
      <w:pPr>
        <w:spacing w:line="480" w:lineRule="auto"/>
        <w:jc w:val="both"/>
        <w:rPr>
          <w:rFonts w:ascii="Times New Roman" w:eastAsia="Times New Roman" w:hAnsi="Times New Roman" w:cs="Times New Roman"/>
          <w:sz w:val="24"/>
          <w:szCs w:val="24"/>
        </w:rPr>
      </w:pPr>
    </w:p>
    <w:p w14:paraId="4A1285DD" w14:textId="77777777" w:rsidR="00CA3E2D" w:rsidRDefault="00CA3E2D" w:rsidP="4835035B">
      <w:pPr>
        <w:spacing w:line="480" w:lineRule="auto"/>
        <w:jc w:val="both"/>
        <w:rPr>
          <w:rFonts w:ascii="Times New Roman" w:eastAsia="Times New Roman" w:hAnsi="Times New Roman" w:cs="Times New Roman"/>
          <w:sz w:val="24"/>
          <w:szCs w:val="24"/>
        </w:rPr>
      </w:pPr>
    </w:p>
    <w:p w14:paraId="5B3F3A17" w14:textId="77777777" w:rsidR="00CA3E2D" w:rsidRDefault="00CA3E2D" w:rsidP="4835035B">
      <w:pPr>
        <w:spacing w:line="480" w:lineRule="auto"/>
        <w:jc w:val="both"/>
        <w:rPr>
          <w:rFonts w:ascii="Times New Roman" w:eastAsia="Times New Roman" w:hAnsi="Times New Roman" w:cs="Times New Roman"/>
          <w:sz w:val="24"/>
          <w:szCs w:val="24"/>
        </w:rPr>
      </w:pPr>
    </w:p>
    <w:p w14:paraId="781403EA" w14:textId="77777777" w:rsidR="00CA3E2D" w:rsidRDefault="00CA3E2D" w:rsidP="4835035B">
      <w:pPr>
        <w:spacing w:line="480" w:lineRule="auto"/>
        <w:jc w:val="both"/>
        <w:rPr>
          <w:rFonts w:ascii="Times New Roman" w:eastAsia="Times New Roman" w:hAnsi="Times New Roman" w:cs="Times New Roman"/>
          <w:sz w:val="24"/>
          <w:szCs w:val="24"/>
        </w:rPr>
      </w:pPr>
    </w:p>
    <w:p w14:paraId="664110EB" w14:textId="77777777" w:rsidR="00CA3E2D" w:rsidRDefault="00CA3E2D" w:rsidP="4835035B">
      <w:pPr>
        <w:spacing w:line="480" w:lineRule="auto"/>
        <w:jc w:val="both"/>
        <w:rPr>
          <w:rFonts w:ascii="Times New Roman" w:eastAsia="Times New Roman" w:hAnsi="Times New Roman" w:cs="Times New Roman"/>
          <w:sz w:val="24"/>
          <w:szCs w:val="24"/>
        </w:rPr>
      </w:pPr>
    </w:p>
    <w:p w14:paraId="1C8D08D8" w14:textId="2B822DA3" w:rsidR="00CA3E2D" w:rsidRDefault="00CA3E2D" w:rsidP="4835035B">
      <w:pPr>
        <w:spacing w:line="480" w:lineRule="auto"/>
        <w:jc w:val="both"/>
        <w:rPr>
          <w:rFonts w:ascii="Times New Roman" w:eastAsia="Times New Roman" w:hAnsi="Times New Roman" w:cs="Times New Roman"/>
          <w:sz w:val="24"/>
          <w:szCs w:val="24"/>
        </w:rPr>
      </w:pPr>
    </w:p>
    <w:p w14:paraId="5F21A372" w14:textId="2CAEFD98" w:rsidR="4835035B" w:rsidRDefault="4835035B" w:rsidP="4835035B">
      <w:pPr>
        <w:spacing w:line="480" w:lineRule="auto"/>
        <w:jc w:val="both"/>
        <w:rPr>
          <w:rFonts w:ascii="Times New Roman" w:eastAsia="Times New Roman" w:hAnsi="Times New Roman" w:cs="Times New Roman"/>
          <w:sz w:val="24"/>
          <w:szCs w:val="24"/>
          <w:u w:val="single"/>
        </w:rPr>
      </w:pPr>
    </w:p>
    <w:p w14:paraId="734ABC8C" w14:textId="711486F4" w:rsidR="001C0660" w:rsidRDefault="4835035B" w:rsidP="4835035B">
      <w:pPr>
        <w:spacing w:line="480" w:lineRule="auto"/>
        <w:jc w:val="center"/>
        <w:rPr>
          <w:rFonts w:ascii="Times New Roman" w:eastAsia="Times New Roman" w:hAnsi="Times New Roman" w:cs="Times New Roman"/>
          <w:sz w:val="24"/>
          <w:szCs w:val="24"/>
          <w:u w:val="single"/>
        </w:rPr>
      </w:pPr>
      <w:r w:rsidRPr="4835035B">
        <w:rPr>
          <w:rFonts w:ascii="Times New Roman" w:eastAsia="Times New Roman" w:hAnsi="Times New Roman" w:cs="Times New Roman"/>
          <w:sz w:val="24"/>
          <w:szCs w:val="24"/>
          <w:u w:val="single"/>
        </w:rPr>
        <w:t>Essay four – Valuing Difference &amp; Inclusion. How effectively has policing adapted to accommodate diversity within the UK? Consider the police force itself and/or the way police engage with diverse communities.</w:t>
      </w:r>
    </w:p>
    <w:p w14:paraId="0D733619" w14:textId="32F9D7A9" w:rsidR="004401F6"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In recent history Police forces in the United Kingdom </w:t>
      </w:r>
      <w:proofErr w:type="gramStart"/>
      <w:r w:rsidRPr="4835035B">
        <w:rPr>
          <w:rFonts w:ascii="Times New Roman" w:eastAsia="Times New Roman" w:hAnsi="Times New Roman" w:cs="Times New Roman"/>
          <w:sz w:val="24"/>
          <w:szCs w:val="24"/>
        </w:rPr>
        <w:t>have to</w:t>
      </w:r>
      <w:proofErr w:type="gramEnd"/>
      <w:r w:rsidRPr="4835035B">
        <w:rPr>
          <w:rFonts w:ascii="Times New Roman" w:eastAsia="Times New Roman" w:hAnsi="Times New Roman" w:cs="Times New Roman"/>
          <w:sz w:val="24"/>
          <w:szCs w:val="24"/>
        </w:rPr>
        <w:t xml:space="preserve"> adapt and change their ways to accommodate the ever-changing diverse communities in which they serve. An example of this is since 2001 the number of individuals who identify as ethnic minorities in the UK has increased rapidly. </w:t>
      </w:r>
      <w:proofErr w:type="gramStart"/>
      <w:r w:rsidRPr="4835035B">
        <w:rPr>
          <w:rFonts w:ascii="Times New Roman" w:eastAsia="Times New Roman" w:hAnsi="Times New Roman" w:cs="Times New Roman"/>
          <w:sz w:val="24"/>
          <w:szCs w:val="24"/>
        </w:rPr>
        <w:t>Also</w:t>
      </w:r>
      <w:proofErr w:type="gramEnd"/>
      <w:r w:rsidRPr="4835035B">
        <w:rPr>
          <w:rFonts w:ascii="Times New Roman" w:eastAsia="Times New Roman" w:hAnsi="Times New Roman" w:cs="Times New Roman"/>
          <w:sz w:val="24"/>
          <w:szCs w:val="24"/>
        </w:rPr>
        <w:t xml:space="preserve"> the number of individuals who identify as white has decreased over the same period of time (Government, 2022.) This evidence shows that within the United Kingdom diversity is becoming more of a normality and there are larger groups of people who come from ethnic minority backgrounds. This evidence also means that Police forces across the United Kingdom also </w:t>
      </w:r>
      <w:proofErr w:type="gramStart"/>
      <w:r w:rsidRPr="4835035B">
        <w:rPr>
          <w:rFonts w:ascii="Times New Roman" w:eastAsia="Times New Roman" w:hAnsi="Times New Roman" w:cs="Times New Roman"/>
          <w:sz w:val="24"/>
          <w:szCs w:val="24"/>
        </w:rPr>
        <w:t>have to</w:t>
      </w:r>
      <w:proofErr w:type="gramEnd"/>
      <w:r w:rsidRPr="4835035B">
        <w:rPr>
          <w:rFonts w:ascii="Times New Roman" w:eastAsia="Times New Roman" w:hAnsi="Times New Roman" w:cs="Times New Roman"/>
          <w:sz w:val="24"/>
          <w:szCs w:val="24"/>
        </w:rPr>
        <w:t xml:space="preserve"> change the ways in which they Police communities in order to accommodate for all groups of people who live in those communities. </w:t>
      </w:r>
    </w:p>
    <w:p w14:paraId="2ED63877" w14:textId="4DB5A587" w:rsidR="00680740"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In the past the Polce in the United Kingdom did not embrace changing societies and some individuals within the Police had a racist and narrow-minded outlook on individuals from non-white communities. An example of this is in 1959 when a discussion was tabled to talk about the 1958 Notting Hill Riots. Within the discussion instead of focusing on the white individuals who committed crimes their </w:t>
      </w:r>
      <w:proofErr w:type="gramStart"/>
      <w:r w:rsidRPr="4835035B">
        <w:rPr>
          <w:rFonts w:ascii="Times New Roman" w:eastAsia="Times New Roman" w:hAnsi="Times New Roman" w:cs="Times New Roman"/>
          <w:sz w:val="24"/>
          <w:szCs w:val="24"/>
        </w:rPr>
        <w:t>main focus</w:t>
      </w:r>
      <w:proofErr w:type="gramEnd"/>
      <w:r w:rsidRPr="4835035B">
        <w:rPr>
          <w:rFonts w:ascii="Times New Roman" w:eastAsia="Times New Roman" w:hAnsi="Times New Roman" w:cs="Times New Roman"/>
          <w:sz w:val="24"/>
          <w:szCs w:val="24"/>
        </w:rPr>
        <w:t xml:space="preserve"> was on the “Concentration of colonial immigrants.” (Collins-Wells, 2019.) This shows the narrow mindedness of certain Police forces in the United Kingdom who were not prepared to adapt to the change in their communities. </w:t>
      </w:r>
    </w:p>
    <w:p w14:paraId="5F59FCD9" w14:textId="2B3BB927" w:rsidR="00FD6C9B"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However, since those times Police Forces in the United Kingdom have taken major strides </w:t>
      </w:r>
      <w:proofErr w:type="gramStart"/>
      <w:r w:rsidRPr="4835035B">
        <w:rPr>
          <w:rFonts w:ascii="Times New Roman" w:eastAsia="Times New Roman" w:hAnsi="Times New Roman" w:cs="Times New Roman"/>
          <w:sz w:val="24"/>
          <w:szCs w:val="24"/>
        </w:rPr>
        <w:t>in order to</w:t>
      </w:r>
      <w:proofErr w:type="gramEnd"/>
      <w:r w:rsidRPr="4835035B">
        <w:rPr>
          <w:rFonts w:ascii="Times New Roman" w:eastAsia="Times New Roman" w:hAnsi="Times New Roman" w:cs="Times New Roman"/>
          <w:sz w:val="24"/>
          <w:szCs w:val="24"/>
        </w:rPr>
        <w:t xml:space="preserve"> adapt and to accommodate to diversity in the United Kingdom. One of the ways Police forces in the United Kingdom have adapted to diversity is </w:t>
      </w:r>
      <w:proofErr w:type="gramStart"/>
      <w:r w:rsidRPr="4835035B">
        <w:rPr>
          <w:rFonts w:ascii="Times New Roman" w:eastAsia="Times New Roman" w:hAnsi="Times New Roman" w:cs="Times New Roman"/>
          <w:sz w:val="24"/>
          <w:szCs w:val="24"/>
        </w:rPr>
        <w:t>through the use of</w:t>
      </w:r>
      <w:proofErr w:type="gramEnd"/>
      <w:r w:rsidRPr="4835035B">
        <w:rPr>
          <w:rFonts w:ascii="Times New Roman" w:eastAsia="Times New Roman" w:hAnsi="Times New Roman" w:cs="Times New Roman"/>
          <w:sz w:val="24"/>
          <w:szCs w:val="24"/>
        </w:rPr>
        <w:t xml:space="preserve"> interpreters and language services. In 1984 The Police and Criminal Evidence Act was passed (Home Office, 2022.) One of the points under the Police and Criminal Evidence Act 1984 was that detainees have a legal right to access an interpreter during the evidential process (Fraser, 2020.) These interpreters </w:t>
      </w:r>
      <w:proofErr w:type="gramStart"/>
      <w:r w:rsidRPr="4835035B">
        <w:rPr>
          <w:rFonts w:ascii="Times New Roman" w:eastAsia="Times New Roman" w:hAnsi="Times New Roman" w:cs="Times New Roman"/>
          <w:sz w:val="24"/>
          <w:szCs w:val="24"/>
        </w:rPr>
        <w:t>have to</w:t>
      </w:r>
      <w:proofErr w:type="gramEnd"/>
      <w:r w:rsidRPr="4835035B">
        <w:rPr>
          <w:rFonts w:ascii="Times New Roman" w:eastAsia="Times New Roman" w:hAnsi="Times New Roman" w:cs="Times New Roman"/>
          <w:sz w:val="24"/>
          <w:szCs w:val="24"/>
        </w:rPr>
        <w:t xml:space="preserve"> be fully qualified and vetted to ensure they are providing the highest quality of service possible. This right ensures that a detainee has the right to have an interpreter, while in interview and when having their rights and entitlements explained to them in custody.  The use of interpreters is to ensure that individuals can provide true and accurate accounts and get the fairest possible investigation (ISL, 2022.) Interpreters are also used by Police forces when dealing with victims and witnesses. Under Code C of the Police and Criminal Evidence Act 1984 suspect, witness or victim providing a statement needs </w:t>
      </w:r>
      <w:proofErr w:type="spellStart"/>
      <w:proofErr w:type="gramStart"/>
      <w:r w:rsidRPr="4835035B">
        <w:rPr>
          <w:rFonts w:ascii="Times New Roman" w:eastAsia="Times New Roman" w:hAnsi="Times New Roman" w:cs="Times New Roman"/>
          <w:sz w:val="24"/>
          <w:szCs w:val="24"/>
        </w:rPr>
        <w:t>a</w:t>
      </w:r>
      <w:proofErr w:type="spellEnd"/>
      <w:proofErr w:type="gramEnd"/>
      <w:r w:rsidRPr="4835035B">
        <w:rPr>
          <w:rFonts w:ascii="Times New Roman" w:eastAsia="Times New Roman" w:hAnsi="Times New Roman" w:cs="Times New Roman"/>
          <w:sz w:val="24"/>
          <w:szCs w:val="24"/>
        </w:rPr>
        <w:t xml:space="preserve"> interpreter one must be arranged (UK Visas and Immigration, 2024.) This not only ensure best possible evidence can be captured it also puts individuals in a more comfortable setting as they can communicate in their chosen language. </w:t>
      </w:r>
    </w:p>
    <w:p w14:paraId="0C02408D" w14:textId="11211980" w:rsidR="4835035B" w:rsidRDefault="4835035B" w:rsidP="4835035B">
      <w:pPr>
        <w:spacing w:line="480" w:lineRule="auto"/>
        <w:jc w:val="both"/>
        <w:rPr>
          <w:rFonts w:ascii="Times New Roman" w:eastAsia="Times New Roman" w:hAnsi="Times New Roman" w:cs="Times New Roman"/>
          <w:sz w:val="24"/>
          <w:szCs w:val="24"/>
        </w:rPr>
      </w:pPr>
    </w:p>
    <w:p w14:paraId="4C5CD5BC" w14:textId="1F7EC5F1" w:rsidR="00184B9C"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Another way Police forces in the United Kingdom have adapted </w:t>
      </w:r>
      <w:proofErr w:type="gramStart"/>
      <w:r w:rsidRPr="4835035B">
        <w:rPr>
          <w:rFonts w:ascii="Times New Roman" w:eastAsia="Times New Roman" w:hAnsi="Times New Roman" w:cs="Times New Roman"/>
          <w:sz w:val="24"/>
          <w:szCs w:val="24"/>
        </w:rPr>
        <w:t>in order to</w:t>
      </w:r>
      <w:proofErr w:type="gramEnd"/>
      <w:r w:rsidRPr="4835035B">
        <w:rPr>
          <w:rFonts w:ascii="Times New Roman" w:eastAsia="Times New Roman" w:hAnsi="Times New Roman" w:cs="Times New Roman"/>
          <w:sz w:val="24"/>
          <w:szCs w:val="24"/>
        </w:rPr>
        <w:t xml:space="preserve"> accommodate diversity within the United Kingdom is making internal changes to accommodate their officers and staff of who come from backgrounds. One example of this is the adjustments that have been implemented for Muslim Police officers and staff. Examples of these adjustments are the implementation of prayer rooms in Police facilities in the United Kingdom (College of Policing, 2022.) These prayer rooms are not present in all Police stations and facilities; however, they are becoming more accessible and available across Police forces across the United Kingdom. </w:t>
      </w:r>
    </w:p>
    <w:p w14:paraId="46BEC2CA" w14:textId="33F1AA15" w:rsidR="00AC51B2"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Police forces in the UK have also adapted to diversity by using education to teach officers, staff and member of the public about other faiths and minorities. An example of this is South Wales Police producing media that teaches people about Ramadan celebrations that occur over the holy month (South Wales Police, 2022.) The article talks about officers and staff within South Wales Police that are members of the Muslim </w:t>
      </w:r>
      <w:r w:rsidR="003C3866" w:rsidRPr="4835035B">
        <w:rPr>
          <w:rFonts w:ascii="Times New Roman" w:eastAsia="Times New Roman" w:hAnsi="Times New Roman" w:cs="Times New Roman"/>
          <w:sz w:val="24"/>
          <w:szCs w:val="24"/>
        </w:rPr>
        <w:t>community,</w:t>
      </w:r>
      <w:r w:rsidRPr="4835035B">
        <w:rPr>
          <w:rFonts w:ascii="Times New Roman" w:eastAsia="Times New Roman" w:hAnsi="Times New Roman" w:cs="Times New Roman"/>
          <w:sz w:val="24"/>
          <w:szCs w:val="24"/>
        </w:rPr>
        <w:t xml:space="preserve"> and they discuss their experiences of working within the Police force during Ramadan. </w:t>
      </w:r>
    </w:p>
    <w:p w14:paraId="2A2D79F7" w14:textId="59032A86" w:rsidR="0072441C"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Finally, another Police </w:t>
      </w:r>
      <w:r w:rsidR="003C3866" w:rsidRPr="4835035B">
        <w:rPr>
          <w:rFonts w:ascii="Times New Roman" w:eastAsia="Times New Roman" w:hAnsi="Times New Roman" w:cs="Times New Roman"/>
          <w:sz w:val="24"/>
          <w:szCs w:val="24"/>
        </w:rPr>
        <w:t>force</w:t>
      </w:r>
      <w:r w:rsidRPr="4835035B">
        <w:rPr>
          <w:rFonts w:ascii="Times New Roman" w:eastAsia="Times New Roman" w:hAnsi="Times New Roman" w:cs="Times New Roman"/>
          <w:sz w:val="24"/>
          <w:szCs w:val="24"/>
        </w:rPr>
        <w:t xml:space="preserve"> within the United Kingdom have adapted to accommodate diversity within the United Kingdom is by hiring more individuals from ethnic minority backgrounds. An example of this is between 2007 and 2022 there was an increase of the number of officers from ethnic minority backgrounds with the largest increase coming from officers from Asian backgrounds. The percentage of officers from Asian background increased from 1.7 percent to 3.4 percent (Government, 2023.) This increase of officers from Ethnic minorities shows the adaptation police forces are taking to accommodate diversity and it is a step in the right direction. </w:t>
      </w:r>
    </w:p>
    <w:p w14:paraId="58483188" w14:textId="56A71346" w:rsidR="0072441C" w:rsidRDefault="4835035B" w:rsidP="4835035B">
      <w:pPr>
        <w:spacing w:line="480" w:lineRule="auto"/>
        <w:jc w:val="both"/>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In conclusion, Police within the United Kingdom have taken steps in the right direction </w:t>
      </w:r>
      <w:proofErr w:type="gramStart"/>
      <w:r w:rsidRPr="4835035B">
        <w:rPr>
          <w:rFonts w:ascii="Times New Roman" w:eastAsia="Times New Roman" w:hAnsi="Times New Roman" w:cs="Times New Roman"/>
          <w:sz w:val="24"/>
          <w:szCs w:val="24"/>
        </w:rPr>
        <w:t>in order to</w:t>
      </w:r>
      <w:proofErr w:type="gramEnd"/>
      <w:r w:rsidRPr="4835035B">
        <w:rPr>
          <w:rFonts w:ascii="Times New Roman" w:eastAsia="Times New Roman" w:hAnsi="Times New Roman" w:cs="Times New Roman"/>
          <w:sz w:val="24"/>
          <w:szCs w:val="24"/>
        </w:rPr>
        <w:t xml:space="preserve"> adapt to accommodate for diversity. This adaptation has been effective </w:t>
      </w:r>
      <w:proofErr w:type="gramStart"/>
      <w:r w:rsidRPr="4835035B">
        <w:rPr>
          <w:rFonts w:ascii="Times New Roman" w:eastAsia="Times New Roman" w:hAnsi="Times New Roman" w:cs="Times New Roman"/>
          <w:sz w:val="24"/>
          <w:szCs w:val="24"/>
        </w:rPr>
        <w:t>due to the fact that</w:t>
      </w:r>
      <w:proofErr w:type="gramEnd"/>
      <w:r w:rsidRPr="4835035B">
        <w:rPr>
          <w:rFonts w:ascii="Times New Roman" w:eastAsia="Times New Roman" w:hAnsi="Times New Roman" w:cs="Times New Roman"/>
          <w:sz w:val="24"/>
          <w:szCs w:val="24"/>
        </w:rPr>
        <w:t xml:space="preserve"> approximately sixty five percent of people in the United Kingdom feel that they are represented by the Police forces that serve their community. Even though the changes that have been implemented by Police forces have been effective there is still some considerable improvements that can be made because approximately thirty three percent of individuals state that there is a lack of representation and that it has a negative effect on their relationship with Police (University of Law, 2023.)  However, the changes that have been implemented have been positive and Police in the United Kingdom adapted positively to accommodate diversity. </w:t>
      </w:r>
    </w:p>
    <w:p w14:paraId="7CC34F86" w14:textId="5F52772F" w:rsidR="4835035B" w:rsidRDefault="4835035B" w:rsidP="4835035B">
      <w:pPr>
        <w:spacing w:line="480" w:lineRule="auto"/>
        <w:jc w:val="both"/>
        <w:rPr>
          <w:rFonts w:ascii="Times New Roman" w:eastAsia="Times New Roman" w:hAnsi="Times New Roman" w:cs="Times New Roman"/>
          <w:sz w:val="24"/>
          <w:szCs w:val="24"/>
          <w:u w:val="single"/>
        </w:rPr>
      </w:pPr>
    </w:p>
    <w:p w14:paraId="669FD2AE" w14:textId="3E703D91" w:rsidR="4835035B" w:rsidRDefault="4835035B" w:rsidP="4835035B">
      <w:pPr>
        <w:spacing w:line="360" w:lineRule="auto"/>
        <w:rPr>
          <w:rFonts w:ascii="Times New Roman" w:eastAsia="Times New Roman" w:hAnsi="Times New Roman" w:cs="Times New Roman"/>
          <w:sz w:val="24"/>
          <w:szCs w:val="24"/>
          <w:u w:val="single"/>
        </w:rPr>
      </w:pPr>
      <w:r w:rsidRPr="4835035B">
        <w:rPr>
          <w:rFonts w:ascii="Times New Roman" w:eastAsia="Times New Roman" w:hAnsi="Times New Roman" w:cs="Times New Roman"/>
          <w:sz w:val="24"/>
          <w:szCs w:val="24"/>
          <w:u w:val="single"/>
        </w:rPr>
        <w:t>Reference List.</w:t>
      </w:r>
    </w:p>
    <w:p w14:paraId="56807354" w14:textId="10F4047C" w:rsidR="4835035B" w:rsidRDefault="4835035B" w:rsidP="4835035B">
      <w:pPr>
        <w:spacing w:before="240" w:after="240" w:line="360" w:lineRule="auto"/>
        <w:ind w:left="567" w:hanging="567"/>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College of Policing (2022) Prayer-provisions-workplace-adjustments-for-</w:t>
      </w:r>
      <w:proofErr w:type="spellStart"/>
      <w:r w:rsidRPr="4835035B">
        <w:rPr>
          <w:rFonts w:ascii="Times New Roman" w:eastAsia="Times New Roman" w:hAnsi="Times New Roman" w:cs="Times New Roman"/>
          <w:sz w:val="24"/>
          <w:szCs w:val="24"/>
        </w:rPr>
        <w:t>muslim</w:t>
      </w:r>
      <w:proofErr w:type="spellEnd"/>
      <w:r w:rsidRPr="4835035B">
        <w:rPr>
          <w:rFonts w:ascii="Times New Roman" w:eastAsia="Times New Roman" w:hAnsi="Times New Roman" w:cs="Times New Roman"/>
          <w:sz w:val="24"/>
          <w:szCs w:val="24"/>
        </w:rPr>
        <w:t>-officers ..., Prayer Provisions; Guidance from the National Association of Muslim Police. Available at: https://assets.college.police.uk/s3fs-public/2021-04/prayer-provisions-workplace-adjustments-for-muslim-officers-staff-150321.pdf (Accessed: 05 May 2024).</w:t>
      </w:r>
    </w:p>
    <w:p w14:paraId="7DBFACB0" w14:textId="0A8F64DA" w:rsidR="4835035B" w:rsidRDefault="4835035B" w:rsidP="4835035B">
      <w:pPr>
        <w:spacing w:before="240" w:after="240" w:line="360" w:lineRule="auto"/>
        <w:ind w:left="567" w:hanging="567"/>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Collings-Wells, S. (2019) Policing the </w:t>
      </w:r>
      <w:proofErr w:type="spellStart"/>
      <w:r w:rsidRPr="4835035B">
        <w:rPr>
          <w:rFonts w:ascii="Times New Roman" w:eastAsia="Times New Roman" w:hAnsi="Times New Roman" w:cs="Times New Roman"/>
          <w:sz w:val="24"/>
          <w:szCs w:val="24"/>
        </w:rPr>
        <w:t>windrush</w:t>
      </w:r>
      <w:proofErr w:type="spellEnd"/>
      <w:r w:rsidRPr="4835035B">
        <w:rPr>
          <w:rFonts w:ascii="Times New Roman" w:eastAsia="Times New Roman" w:hAnsi="Times New Roman" w:cs="Times New Roman"/>
          <w:sz w:val="24"/>
          <w:szCs w:val="24"/>
        </w:rPr>
        <w:t xml:space="preserve"> generation, History Today. Available at: https://www.historytoday.com/archive/history-matters/policing-windrush-generation (Accessed: 05 May 2024).</w:t>
      </w:r>
    </w:p>
    <w:p w14:paraId="41272D06" w14:textId="5823DE24" w:rsidR="4835035B" w:rsidRDefault="4835035B" w:rsidP="4835035B">
      <w:pPr>
        <w:spacing w:before="240" w:after="240" w:line="360" w:lineRule="auto"/>
        <w:ind w:left="567" w:hanging="567"/>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Fraser, I. (2020) The new Police Language Services Framework, Linguist Lounge - UK’s leading translation news source. Available at: http://www.linguistlounge.org/ (Accessed: 05 May 2024).</w:t>
      </w:r>
    </w:p>
    <w:p w14:paraId="3DCF2967" w14:textId="629E960F" w:rsidR="4835035B" w:rsidRDefault="4835035B" w:rsidP="4835035B">
      <w:pPr>
        <w:spacing w:before="240" w:after="240" w:line="360" w:lineRule="auto"/>
        <w:ind w:left="567" w:hanging="567"/>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Government (2022) Population of </w:t>
      </w:r>
      <w:proofErr w:type="spellStart"/>
      <w:r w:rsidRPr="4835035B">
        <w:rPr>
          <w:rFonts w:ascii="Times New Roman" w:eastAsia="Times New Roman" w:hAnsi="Times New Roman" w:cs="Times New Roman"/>
          <w:sz w:val="24"/>
          <w:szCs w:val="24"/>
        </w:rPr>
        <w:t>england</w:t>
      </w:r>
      <w:proofErr w:type="spellEnd"/>
      <w:r w:rsidRPr="4835035B">
        <w:rPr>
          <w:rFonts w:ascii="Times New Roman" w:eastAsia="Times New Roman" w:hAnsi="Times New Roman" w:cs="Times New Roman"/>
          <w:sz w:val="24"/>
          <w:szCs w:val="24"/>
        </w:rPr>
        <w:t xml:space="preserve"> and Wales, GOV.UK Ethnicity facts and figures. Available at: https://www.ethnicity-facts-figures.service.gov.uk/uk-population-by-ethnicity/national-and-regional-populations/population-of-england-and-wales/latest/ (Accessed: 05 May 2024).</w:t>
      </w:r>
    </w:p>
    <w:p w14:paraId="10CCE042" w14:textId="6A6FF6E9" w:rsidR="4835035B" w:rsidRDefault="4835035B" w:rsidP="4835035B">
      <w:pPr>
        <w:spacing w:before="240" w:after="240" w:line="360" w:lineRule="auto"/>
        <w:ind w:left="567" w:hanging="567"/>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Government (2023) Police workforce, GOV.UK Ethnicity facts and figures. Available at: https://www.ethnicity-facts-figures.service.gov.uk/workforce-and-business/workforce-diversity/police-workforce/latest/ (Accessed: 05 May 2024).</w:t>
      </w:r>
    </w:p>
    <w:p w14:paraId="5797B1B2" w14:textId="29A52250" w:rsidR="4835035B" w:rsidRDefault="4835035B" w:rsidP="4835035B">
      <w:pPr>
        <w:spacing w:before="240" w:after="240" w:line="360" w:lineRule="auto"/>
        <w:ind w:left="567" w:hanging="567"/>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Home Office (2023) Police and criminal evidence act 1984 (PACE) codes of Practice, GOV.UK. Available at: https://www.gov.uk/guidance/police-and-criminal-evidence-act-1984-pace-codes-of-practice. (Accessed: 05 May 2024)</w:t>
      </w:r>
    </w:p>
    <w:p w14:paraId="20C1E93D" w14:textId="7B09509A" w:rsidR="4835035B" w:rsidRDefault="4835035B" w:rsidP="4835035B">
      <w:pPr>
        <w:spacing w:before="240" w:after="240" w:line="360" w:lineRule="auto"/>
        <w:ind w:left="567" w:hanging="567"/>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South Wales Police (2022) Ramadan guidance released to support police forces, College of Policing. Available at: https://www.college.police.uk/article/ramadan-guidance-released-support-police-forces (Accessed: 05 May 2024).</w:t>
      </w:r>
    </w:p>
    <w:p w14:paraId="4F96A99D" w14:textId="62816A38" w:rsidR="4835035B" w:rsidRDefault="4835035B" w:rsidP="4835035B">
      <w:pPr>
        <w:spacing w:before="240" w:after="240" w:line="360" w:lineRule="auto"/>
        <w:ind w:left="567" w:hanging="567"/>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UK Visas and Immigration (2024) Criminal investigations – use of interpreters: Caseworker guidance, GOV.UK. Available at: https://www.gov.uk/government/publications/criminal-investigations-use-of-interpreters (Accessed: 05 May 2024).</w:t>
      </w:r>
    </w:p>
    <w:p w14:paraId="49720E92" w14:textId="4323C6FD" w:rsidR="4835035B" w:rsidRDefault="4835035B" w:rsidP="4835035B">
      <w:pPr>
        <w:spacing w:before="240" w:after="240" w:line="360" w:lineRule="auto"/>
        <w:ind w:left="567" w:hanging="567"/>
        <w:rPr>
          <w:rFonts w:ascii="Times New Roman" w:eastAsia="Times New Roman" w:hAnsi="Times New Roman" w:cs="Times New Roman"/>
          <w:sz w:val="24"/>
          <w:szCs w:val="24"/>
        </w:rPr>
      </w:pPr>
      <w:r w:rsidRPr="4835035B">
        <w:rPr>
          <w:rFonts w:ascii="Times New Roman" w:eastAsia="Times New Roman" w:hAnsi="Times New Roman" w:cs="Times New Roman"/>
          <w:sz w:val="24"/>
          <w:szCs w:val="24"/>
        </w:rPr>
        <w:t xml:space="preserve">University of Law (2023) </w:t>
      </w:r>
      <w:r w:rsidRPr="4835035B">
        <w:rPr>
          <w:rFonts w:ascii="Times New Roman" w:eastAsia="Times New Roman" w:hAnsi="Times New Roman" w:cs="Times New Roman"/>
          <w:i/>
          <w:iCs/>
          <w:sz w:val="24"/>
          <w:szCs w:val="24"/>
        </w:rPr>
        <w:t xml:space="preserve">Diversity in policing 2023: Do Constabularies truly represent the communities they </w:t>
      </w:r>
      <w:proofErr w:type="gramStart"/>
      <w:r w:rsidRPr="4835035B">
        <w:rPr>
          <w:rFonts w:ascii="Times New Roman" w:eastAsia="Times New Roman" w:hAnsi="Times New Roman" w:cs="Times New Roman"/>
          <w:i/>
          <w:iCs/>
          <w:sz w:val="24"/>
          <w:szCs w:val="24"/>
        </w:rPr>
        <w:t>serve?</w:t>
      </w:r>
      <w:r w:rsidRPr="4835035B">
        <w:rPr>
          <w:rFonts w:ascii="Times New Roman" w:eastAsia="Times New Roman" w:hAnsi="Times New Roman" w:cs="Times New Roman"/>
          <w:sz w:val="24"/>
          <w:szCs w:val="24"/>
        </w:rPr>
        <w:t>,</w:t>
      </w:r>
      <w:proofErr w:type="gramEnd"/>
      <w:r w:rsidRPr="4835035B">
        <w:rPr>
          <w:rFonts w:ascii="Times New Roman" w:eastAsia="Times New Roman" w:hAnsi="Times New Roman" w:cs="Times New Roman"/>
          <w:sz w:val="24"/>
          <w:szCs w:val="24"/>
        </w:rPr>
        <w:t xml:space="preserve"> </w:t>
      </w:r>
      <w:r w:rsidRPr="4835035B">
        <w:rPr>
          <w:rFonts w:ascii="Times New Roman" w:eastAsia="Times New Roman" w:hAnsi="Times New Roman" w:cs="Times New Roman"/>
          <w:i/>
          <w:iCs/>
          <w:sz w:val="24"/>
          <w:szCs w:val="24"/>
        </w:rPr>
        <w:t>The University of Law</w:t>
      </w:r>
      <w:r w:rsidRPr="4835035B">
        <w:rPr>
          <w:rFonts w:ascii="Times New Roman" w:eastAsia="Times New Roman" w:hAnsi="Times New Roman" w:cs="Times New Roman"/>
          <w:sz w:val="24"/>
          <w:szCs w:val="24"/>
        </w:rPr>
        <w:t>. Available at: https://www.law.ac.uk/resources/blog/diversity-in-policing/ (Accessed: 05 May 2024).</w:t>
      </w:r>
    </w:p>
    <w:p w14:paraId="36E8E656" w14:textId="0196CFB9" w:rsidR="4835035B" w:rsidRDefault="4835035B" w:rsidP="4835035B">
      <w:pPr>
        <w:spacing w:line="480" w:lineRule="auto"/>
        <w:jc w:val="both"/>
        <w:rPr>
          <w:rFonts w:ascii="Times New Roman" w:eastAsia="Times New Roman" w:hAnsi="Times New Roman" w:cs="Times New Roman"/>
          <w:sz w:val="24"/>
          <w:szCs w:val="24"/>
          <w:u w:val="single"/>
        </w:rPr>
      </w:pPr>
    </w:p>
    <w:p w14:paraId="0A68828A" w14:textId="77777777" w:rsidR="0072441C" w:rsidRDefault="0072441C" w:rsidP="4835035B">
      <w:pPr>
        <w:spacing w:line="480" w:lineRule="auto"/>
        <w:jc w:val="both"/>
        <w:rPr>
          <w:rFonts w:ascii="Times New Roman" w:eastAsia="Times New Roman" w:hAnsi="Times New Roman" w:cs="Times New Roman"/>
          <w:sz w:val="24"/>
          <w:szCs w:val="24"/>
        </w:rPr>
      </w:pPr>
    </w:p>
    <w:p w14:paraId="3E814C86" w14:textId="77777777" w:rsidR="0072441C" w:rsidRDefault="0072441C" w:rsidP="4835035B">
      <w:pPr>
        <w:spacing w:line="480" w:lineRule="auto"/>
        <w:jc w:val="both"/>
        <w:rPr>
          <w:rFonts w:ascii="Times New Roman" w:eastAsia="Times New Roman" w:hAnsi="Times New Roman" w:cs="Times New Roman"/>
          <w:sz w:val="24"/>
          <w:szCs w:val="24"/>
        </w:rPr>
      </w:pPr>
    </w:p>
    <w:p w14:paraId="51947070" w14:textId="55BD5579" w:rsidR="00144FE8" w:rsidRDefault="00144FE8" w:rsidP="4835035B">
      <w:pPr>
        <w:spacing w:line="480" w:lineRule="auto"/>
        <w:jc w:val="both"/>
        <w:rPr>
          <w:rFonts w:ascii="Times New Roman" w:eastAsia="Times New Roman" w:hAnsi="Times New Roman" w:cs="Times New Roman"/>
          <w:sz w:val="24"/>
          <w:szCs w:val="24"/>
        </w:rPr>
      </w:pPr>
    </w:p>
    <w:sectPr w:rsidR="00144F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846B1"/>
    <w:multiLevelType w:val="hybridMultilevel"/>
    <w:tmpl w:val="75688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5279B2"/>
    <w:multiLevelType w:val="hybridMultilevel"/>
    <w:tmpl w:val="FC3C4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5548985">
    <w:abstractNumId w:val="0"/>
  </w:num>
  <w:num w:numId="2" w16cid:durableId="6452801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CB5"/>
    <w:rsid w:val="00020FDE"/>
    <w:rsid w:val="00022FC9"/>
    <w:rsid w:val="00024706"/>
    <w:rsid w:val="00035C7B"/>
    <w:rsid w:val="0004699B"/>
    <w:rsid w:val="000571A7"/>
    <w:rsid w:val="00060BCE"/>
    <w:rsid w:val="000742D5"/>
    <w:rsid w:val="00085E79"/>
    <w:rsid w:val="000A4148"/>
    <w:rsid w:val="000D521B"/>
    <w:rsid w:val="000E08BB"/>
    <w:rsid w:val="000E3F24"/>
    <w:rsid w:val="00144FE8"/>
    <w:rsid w:val="00184B9C"/>
    <w:rsid w:val="00186932"/>
    <w:rsid w:val="001A4842"/>
    <w:rsid w:val="001C0660"/>
    <w:rsid w:val="001E430D"/>
    <w:rsid w:val="001F31BA"/>
    <w:rsid w:val="002004A2"/>
    <w:rsid w:val="00203710"/>
    <w:rsid w:val="00226F85"/>
    <w:rsid w:val="00250915"/>
    <w:rsid w:val="002551BD"/>
    <w:rsid w:val="00293B7B"/>
    <w:rsid w:val="0032007F"/>
    <w:rsid w:val="00336897"/>
    <w:rsid w:val="003439F2"/>
    <w:rsid w:val="00397661"/>
    <w:rsid w:val="003C316D"/>
    <w:rsid w:val="003C3866"/>
    <w:rsid w:val="003D6B9E"/>
    <w:rsid w:val="00417091"/>
    <w:rsid w:val="00422456"/>
    <w:rsid w:val="004401F6"/>
    <w:rsid w:val="004410F2"/>
    <w:rsid w:val="005050CD"/>
    <w:rsid w:val="00547BDD"/>
    <w:rsid w:val="00571516"/>
    <w:rsid w:val="005C793B"/>
    <w:rsid w:val="005D0351"/>
    <w:rsid w:val="00627B81"/>
    <w:rsid w:val="00645FD6"/>
    <w:rsid w:val="0067118A"/>
    <w:rsid w:val="00671375"/>
    <w:rsid w:val="00680740"/>
    <w:rsid w:val="006871B5"/>
    <w:rsid w:val="006D3A32"/>
    <w:rsid w:val="00705EB3"/>
    <w:rsid w:val="0072441C"/>
    <w:rsid w:val="00730B7E"/>
    <w:rsid w:val="007A3EB6"/>
    <w:rsid w:val="007C2CB5"/>
    <w:rsid w:val="007D5A0A"/>
    <w:rsid w:val="007D5A54"/>
    <w:rsid w:val="007F5470"/>
    <w:rsid w:val="008055AF"/>
    <w:rsid w:val="0080783A"/>
    <w:rsid w:val="008333D2"/>
    <w:rsid w:val="00846975"/>
    <w:rsid w:val="008709DF"/>
    <w:rsid w:val="0088601E"/>
    <w:rsid w:val="00910A05"/>
    <w:rsid w:val="00962262"/>
    <w:rsid w:val="00984187"/>
    <w:rsid w:val="00993FEF"/>
    <w:rsid w:val="00996CBB"/>
    <w:rsid w:val="009B255D"/>
    <w:rsid w:val="009D1C4B"/>
    <w:rsid w:val="009D53E7"/>
    <w:rsid w:val="00A03856"/>
    <w:rsid w:val="00A0562C"/>
    <w:rsid w:val="00A205DD"/>
    <w:rsid w:val="00A35131"/>
    <w:rsid w:val="00A449CB"/>
    <w:rsid w:val="00A457A7"/>
    <w:rsid w:val="00A506CA"/>
    <w:rsid w:val="00A7176B"/>
    <w:rsid w:val="00A84785"/>
    <w:rsid w:val="00AC51B2"/>
    <w:rsid w:val="00AD2467"/>
    <w:rsid w:val="00B255BB"/>
    <w:rsid w:val="00B3249B"/>
    <w:rsid w:val="00B558AE"/>
    <w:rsid w:val="00B96CB9"/>
    <w:rsid w:val="00BB395A"/>
    <w:rsid w:val="00BB6C2A"/>
    <w:rsid w:val="00C22CE4"/>
    <w:rsid w:val="00C26014"/>
    <w:rsid w:val="00C30854"/>
    <w:rsid w:val="00C45A86"/>
    <w:rsid w:val="00C71F4F"/>
    <w:rsid w:val="00C86AE0"/>
    <w:rsid w:val="00C9746F"/>
    <w:rsid w:val="00CA1213"/>
    <w:rsid w:val="00CA1C54"/>
    <w:rsid w:val="00CA3E2D"/>
    <w:rsid w:val="00CA429D"/>
    <w:rsid w:val="00CA46FC"/>
    <w:rsid w:val="00D44BFD"/>
    <w:rsid w:val="00D64BB8"/>
    <w:rsid w:val="00D65E56"/>
    <w:rsid w:val="00D77662"/>
    <w:rsid w:val="00D876AA"/>
    <w:rsid w:val="00D96DAF"/>
    <w:rsid w:val="00D97B59"/>
    <w:rsid w:val="00DE652D"/>
    <w:rsid w:val="00DF267F"/>
    <w:rsid w:val="00DF4DE5"/>
    <w:rsid w:val="00E020FA"/>
    <w:rsid w:val="00E43507"/>
    <w:rsid w:val="00EC3E3A"/>
    <w:rsid w:val="00EE2BCD"/>
    <w:rsid w:val="00F03F0E"/>
    <w:rsid w:val="00F25D55"/>
    <w:rsid w:val="00F42D9E"/>
    <w:rsid w:val="00F52A37"/>
    <w:rsid w:val="00FD1264"/>
    <w:rsid w:val="00FD6C9B"/>
    <w:rsid w:val="00FE1E17"/>
    <w:rsid w:val="00FE2F9D"/>
    <w:rsid w:val="442890DA"/>
    <w:rsid w:val="48350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2A62F"/>
  <w15:chartTrackingRefBased/>
  <w15:docId w15:val="{C92BA970-862D-4E58-B562-4DD8929C0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2CB5"/>
    <w:pPr>
      <w:ind w:left="720"/>
      <w:contextualSpacing/>
    </w:pPr>
  </w:style>
  <w:style w:type="character" w:styleId="Hyperlink">
    <w:name w:val="Hyperlink"/>
    <w:basedOn w:val="DefaultParagraphFont"/>
    <w:uiPriority w:val="99"/>
    <w:unhideWhenUsed/>
    <w:rsid w:val="00020FDE"/>
    <w:rPr>
      <w:color w:val="0000FF"/>
      <w:u w:val="single"/>
    </w:rPr>
  </w:style>
  <w:style w:type="character" w:styleId="FollowedHyperlink">
    <w:name w:val="FollowedHyperlink"/>
    <w:basedOn w:val="DefaultParagraphFont"/>
    <w:uiPriority w:val="99"/>
    <w:semiHidden/>
    <w:unhideWhenUsed/>
    <w:rsid w:val="00022FC9"/>
    <w:rPr>
      <w:color w:val="954F72" w:themeColor="followedHyperlink"/>
      <w:u w:val="single"/>
    </w:rPr>
  </w:style>
  <w:style w:type="paragraph" w:styleId="NormalWeb">
    <w:name w:val="Normal (Web)"/>
    <w:basedOn w:val="Normal"/>
    <w:uiPriority w:val="99"/>
    <w:unhideWhenUsed/>
    <w:rsid w:val="00022FC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DF4DE5"/>
    <w:rPr>
      <w:color w:val="605E5C"/>
      <w:shd w:val="clear" w:color="auto" w:fill="E1DFDD"/>
    </w:rPr>
  </w:style>
  <w:style w:type="character" w:customStyle="1" w:styleId="apple-converted-space">
    <w:name w:val="apple-converted-space"/>
    <w:basedOn w:val="DefaultParagraphFont"/>
    <w:rsid w:val="00B255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798843">
      <w:bodyDiv w:val="1"/>
      <w:marLeft w:val="0"/>
      <w:marRight w:val="0"/>
      <w:marTop w:val="0"/>
      <w:marBottom w:val="0"/>
      <w:divBdr>
        <w:top w:val="none" w:sz="0" w:space="0" w:color="auto"/>
        <w:left w:val="none" w:sz="0" w:space="0" w:color="auto"/>
        <w:bottom w:val="none" w:sz="0" w:space="0" w:color="auto"/>
        <w:right w:val="none" w:sz="0" w:space="0" w:color="auto"/>
      </w:divBdr>
    </w:div>
    <w:div w:id="246964542">
      <w:bodyDiv w:val="1"/>
      <w:marLeft w:val="0"/>
      <w:marRight w:val="0"/>
      <w:marTop w:val="0"/>
      <w:marBottom w:val="0"/>
      <w:divBdr>
        <w:top w:val="none" w:sz="0" w:space="0" w:color="auto"/>
        <w:left w:val="none" w:sz="0" w:space="0" w:color="auto"/>
        <w:bottom w:val="none" w:sz="0" w:space="0" w:color="auto"/>
        <w:right w:val="none" w:sz="0" w:space="0" w:color="auto"/>
      </w:divBdr>
    </w:div>
    <w:div w:id="424767597">
      <w:bodyDiv w:val="1"/>
      <w:marLeft w:val="0"/>
      <w:marRight w:val="0"/>
      <w:marTop w:val="0"/>
      <w:marBottom w:val="0"/>
      <w:divBdr>
        <w:top w:val="none" w:sz="0" w:space="0" w:color="auto"/>
        <w:left w:val="none" w:sz="0" w:space="0" w:color="auto"/>
        <w:bottom w:val="none" w:sz="0" w:space="0" w:color="auto"/>
        <w:right w:val="none" w:sz="0" w:space="0" w:color="auto"/>
      </w:divBdr>
    </w:div>
    <w:div w:id="546911670">
      <w:bodyDiv w:val="1"/>
      <w:marLeft w:val="0"/>
      <w:marRight w:val="0"/>
      <w:marTop w:val="0"/>
      <w:marBottom w:val="0"/>
      <w:divBdr>
        <w:top w:val="none" w:sz="0" w:space="0" w:color="auto"/>
        <w:left w:val="none" w:sz="0" w:space="0" w:color="auto"/>
        <w:bottom w:val="none" w:sz="0" w:space="0" w:color="auto"/>
        <w:right w:val="none" w:sz="0" w:space="0" w:color="auto"/>
      </w:divBdr>
    </w:div>
    <w:div w:id="654527917">
      <w:bodyDiv w:val="1"/>
      <w:marLeft w:val="0"/>
      <w:marRight w:val="0"/>
      <w:marTop w:val="0"/>
      <w:marBottom w:val="0"/>
      <w:divBdr>
        <w:top w:val="none" w:sz="0" w:space="0" w:color="auto"/>
        <w:left w:val="none" w:sz="0" w:space="0" w:color="auto"/>
        <w:bottom w:val="none" w:sz="0" w:space="0" w:color="auto"/>
        <w:right w:val="none" w:sz="0" w:space="0" w:color="auto"/>
      </w:divBdr>
    </w:div>
    <w:div w:id="684596001">
      <w:bodyDiv w:val="1"/>
      <w:marLeft w:val="0"/>
      <w:marRight w:val="0"/>
      <w:marTop w:val="0"/>
      <w:marBottom w:val="0"/>
      <w:divBdr>
        <w:top w:val="none" w:sz="0" w:space="0" w:color="auto"/>
        <w:left w:val="none" w:sz="0" w:space="0" w:color="auto"/>
        <w:bottom w:val="none" w:sz="0" w:space="0" w:color="auto"/>
        <w:right w:val="none" w:sz="0" w:space="0" w:color="auto"/>
      </w:divBdr>
    </w:div>
    <w:div w:id="893539295">
      <w:bodyDiv w:val="1"/>
      <w:marLeft w:val="0"/>
      <w:marRight w:val="0"/>
      <w:marTop w:val="0"/>
      <w:marBottom w:val="0"/>
      <w:divBdr>
        <w:top w:val="none" w:sz="0" w:space="0" w:color="auto"/>
        <w:left w:val="none" w:sz="0" w:space="0" w:color="auto"/>
        <w:bottom w:val="none" w:sz="0" w:space="0" w:color="auto"/>
        <w:right w:val="none" w:sz="0" w:space="0" w:color="auto"/>
      </w:divBdr>
    </w:div>
    <w:div w:id="1347827679">
      <w:bodyDiv w:val="1"/>
      <w:marLeft w:val="0"/>
      <w:marRight w:val="0"/>
      <w:marTop w:val="0"/>
      <w:marBottom w:val="0"/>
      <w:divBdr>
        <w:top w:val="none" w:sz="0" w:space="0" w:color="auto"/>
        <w:left w:val="none" w:sz="0" w:space="0" w:color="auto"/>
        <w:bottom w:val="none" w:sz="0" w:space="0" w:color="auto"/>
        <w:right w:val="none" w:sz="0" w:space="0" w:color="auto"/>
      </w:divBdr>
    </w:div>
    <w:div w:id="1427269079">
      <w:bodyDiv w:val="1"/>
      <w:marLeft w:val="0"/>
      <w:marRight w:val="0"/>
      <w:marTop w:val="0"/>
      <w:marBottom w:val="0"/>
      <w:divBdr>
        <w:top w:val="none" w:sz="0" w:space="0" w:color="auto"/>
        <w:left w:val="none" w:sz="0" w:space="0" w:color="auto"/>
        <w:bottom w:val="none" w:sz="0" w:space="0" w:color="auto"/>
        <w:right w:val="none" w:sz="0" w:space="0" w:color="auto"/>
      </w:divBdr>
    </w:div>
    <w:div w:id="1525753668">
      <w:bodyDiv w:val="1"/>
      <w:marLeft w:val="0"/>
      <w:marRight w:val="0"/>
      <w:marTop w:val="0"/>
      <w:marBottom w:val="0"/>
      <w:divBdr>
        <w:top w:val="none" w:sz="0" w:space="0" w:color="auto"/>
        <w:left w:val="none" w:sz="0" w:space="0" w:color="auto"/>
        <w:bottom w:val="none" w:sz="0" w:space="0" w:color="auto"/>
        <w:right w:val="none" w:sz="0" w:space="0" w:color="auto"/>
      </w:divBdr>
    </w:div>
    <w:div w:id="1655449376">
      <w:bodyDiv w:val="1"/>
      <w:marLeft w:val="0"/>
      <w:marRight w:val="0"/>
      <w:marTop w:val="0"/>
      <w:marBottom w:val="0"/>
      <w:divBdr>
        <w:top w:val="none" w:sz="0" w:space="0" w:color="auto"/>
        <w:left w:val="none" w:sz="0" w:space="0" w:color="auto"/>
        <w:bottom w:val="none" w:sz="0" w:space="0" w:color="auto"/>
        <w:right w:val="none" w:sz="0" w:space="0" w:color="auto"/>
      </w:divBdr>
    </w:div>
    <w:div w:id="1739862771">
      <w:bodyDiv w:val="1"/>
      <w:marLeft w:val="0"/>
      <w:marRight w:val="0"/>
      <w:marTop w:val="0"/>
      <w:marBottom w:val="0"/>
      <w:divBdr>
        <w:top w:val="none" w:sz="0" w:space="0" w:color="auto"/>
        <w:left w:val="none" w:sz="0" w:space="0" w:color="auto"/>
        <w:bottom w:val="none" w:sz="0" w:space="0" w:color="auto"/>
        <w:right w:val="none" w:sz="0" w:space="0" w:color="auto"/>
      </w:divBdr>
    </w:div>
    <w:div w:id="2119447301">
      <w:bodyDiv w:val="1"/>
      <w:marLeft w:val="0"/>
      <w:marRight w:val="0"/>
      <w:marTop w:val="0"/>
      <w:marBottom w:val="0"/>
      <w:divBdr>
        <w:top w:val="none" w:sz="0" w:space="0" w:color="auto"/>
        <w:left w:val="none" w:sz="0" w:space="0" w:color="auto"/>
        <w:bottom w:val="none" w:sz="0" w:space="0" w:color="auto"/>
        <w:right w:val="none" w:sz="0" w:space="0" w:color="auto"/>
      </w:divBdr>
    </w:div>
    <w:div w:id="213374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1" ma:contentTypeDescription="Create a new document." ma:contentTypeScope="" ma:versionID="054be773a3efa29352c9440d2119b91a">
  <xsd:schema xmlns:xsd="http://www.w3.org/2001/XMLSchema" xmlns:xs="http://www.w3.org/2001/XMLSchema" xmlns:p="http://schemas.microsoft.com/office/2006/metadata/properties" xmlns:ns3="dab0745b-0aa1-46c5-9664-3662cc126593" targetNamespace="http://schemas.microsoft.com/office/2006/metadata/properties" ma:root="true" ma:fieldsID="fcf3f86b8e694910ede784fbecc6baf1"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bjectDetectorVersions" minOccurs="0"/>
                <xsd:element ref="ns3:MediaServiceOCR"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09DC81-B4EF-4221-B7C1-701CBBA58FCB}">
  <ds:schemaRefs>
    <ds:schemaRef ds:uri="http://schemas.microsoft.com/sharepoint/v3/contenttype/forms"/>
  </ds:schemaRefs>
</ds:datastoreItem>
</file>

<file path=customXml/itemProps2.xml><?xml version="1.0" encoding="utf-8"?>
<ds:datastoreItem xmlns:ds="http://schemas.openxmlformats.org/officeDocument/2006/customXml" ds:itemID="{AD2D89E9-E711-4EFB-ACFE-455E9E3F12D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A584ECE-A156-4235-B094-63C9A8772E02}">
  <ds:schemaRefs>
    <ds:schemaRef ds:uri="http://schemas.openxmlformats.org/officeDocument/2006/bibliography"/>
  </ds:schemaRefs>
</ds:datastoreItem>
</file>

<file path=customXml/itemProps4.xml><?xml version="1.0" encoding="utf-8"?>
<ds:datastoreItem xmlns:ds="http://schemas.openxmlformats.org/officeDocument/2006/customXml" ds:itemID="{5240F0E0-DC9D-4FD9-846A-90EC1720B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4130</Words>
  <Characters>23545</Characters>
  <Application>Microsoft Office Word</Application>
  <DocSecurity>4</DocSecurity>
  <Lines>196</Lines>
  <Paragraphs>55</Paragraphs>
  <ScaleCrop>false</ScaleCrop>
  <Company>South Wales Police</Company>
  <LinksUpToDate>false</LinksUpToDate>
  <CharactersWithSpaces>27620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Rowe,Oliver swp8581</dc:creator>
  <cp:keywords/>
  <dc:description/>
  <cp:lastModifiedBy>Rowe,Oliver swp8581</cp:lastModifiedBy>
  <cp:revision>2</cp:revision>
  <dcterms:created xsi:type="dcterms:W3CDTF">2024-05-06T20:24:00Z</dcterms:created>
  <dcterms:modified xsi:type="dcterms:W3CDTF">2024-05-06T20:24:00Z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2024-05-02T20:11:38Z</vt:lpwstr>
  </property>
  <property fmtid="{D5CDD505-2E9C-101B-9397-08002B2CF9AE}" pid="4" name="MSIP_Label_66cf8fe5-b7b7-4df7-b38d-1c61ac2f6639_Method">
    <vt:lpwstr>Privileged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b70e30f4-ff74-4634-bc5a-2989bddbc064</vt:lpwstr>
  </property>
  <property fmtid="{D5CDD505-2E9C-101B-9397-08002B2CF9AE}" pid="8" name="MSIP_Label_66cf8fe5-b7b7-4df7-b38d-1c61ac2f6639_ContentBits">
    <vt:lpwstr>0</vt:lpwstr>
  </property>
  <property fmtid="{D5CDD505-2E9C-101B-9397-08002B2CF9AE}" pid="9" name="ContentTypeId">
    <vt:lpwstr>0x010100D7137F547E3D9D41A8CFB1328A695AFF</vt:lpwstr>
  </property>
</Properties>
</file>