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3F42B"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Leadership and Systems of Quality, Part 2</w:t>
      </w:r>
    </w:p>
    <w:p w14:paraId="00EAE5A6"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In relation to Early Years practice, the term quality generally refers to a setting striving to provide the best start for the children in their care. Early Years Wales (2020) state that their ‘Quality for All’ quality assurance schemes robust assessments ensure that settings are meeting their regulatory obligations in a consistent manner. They argue that a culture of continuous reflection to evaluate individual and team practice is ‘key to the delivery of high-quality childcare where the best possible experiences and opportunities are provided for children and families.’ Nevertheless, the scheme does have some trepidations with regard to the setting meeting their legal and governance responsibilities and not needing to strive to exceed them therefore the setting may not look to improve their quality of care but be consistent in the care and support they provide. </w:t>
      </w:r>
    </w:p>
    <w:p w14:paraId="4E78CFF2"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According to various researchers, there are two types of quality that exist within the early years sector that have been adapted from management theory (Power, 1997); process quality which refers to the interactions and experiences that children have within a setting and structural quality which refers to the policy and legislation that drives the sector and therefore the setting such as staffing ratios, training and policy. Hutchinson, Reader and </w:t>
      </w:r>
      <w:proofErr w:type="spellStart"/>
      <w:r w:rsidRPr="00B54E24">
        <w:rPr>
          <w:rFonts w:ascii="Times New Roman" w:hAnsi="Times New Roman" w:cs="Times New Roman"/>
          <w:b/>
          <w:bCs/>
        </w:rPr>
        <w:t>Akhal</w:t>
      </w:r>
      <w:proofErr w:type="spellEnd"/>
      <w:r w:rsidRPr="00B54E24">
        <w:rPr>
          <w:rFonts w:ascii="Times New Roman" w:hAnsi="Times New Roman" w:cs="Times New Roman"/>
          <w:b/>
          <w:bCs/>
        </w:rPr>
        <w:t>, (2020), Slot (2018), Vandell, et.al. (2010) and Phillipsen, et. al. (1997) argues that structural quality drives process quality in that the processes and procedures must be correct to be able to deliver on process quality. However, Hanno, et. al., (2021), argue that to improve overall quality of settings, capturing and recording the process quality within the day-to-day interactions in settings is essential to inform and improve legislation and policy or structural quality in order for children to achieve greater outcomes. Hanno, et. al. (2021) goes on to discuss how structural quality such as a higher adult to child ratio provides more positive interactions with the children as the adult has more time and opportunity to give instruction or support with a task. These findings support the legislation and helps to inform the National Minimum Standards (Welsh Government 2023) thus there being a circle of informing quality practise. </w:t>
      </w:r>
    </w:p>
    <w:p w14:paraId="0BCE4B10"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It is widely acknowledged that a child’s earliest experiences provide the foundation for their future development with Melhuish, et.al., (2015), Taggart, et.al., (2015) and Fox and Geddes (2016) stating that children from more disadvantaged backgrounds, in particular, have better outcomes in both the long and short term with regard to their social, cognitive and language development having attended a quality early years setting. Welsh Government (2024) agrees and states ‘Quality childcare contributes to the acquisition of skills and abilities, socialisation and the ability to play and concentrate.’ They also maintain that the benefits of quality care extend into adulthood and can inform increased attainment in subjects such as mathematics and English. These claims are based on the longitudinal studies The Effective Provision of Pre-School Education (EPPE) Project (Sylva, et. al., 2004) which looked at the development of a sample of children between the ages of 3 and 7 and the effect that pre-school may have </w:t>
      </w:r>
      <w:r w:rsidRPr="00B54E24">
        <w:rPr>
          <w:rFonts w:ascii="Times New Roman" w:hAnsi="Times New Roman" w:cs="Times New Roman"/>
          <w:b/>
          <w:bCs/>
        </w:rPr>
        <w:lastRenderedPageBreak/>
        <w:t xml:space="preserve">had. The later study, The Effective pre-school, primary and secondary education project (EPPSE 3-16+) (Taggart, et. al. 2015) extended this research </w:t>
      </w:r>
    </w:p>
    <w:p w14:paraId="04226315"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The EPPE and EPPSE reports also informed the foundation phase and aided in the development of the Flying Start initiative. The reports concluded that investment in the early years can have a significant impact on a child’s outcomes although this cannot be done in isolation. Welsh Government in 2007 launched the Flying Start initiative to not only provide childcare but also health care and family support as there is a correlation between all of these elements and positive outcomes for children. Welsh Government (2024) states that their planned expansion of the flying start childcare to every 2–3-year-old is in direct response to the findings that the EPPE and EPPSE reports conveyed and is aimed at providing every child the best start in life without any preconceived inconsistencies that many parents have reported (Welsh Government, 2024). Moss (2016) argued that quality in early years settings is a choice rather than a requirement and claims that quality is a way of regulatory bodies providing a benchmark to produce preferred outcomes and mitigate undesired actions. The National Minimum Standards (Welsh Government, 2016) are often seen as being needed to be met via Care Inspectorate Wales (CIW) inspections with some settings not striving or adhering to continuous improvement which supports ongoing quality enhancement. </w:t>
      </w:r>
    </w:p>
    <w:p w14:paraId="363FCDEF"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In relation to measuring quality, structural quality is more measurable in terms of legislation and regulations such as the National Minimum Standards than process quality. In order to measure interaction, wellbeing, language, confidence and independence, the Sustained Shared Thinking and Emotional Well-Being (SSTEW) Scales for 2 – 5-year-olds provision was devised. This is based on Vygotsky’s Zone of Proximal Development whereby a child learns and extends their learning through interactions with a ‘more knowledgeable other’ who provides confidence to the child to explore their environment and complete tasks independently (Xi and </w:t>
      </w:r>
      <w:proofErr w:type="spellStart"/>
      <w:r w:rsidRPr="00B54E24">
        <w:rPr>
          <w:rFonts w:ascii="Times New Roman" w:hAnsi="Times New Roman" w:cs="Times New Roman"/>
          <w:b/>
          <w:bCs/>
        </w:rPr>
        <w:t>Lantolf</w:t>
      </w:r>
      <w:proofErr w:type="spellEnd"/>
      <w:r w:rsidRPr="00B54E24">
        <w:rPr>
          <w:rFonts w:ascii="Times New Roman" w:hAnsi="Times New Roman" w:cs="Times New Roman"/>
          <w:b/>
          <w:bCs/>
        </w:rPr>
        <w:t xml:space="preserve">, 2021). However, they conclude that scaffolding does not </w:t>
      </w:r>
      <w:proofErr w:type="gramStart"/>
      <w:r w:rsidRPr="00B54E24">
        <w:rPr>
          <w:rFonts w:ascii="Times New Roman" w:hAnsi="Times New Roman" w:cs="Times New Roman"/>
          <w:b/>
          <w:bCs/>
        </w:rPr>
        <w:t>take into account</w:t>
      </w:r>
      <w:proofErr w:type="gramEnd"/>
      <w:r w:rsidRPr="00B54E24">
        <w:rPr>
          <w:rFonts w:ascii="Times New Roman" w:hAnsi="Times New Roman" w:cs="Times New Roman"/>
          <w:b/>
          <w:bCs/>
        </w:rPr>
        <w:t xml:space="preserve"> any previous experiences and in relation to SSTEW provides a snapshot of the interaction to be attributed to the scale and may not be the norm of the setting or the interactions resulting in a lower score if said interactions are not ‘seen’.  </w:t>
      </w:r>
    </w:p>
    <w:p w14:paraId="48CC113B"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Hoare (N.D.) explores SSTEW and states that the scales highlight the adult’s role in supporting children’s learning and development as well as the pedagogy in the setting. SSTEW is an environment-based rating scale, whereby a practitioner observes a child’s interactions with both adults and other children as well as the provision to assess how the environment supports a child’s development and ultimately determine the quality of the provision based on the findings of how many of the statements can be ‘ticked off’ to provide the rating. Waters and MacDonald (2020) argue that rating scales such as SSTEW are used to assess where improvements to quality can be made which include the ongoing professional development of practitioners and therefore are driven by policy and legislation. They go on to suggest that practitioner’s confidence in using a scale to support their planning and provision to extend a child’s learning environment increases as they strive to meet more of the descriptors to move from one section to </w:t>
      </w:r>
      <w:r w:rsidRPr="00B54E24">
        <w:rPr>
          <w:rFonts w:ascii="Times New Roman" w:hAnsi="Times New Roman" w:cs="Times New Roman"/>
          <w:b/>
          <w:bCs/>
        </w:rPr>
        <w:lastRenderedPageBreak/>
        <w:t xml:space="preserve">another and gain a higher rating. Their findings suggest that a practitioner’s competence to extend the quality of their provision is often based on individual attitudes. Birth to Five Matters (n.d.) state that a setting that is continually improving, provides ongoing professional development for all staff. They go on to detail the leadership role which includes but is not limited to imbedding a ‘collaborative culture’ on learning and reflection, establishing a setting wide approach to the support of children but also to ‘have energy, enthusiasm and a principled care and educational vision’ which is adopted and role modelled by staff. </w:t>
      </w:r>
    </w:p>
    <w:p w14:paraId="57BDE23E"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Waters and MacDonald (2020) conclude that while there are many positives to the use of any performative scale in the expansion of quality practice and provision, they can also diminish a practitioner’s confidence as the scale can provide insight into the where the setting is not meeting or extending learning. In this, they argue that a practitioner can feel judged and therefore ongoing training and reassurance as well as a culture of continuous reflective practice can help to mitigate this. They go on to argue that another disadvantage for the use of environment scales can be the dismissive nature of the individual child’s development rather than the child being seen as an individual meeting their milestones in their own time. A further disadvantage is that a setting may be able to meet some of the requirements of the level 5 section, however not meeting the previous sections will not achieve a higher rating as they need to meet every statement in each section before moving on to the next. The overall rating is then decided based on where the setting meets all of the statements. With this in mind completion of the observation should be accomplished to ensure that celebration of the later scale statements can be explored regardless of the settings overall score. </w:t>
      </w:r>
    </w:p>
    <w:p w14:paraId="2A9D4E40"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The Early Childhood Environment Rating Scale - Revised (ECERS-R) is a system of measurement for quality in Early Years settings (over 3-year-olds) and initially assessed over five areas. These areas or domains include personal care routines, language reasoning, activities, interaction and programme structure (Melhuish and Gardiner 2021). Further revisions added space and furnishing as well as parents and staff (</w:t>
      </w:r>
      <w:proofErr w:type="spellStart"/>
      <w:r w:rsidRPr="00B54E24">
        <w:rPr>
          <w:rFonts w:ascii="Times New Roman" w:hAnsi="Times New Roman" w:cs="Times New Roman"/>
          <w:b/>
          <w:bCs/>
        </w:rPr>
        <w:t>Bukhalenkova</w:t>
      </w:r>
      <w:proofErr w:type="spellEnd"/>
      <w:r w:rsidRPr="00B54E24">
        <w:rPr>
          <w:rFonts w:ascii="Times New Roman" w:hAnsi="Times New Roman" w:cs="Times New Roman"/>
          <w:b/>
          <w:bCs/>
        </w:rPr>
        <w:t xml:space="preserve">, </w:t>
      </w:r>
      <w:proofErr w:type="spellStart"/>
      <w:r w:rsidRPr="00B54E24">
        <w:rPr>
          <w:rFonts w:ascii="Times New Roman" w:hAnsi="Times New Roman" w:cs="Times New Roman"/>
          <w:b/>
          <w:bCs/>
        </w:rPr>
        <w:t>Almazova</w:t>
      </w:r>
      <w:proofErr w:type="spellEnd"/>
      <w:r w:rsidRPr="00B54E24">
        <w:rPr>
          <w:rFonts w:ascii="Times New Roman" w:hAnsi="Times New Roman" w:cs="Times New Roman"/>
          <w:b/>
          <w:bCs/>
        </w:rPr>
        <w:t xml:space="preserve"> and Aslanova, 2023). Melhuish and Gardiner (2021) go on to argue that the ECERS-R scale is the most effective method in assessing quality and predicting outcomes of the established scales. However, as it does not extend to the assessment of wellbeing to the extent that other performative scales do, used in conjunction with SSTEW may provide the most accurate depiction of a settings quality. ECERS-R is based on Bronfenbrenner’s Ecological Systems Theory (Bronfenbrenner, 1979, 1986) where how the environment and social networks can support a child’s development was investigated in relation to the positive outcomes for children. </w:t>
      </w:r>
    </w:p>
    <w:p w14:paraId="6FCFAC0A" w14:textId="77777777" w:rsidR="00B54E24" w:rsidRPr="00B54E24" w:rsidRDefault="00B54E24" w:rsidP="00B54E24">
      <w:pPr>
        <w:rPr>
          <w:rFonts w:ascii="Times New Roman" w:hAnsi="Times New Roman" w:cs="Times New Roman"/>
          <w:b/>
          <w:bCs/>
        </w:rPr>
      </w:pPr>
      <w:proofErr w:type="spellStart"/>
      <w:r w:rsidRPr="00B54E24">
        <w:rPr>
          <w:rFonts w:ascii="Times New Roman" w:hAnsi="Times New Roman" w:cs="Times New Roman"/>
          <w:b/>
          <w:bCs/>
        </w:rPr>
        <w:t>Bukhalenkova</w:t>
      </w:r>
      <w:proofErr w:type="spellEnd"/>
      <w:r w:rsidRPr="00B54E24">
        <w:rPr>
          <w:rFonts w:ascii="Times New Roman" w:hAnsi="Times New Roman" w:cs="Times New Roman"/>
          <w:b/>
          <w:bCs/>
        </w:rPr>
        <w:t xml:space="preserve">, </w:t>
      </w:r>
      <w:proofErr w:type="spellStart"/>
      <w:r w:rsidRPr="00B54E24">
        <w:rPr>
          <w:rFonts w:ascii="Times New Roman" w:hAnsi="Times New Roman" w:cs="Times New Roman"/>
          <w:b/>
          <w:bCs/>
        </w:rPr>
        <w:t>Almazova</w:t>
      </w:r>
      <w:proofErr w:type="spellEnd"/>
      <w:r w:rsidRPr="00B54E24">
        <w:rPr>
          <w:rFonts w:ascii="Times New Roman" w:hAnsi="Times New Roman" w:cs="Times New Roman"/>
          <w:b/>
          <w:bCs/>
        </w:rPr>
        <w:t xml:space="preserve"> and Aslanova (2023), argue that while rating systems have their place, many settings score low on ECERS-R due to the observation at that time. For example, if a setting has blocks but has not put them where they are accessible for children they would only score on the lower level. That is not to say that the children never have access to blocks, but at that time they were inaccessible for various reasons </w:t>
      </w:r>
      <w:r w:rsidRPr="00B54E24">
        <w:rPr>
          <w:rFonts w:ascii="Times New Roman" w:hAnsi="Times New Roman" w:cs="Times New Roman"/>
          <w:b/>
          <w:bCs/>
        </w:rPr>
        <w:lastRenderedPageBreak/>
        <w:t xml:space="preserve">and the quality of the play or interaction with the blocks </w:t>
      </w:r>
      <w:proofErr w:type="spellStart"/>
      <w:r w:rsidRPr="00B54E24">
        <w:rPr>
          <w:rFonts w:ascii="Times New Roman" w:hAnsi="Times New Roman" w:cs="Times New Roman"/>
          <w:b/>
          <w:bCs/>
        </w:rPr>
        <w:t>can not</w:t>
      </w:r>
      <w:proofErr w:type="spellEnd"/>
      <w:r w:rsidRPr="00B54E24">
        <w:rPr>
          <w:rFonts w:ascii="Times New Roman" w:hAnsi="Times New Roman" w:cs="Times New Roman"/>
          <w:b/>
          <w:bCs/>
        </w:rPr>
        <w:t xml:space="preserve"> be assessed or scored. They go on to argue that ECERS-R do not assess the interactions between caregiver and child, for example in the same way that SSTEW does. </w:t>
      </w:r>
      <w:proofErr w:type="spellStart"/>
      <w:r w:rsidRPr="00B54E24">
        <w:rPr>
          <w:rFonts w:ascii="Times New Roman" w:hAnsi="Times New Roman" w:cs="Times New Roman"/>
          <w:b/>
          <w:bCs/>
        </w:rPr>
        <w:t>Lektorsky</w:t>
      </w:r>
      <w:proofErr w:type="spellEnd"/>
      <w:r w:rsidRPr="00B54E24">
        <w:rPr>
          <w:rFonts w:ascii="Times New Roman" w:hAnsi="Times New Roman" w:cs="Times New Roman"/>
          <w:b/>
          <w:bCs/>
        </w:rPr>
        <w:t xml:space="preserve"> (2023) goes on to argue that Vygotsky’s theory of the environment influencing the child ‘actually changes the child’s psyche, leading to the emergence of higher mental functions.’ Thus, well rounded development and more positive outcomes for children. </w:t>
      </w:r>
    </w:p>
    <w:p w14:paraId="0D07DDB8" w14:textId="77777777" w:rsidR="00B54E24" w:rsidRPr="00B54E24" w:rsidRDefault="00B54E24" w:rsidP="00B54E24">
      <w:pPr>
        <w:rPr>
          <w:rFonts w:ascii="Times New Roman" w:hAnsi="Times New Roman" w:cs="Times New Roman"/>
          <w:b/>
          <w:bCs/>
        </w:rPr>
      </w:pPr>
      <w:r w:rsidRPr="00B54E24">
        <w:rPr>
          <w:rFonts w:ascii="Times New Roman" w:hAnsi="Times New Roman" w:cs="Times New Roman"/>
          <w:b/>
          <w:bCs/>
        </w:rPr>
        <w:t xml:space="preserve">In relation to quality, the role of the leader is essential. Douglass (2019) argues that positive working conditions can have a positive impact on process quality in the setting. They use the example of having positive interactions between leaders and staff as well as colleagues and them feeling valued will have a natural positive consequence in the interactions that both the practitioners have with the children and the children have with each other. They conclude that effective leadership fosters a positive organisational structure which has a positive impact on the wellbeing of the team. This in turn supports the view that the team will want to provide high quality care and will go above and beyond what is expected as per the NMS. With this in mind Douglass argues that to raise quality in early years settings, good leadership training and recruitment is essential. </w:t>
      </w:r>
    </w:p>
    <w:p w14:paraId="1B60F945" w14:textId="012001DC" w:rsidR="00390EAB" w:rsidRPr="00B54E24" w:rsidRDefault="00390EAB" w:rsidP="00B54E24"/>
    <w:sectPr w:rsidR="00390EAB" w:rsidRPr="00B54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B3BD8"/>
    <w:multiLevelType w:val="hybridMultilevel"/>
    <w:tmpl w:val="25A6A3DE"/>
    <w:lvl w:ilvl="0" w:tplc="2A10F92C">
      <w:start w:val="1"/>
      <w:numFmt w:val="bullet"/>
      <w:lvlText w:val="•"/>
      <w:lvlJc w:val="left"/>
      <w:pPr>
        <w:tabs>
          <w:tab w:val="num" w:pos="720"/>
        </w:tabs>
        <w:ind w:left="720" w:hanging="360"/>
      </w:pPr>
      <w:rPr>
        <w:rFonts w:ascii="Arial" w:hAnsi="Arial" w:hint="default"/>
      </w:rPr>
    </w:lvl>
    <w:lvl w:ilvl="1" w:tplc="B9BE2CB2" w:tentative="1">
      <w:start w:val="1"/>
      <w:numFmt w:val="bullet"/>
      <w:lvlText w:val="•"/>
      <w:lvlJc w:val="left"/>
      <w:pPr>
        <w:tabs>
          <w:tab w:val="num" w:pos="1440"/>
        </w:tabs>
        <w:ind w:left="1440" w:hanging="360"/>
      </w:pPr>
      <w:rPr>
        <w:rFonts w:ascii="Arial" w:hAnsi="Arial" w:hint="default"/>
      </w:rPr>
    </w:lvl>
    <w:lvl w:ilvl="2" w:tplc="ED44CDC0" w:tentative="1">
      <w:start w:val="1"/>
      <w:numFmt w:val="bullet"/>
      <w:lvlText w:val="•"/>
      <w:lvlJc w:val="left"/>
      <w:pPr>
        <w:tabs>
          <w:tab w:val="num" w:pos="2160"/>
        </w:tabs>
        <w:ind w:left="2160" w:hanging="360"/>
      </w:pPr>
      <w:rPr>
        <w:rFonts w:ascii="Arial" w:hAnsi="Arial" w:hint="default"/>
      </w:rPr>
    </w:lvl>
    <w:lvl w:ilvl="3" w:tplc="EAC4E096" w:tentative="1">
      <w:start w:val="1"/>
      <w:numFmt w:val="bullet"/>
      <w:lvlText w:val="•"/>
      <w:lvlJc w:val="left"/>
      <w:pPr>
        <w:tabs>
          <w:tab w:val="num" w:pos="2880"/>
        </w:tabs>
        <w:ind w:left="2880" w:hanging="360"/>
      </w:pPr>
      <w:rPr>
        <w:rFonts w:ascii="Arial" w:hAnsi="Arial" w:hint="default"/>
      </w:rPr>
    </w:lvl>
    <w:lvl w:ilvl="4" w:tplc="71CAD288" w:tentative="1">
      <w:start w:val="1"/>
      <w:numFmt w:val="bullet"/>
      <w:lvlText w:val="•"/>
      <w:lvlJc w:val="left"/>
      <w:pPr>
        <w:tabs>
          <w:tab w:val="num" w:pos="3600"/>
        </w:tabs>
        <w:ind w:left="3600" w:hanging="360"/>
      </w:pPr>
      <w:rPr>
        <w:rFonts w:ascii="Arial" w:hAnsi="Arial" w:hint="default"/>
      </w:rPr>
    </w:lvl>
    <w:lvl w:ilvl="5" w:tplc="48484098" w:tentative="1">
      <w:start w:val="1"/>
      <w:numFmt w:val="bullet"/>
      <w:lvlText w:val="•"/>
      <w:lvlJc w:val="left"/>
      <w:pPr>
        <w:tabs>
          <w:tab w:val="num" w:pos="4320"/>
        </w:tabs>
        <w:ind w:left="4320" w:hanging="360"/>
      </w:pPr>
      <w:rPr>
        <w:rFonts w:ascii="Arial" w:hAnsi="Arial" w:hint="default"/>
      </w:rPr>
    </w:lvl>
    <w:lvl w:ilvl="6" w:tplc="9B1026A6" w:tentative="1">
      <w:start w:val="1"/>
      <w:numFmt w:val="bullet"/>
      <w:lvlText w:val="•"/>
      <w:lvlJc w:val="left"/>
      <w:pPr>
        <w:tabs>
          <w:tab w:val="num" w:pos="5040"/>
        </w:tabs>
        <w:ind w:left="5040" w:hanging="360"/>
      </w:pPr>
      <w:rPr>
        <w:rFonts w:ascii="Arial" w:hAnsi="Arial" w:hint="default"/>
      </w:rPr>
    </w:lvl>
    <w:lvl w:ilvl="7" w:tplc="051C5942" w:tentative="1">
      <w:start w:val="1"/>
      <w:numFmt w:val="bullet"/>
      <w:lvlText w:val="•"/>
      <w:lvlJc w:val="left"/>
      <w:pPr>
        <w:tabs>
          <w:tab w:val="num" w:pos="5760"/>
        </w:tabs>
        <w:ind w:left="5760" w:hanging="360"/>
      </w:pPr>
      <w:rPr>
        <w:rFonts w:ascii="Arial" w:hAnsi="Arial" w:hint="default"/>
      </w:rPr>
    </w:lvl>
    <w:lvl w:ilvl="8" w:tplc="BBF06206" w:tentative="1">
      <w:start w:val="1"/>
      <w:numFmt w:val="bullet"/>
      <w:lvlText w:val="•"/>
      <w:lvlJc w:val="left"/>
      <w:pPr>
        <w:tabs>
          <w:tab w:val="num" w:pos="6480"/>
        </w:tabs>
        <w:ind w:left="6480" w:hanging="360"/>
      </w:pPr>
      <w:rPr>
        <w:rFonts w:ascii="Arial" w:hAnsi="Arial" w:hint="default"/>
      </w:rPr>
    </w:lvl>
  </w:abstractNum>
  <w:num w:numId="1" w16cid:durableId="1958297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38"/>
    <w:rsid w:val="00030C44"/>
    <w:rsid w:val="0003490D"/>
    <w:rsid w:val="000A0028"/>
    <w:rsid w:val="001775DE"/>
    <w:rsid w:val="001A45DC"/>
    <w:rsid w:val="001A6638"/>
    <w:rsid w:val="0021261E"/>
    <w:rsid w:val="002D4F06"/>
    <w:rsid w:val="002F0F02"/>
    <w:rsid w:val="0032271D"/>
    <w:rsid w:val="00390EAB"/>
    <w:rsid w:val="003E2A9C"/>
    <w:rsid w:val="00422F34"/>
    <w:rsid w:val="00487089"/>
    <w:rsid w:val="0052516E"/>
    <w:rsid w:val="00643141"/>
    <w:rsid w:val="00661147"/>
    <w:rsid w:val="006A4BFD"/>
    <w:rsid w:val="006E658F"/>
    <w:rsid w:val="00713FAE"/>
    <w:rsid w:val="007E0D02"/>
    <w:rsid w:val="007F63E5"/>
    <w:rsid w:val="00825C48"/>
    <w:rsid w:val="008E428D"/>
    <w:rsid w:val="00913BDE"/>
    <w:rsid w:val="00951574"/>
    <w:rsid w:val="0099127B"/>
    <w:rsid w:val="00A27052"/>
    <w:rsid w:val="00AA4AF7"/>
    <w:rsid w:val="00B54E24"/>
    <w:rsid w:val="00B77704"/>
    <w:rsid w:val="00BA3204"/>
    <w:rsid w:val="00BE627D"/>
    <w:rsid w:val="00C43D17"/>
    <w:rsid w:val="00C56AE3"/>
    <w:rsid w:val="00C870E2"/>
    <w:rsid w:val="00D0237F"/>
    <w:rsid w:val="00DA204E"/>
    <w:rsid w:val="00DC2FA3"/>
    <w:rsid w:val="00E32E12"/>
    <w:rsid w:val="00E45A9F"/>
    <w:rsid w:val="00E53422"/>
    <w:rsid w:val="00E756E7"/>
    <w:rsid w:val="00E92FF5"/>
    <w:rsid w:val="00EC4E78"/>
    <w:rsid w:val="00EF02DD"/>
    <w:rsid w:val="00F0090F"/>
    <w:rsid w:val="00F16A39"/>
    <w:rsid w:val="00FA3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53B6E"/>
  <w15:chartTrackingRefBased/>
  <w15:docId w15:val="{FFB72083-C98B-4679-A360-BD808132B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character" w:styleId="Hyperlink">
    <w:name w:val="Hyperlink"/>
    <w:basedOn w:val="DefaultParagraphFont"/>
    <w:uiPriority w:val="99"/>
    <w:unhideWhenUsed/>
    <w:rsid w:val="00F0090F"/>
    <w:rPr>
      <w:color w:val="99CA3C" w:themeColor="hyperlink"/>
      <w:u w:val="single"/>
    </w:rPr>
  </w:style>
  <w:style w:type="character" w:styleId="UnresolvedMention">
    <w:name w:val="Unresolved Mention"/>
    <w:basedOn w:val="DefaultParagraphFont"/>
    <w:uiPriority w:val="99"/>
    <w:semiHidden/>
    <w:unhideWhenUsed/>
    <w:rsid w:val="00F0090F"/>
    <w:rPr>
      <w:color w:val="605E5C"/>
      <w:shd w:val="clear" w:color="auto" w:fill="E1DFDD"/>
    </w:rPr>
  </w:style>
  <w:style w:type="character" w:styleId="FollowedHyperlink">
    <w:name w:val="FollowedHyperlink"/>
    <w:basedOn w:val="DefaultParagraphFont"/>
    <w:uiPriority w:val="99"/>
    <w:semiHidden/>
    <w:unhideWhenUsed/>
    <w:rsid w:val="003E2A9C"/>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126211">
      <w:bodyDiv w:val="1"/>
      <w:marLeft w:val="0"/>
      <w:marRight w:val="0"/>
      <w:marTop w:val="0"/>
      <w:marBottom w:val="0"/>
      <w:divBdr>
        <w:top w:val="none" w:sz="0" w:space="0" w:color="auto"/>
        <w:left w:val="none" w:sz="0" w:space="0" w:color="auto"/>
        <w:bottom w:val="none" w:sz="0" w:space="0" w:color="auto"/>
        <w:right w:val="none" w:sz="0" w:space="0" w:color="auto"/>
      </w:divBdr>
      <w:divsChild>
        <w:div w:id="424110771">
          <w:marLeft w:val="274"/>
          <w:marRight w:val="0"/>
          <w:marTop w:val="150"/>
          <w:marBottom w:val="0"/>
          <w:divBdr>
            <w:top w:val="none" w:sz="0" w:space="0" w:color="auto"/>
            <w:left w:val="none" w:sz="0" w:space="0" w:color="auto"/>
            <w:bottom w:val="none" w:sz="0" w:space="0" w:color="auto"/>
            <w:right w:val="none" w:sz="0" w:space="0" w:color="auto"/>
          </w:divBdr>
        </w:div>
      </w:divsChild>
    </w:div>
    <w:div w:id="932081640">
      <w:bodyDiv w:val="1"/>
      <w:marLeft w:val="0"/>
      <w:marRight w:val="0"/>
      <w:marTop w:val="0"/>
      <w:marBottom w:val="0"/>
      <w:divBdr>
        <w:top w:val="none" w:sz="0" w:space="0" w:color="auto"/>
        <w:left w:val="none" w:sz="0" w:space="0" w:color="auto"/>
        <w:bottom w:val="none" w:sz="0" w:space="0" w:color="auto"/>
        <w:right w:val="none" w:sz="0" w:space="0" w:color="auto"/>
      </w:divBdr>
      <w:divsChild>
        <w:div w:id="19084154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1828</Words>
  <Characters>9802</Characters>
  <Application>Microsoft Office Word</Application>
  <DocSecurity>0</DocSecurity>
  <Lines>158</Lines>
  <Paragraphs>13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2</cp:revision>
  <dcterms:created xsi:type="dcterms:W3CDTF">2025-03-28T07:47:00Z</dcterms:created>
  <dcterms:modified xsi:type="dcterms:W3CDTF">2025-03-28T07:47:00Z</dcterms:modified>
</cp:coreProperties>
</file>