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6CE07E7" w:rsidR="7908378C" w:rsidRPr="0035516E" w:rsidRDefault="7908378C" w:rsidP="33572C6E">
            <w:pPr>
              <w:ind w:right="237"/>
              <w:rPr>
                <w:b/>
                <w:bCs/>
                <w:color w:val="auto"/>
                <w:sz w:val="32"/>
                <w:szCs w:val="32"/>
                <w:lang w:val="pl-PL"/>
              </w:rPr>
            </w:pPr>
            <w:r w:rsidRPr="0035516E">
              <w:rPr>
                <w:b/>
                <w:bCs/>
                <w:color w:val="auto"/>
                <w:sz w:val="32"/>
                <w:szCs w:val="32"/>
                <w:lang w:val="pl-PL"/>
              </w:rPr>
              <w:t>Learner name: __</w:t>
            </w:r>
            <w:r w:rsidR="0035516E" w:rsidRPr="0035516E">
              <w:rPr>
                <w:b/>
                <w:bCs/>
                <w:color w:val="auto"/>
                <w:sz w:val="32"/>
                <w:szCs w:val="32"/>
                <w:lang w:val="pl-PL"/>
              </w:rPr>
              <w:t>Elzbieta Monika Przek</w:t>
            </w:r>
            <w:r w:rsidR="0035516E">
              <w:rPr>
                <w:b/>
                <w:bCs/>
                <w:color w:val="auto"/>
                <w:sz w:val="32"/>
                <w:szCs w:val="32"/>
                <w:lang w:val="pl-PL"/>
              </w:rPr>
              <w:t>lasa</w:t>
            </w:r>
            <w:r w:rsidRPr="0035516E">
              <w:rPr>
                <w:b/>
                <w:bCs/>
                <w:color w:val="auto"/>
                <w:sz w:val="32"/>
                <w:szCs w:val="32"/>
                <w:lang w:val="pl-PL"/>
              </w:rPr>
              <w:t>_______</w:t>
            </w:r>
          </w:p>
          <w:p w14:paraId="3A3A802D" w14:textId="77777777" w:rsidR="33572C6E" w:rsidRPr="0035516E" w:rsidRDefault="33572C6E" w:rsidP="33572C6E">
            <w:pPr>
              <w:ind w:right="237"/>
              <w:rPr>
                <w:b/>
                <w:bCs/>
                <w:color w:val="auto"/>
                <w:sz w:val="32"/>
                <w:szCs w:val="32"/>
                <w:lang w:val="pl-PL"/>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3CCC5FAB" w:rsidR="7908378C" w:rsidRDefault="7908378C" w:rsidP="33572C6E">
            <w:pPr>
              <w:ind w:right="237"/>
              <w:rPr>
                <w:b/>
                <w:bCs/>
                <w:color w:val="auto"/>
                <w:sz w:val="32"/>
                <w:szCs w:val="32"/>
              </w:rPr>
            </w:pPr>
            <w:r w:rsidRPr="33572C6E">
              <w:rPr>
                <w:b/>
                <w:bCs/>
                <w:color w:val="auto"/>
                <w:sz w:val="32"/>
                <w:szCs w:val="32"/>
              </w:rPr>
              <w:t>____</w:t>
            </w:r>
            <w:r w:rsidR="00871610">
              <w:rPr>
                <w:b/>
                <w:bCs/>
                <w:color w:val="auto"/>
                <w:sz w:val="32"/>
                <w:szCs w:val="32"/>
              </w:rPr>
              <w:t>2131987</w:t>
            </w:r>
            <w:r w:rsidRPr="33572C6E">
              <w:rPr>
                <w:b/>
                <w:bCs/>
                <w:color w:val="auto"/>
                <w:sz w:val="32"/>
                <w:szCs w:val="32"/>
              </w:rPr>
              <w:t>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5ED631AF" w14:textId="77777777" w:rsidR="006A498F" w:rsidRPr="00E676F7" w:rsidRDefault="006A498F" w:rsidP="5B843AF0">
      <w:pPr>
        <w:ind w:right="237"/>
        <w:jc w:val="both"/>
        <w:rPr>
          <w:rFonts w:eastAsia="Arial"/>
          <w:color w:val="000000" w:themeColor="text1"/>
          <w:sz w:val="24"/>
          <w:szCs w:val="24"/>
        </w:rPr>
      </w:pPr>
    </w:p>
    <w:p w14:paraId="4BBC525A" w14:textId="2C62A870" w:rsidR="5B843AF0" w:rsidRPr="00EF7620" w:rsidRDefault="5B843AF0" w:rsidP="5B843AF0">
      <w:pPr>
        <w:ind w:right="237"/>
        <w:jc w:val="both"/>
        <w:rPr>
          <w:rFonts w:eastAsia="Arial"/>
          <w:color w:val="000000" w:themeColor="text1"/>
          <w:sz w:val="22"/>
          <w:szCs w:val="22"/>
        </w:rPr>
      </w:pPr>
    </w:p>
    <w:p w14:paraId="5B8E35D7" w14:textId="79E85180" w:rsidR="69F7424F" w:rsidRPr="00EF7620" w:rsidRDefault="001A2A01" w:rsidP="00094341">
      <w:pPr>
        <w:spacing w:line="360" w:lineRule="auto"/>
        <w:ind w:right="237"/>
        <w:rPr>
          <w:rStyle w:val="normaltextrun"/>
          <w:rFonts w:ascii="Tahoma" w:hAnsi="Tahoma" w:cs="Tahoma"/>
          <w:color w:val="000000" w:themeColor="text1"/>
          <w:sz w:val="22"/>
          <w:szCs w:val="22"/>
        </w:rPr>
      </w:pPr>
      <w:r w:rsidRPr="00EF7620">
        <w:rPr>
          <w:rFonts w:ascii="Tahoma" w:hAnsi="Tahoma" w:cs="Tahoma"/>
          <w:sz w:val="22"/>
          <w:szCs w:val="22"/>
        </w:rPr>
        <w:t xml:space="preserve">The National Policing Curriculum </w:t>
      </w:r>
      <w:r w:rsidR="00B90DFA" w:rsidRPr="00EF7620">
        <w:rPr>
          <w:rFonts w:ascii="Tahoma" w:hAnsi="Tahoma" w:cs="Tahoma"/>
          <w:sz w:val="22"/>
          <w:szCs w:val="22"/>
        </w:rPr>
        <w:t xml:space="preserve">focuses on </w:t>
      </w:r>
      <w:r w:rsidRPr="00EF7620">
        <w:rPr>
          <w:rFonts w:ascii="Tahoma" w:hAnsi="Tahoma" w:cs="Tahoma"/>
          <w:sz w:val="22"/>
          <w:szCs w:val="22"/>
        </w:rPr>
        <w:t xml:space="preserve">an extensive </w:t>
      </w:r>
      <w:r w:rsidR="00B90DFA" w:rsidRPr="00EF7620">
        <w:rPr>
          <w:rFonts w:ascii="Tahoma" w:hAnsi="Tahoma" w:cs="Tahoma"/>
          <w:sz w:val="22"/>
          <w:szCs w:val="22"/>
        </w:rPr>
        <w:t>variety of crucial areas in relation to effective law enforcement. Evidence-based policing and vulnerability and risk are two of those areas. Th</w:t>
      </w:r>
      <w:r w:rsidR="008B4944" w:rsidRPr="00EF7620">
        <w:rPr>
          <w:rFonts w:ascii="Tahoma" w:hAnsi="Tahoma" w:cs="Tahoma"/>
          <w:sz w:val="22"/>
          <w:szCs w:val="22"/>
        </w:rPr>
        <w:t>ose skills are necessary to provide</w:t>
      </w:r>
      <w:r w:rsidR="00B90DFA" w:rsidRPr="00EF7620">
        <w:rPr>
          <w:rFonts w:ascii="Tahoma" w:hAnsi="Tahoma" w:cs="Tahoma"/>
          <w:sz w:val="22"/>
          <w:szCs w:val="22"/>
        </w:rPr>
        <w:t xml:space="preserve"> the safety</w:t>
      </w:r>
      <w:r w:rsidR="008B4944" w:rsidRPr="00EF7620">
        <w:rPr>
          <w:rFonts w:ascii="Tahoma" w:hAnsi="Tahoma" w:cs="Tahoma"/>
          <w:sz w:val="22"/>
          <w:szCs w:val="22"/>
        </w:rPr>
        <w:t xml:space="preserve"> and dignity</w:t>
      </w:r>
      <w:r w:rsidR="00B90DFA" w:rsidRPr="00EF7620">
        <w:rPr>
          <w:rFonts w:ascii="Tahoma" w:hAnsi="Tahoma" w:cs="Tahoma"/>
          <w:sz w:val="22"/>
          <w:szCs w:val="22"/>
        </w:rPr>
        <w:t xml:space="preserve"> of communities</w:t>
      </w:r>
      <w:r w:rsidR="008B4944" w:rsidRPr="00EF7620">
        <w:rPr>
          <w:rFonts w:ascii="Tahoma" w:hAnsi="Tahoma" w:cs="Tahoma"/>
          <w:sz w:val="22"/>
          <w:szCs w:val="22"/>
        </w:rPr>
        <w:t xml:space="preserve"> that is upheld and provided</w:t>
      </w:r>
      <w:r w:rsidR="00B90DFA" w:rsidRPr="00EF7620">
        <w:rPr>
          <w:rFonts w:ascii="Tahoma" w:hAnsi="Tahoma" w:cs="Tahoma"/>
          <w:sz w:val="22"/>
          <w:szCs w:val="22"/>
        </w:rPr>
        <w:t xml:space="preserve"> whilst encouraging a further sense of justice and equitability. There is a variety of sources that each differently </w:t>
      </w:r>
      <w:r w:rsidR="008B4944" w:rsidRPr="00EF7620">
        <w:rPr>
          <w:rFonts w:ascii="Tahoma" w:hAnsi="Tahoma" w:cs="Tahoma"/>
          <w:sz w:val="22"/>
          <w:szCs w:val="22"/>
        </w:rPr>
        <w:t>define vulnerability. According to</w:t>
      </w:r>
      <w:r w:rsidR="00291FDB" w:rsidRPr="00EF7620">
        <w:rPr>
          <w:rFonts w:ascii="Tahoma" w:hAnsi="Tahoma" w:cs="Tahoma"/>
          <w:sz w:val="22"/>
          <w:szCs w:val="22"/>
        </w:rPr>
        <w:t xml:space="preserve"> the</w:t>
      </w:r>
      <w:r w:rsidR="008B4944" w:rsidRPr="00EF7620">
        <w:rPr>
          <w:rFonts w:ascii="Tahoma" w:hAnsi="Tahoma" w:cs="Tahoma"/>
          <w:sz w:val="22"/>
          <w:szCs w:val="22"/>
        </w:rPr>
        <w:t xml:space="preserve"> O</w:t>
      </w:r>
      <w:r w:rsidR="00291FDB" w:rsidRPr="00EF7620">
        <w:rPr>
          <w:rFonts w:ascii="Tahoma" w:hAnsi="Tahoma" w:cs="Tahoma"/>
          <w:sz w:val="22"/>
          <w:szCs w:val="22"/>
        </w:rPr>
        <w:t>xford</w:t>
      </w:r>
      <w:r w:rsidR="008B4944" w:rsidRPr="00EF7620">
        <w:rPr>
          <w:rFonts w:ascii="Tahoma" w:hAnsi="Tahoma" w:cs="Tahoma"/>
          <w:sz w:val="22"/>
          <w:szCs w:val="22"/>
        </w:rPr>
        <w:t xml:space="preserve"> E</w:t>
      </w:r>
      <w:r w:rsidR="00291FDB" w:rsidRPr="00EF7620">
        <w:rPr>
          <w:rFonts w:ascii="Tahoma" w:hAnsi="Tahoma" w:cs="Tahoma"/>
          <w:sz w:val="22"/>
          <w:szCs w:val="22"/>
        </w:rPr>
        <w:t>nglish</w:t>
      </w:r>
      <w:r w:rsidR="008B4944" w:rsidRPr="00EF7620">
        <w:rPr>
          <w:rFonts w:ascii="Tahoma" w:hAnsi="Tahoma" w:cs="Tahoma"/>
          <w:sz w:val="22"/>
          <w:szCs w:val="22"/>
        </w:rPr>
        <w:t xml:space="preserve"> dictionary, vulnerability is “the exposure of being harmed or attacked”. The College of Policing authorises the fundamental basis </w:t>
      </w:r>
      <w:r w:rsidR="00291FDB" w:rsidRPr="00EF7620">
        <w:rPr>
          <w:rFonts w:ascii="Tahoma" w:hAnsi="Tahoma" w:cs="Tahoma"/>
          <w:sz w:val="22"/>
          <w:szCs w:val="22"/>
        </w:rPr>
        <w:t>and guidance</w:t>
      </w:r>
      <w:r w:rsidR="008B4944" w:rsidRPr="00EF7620">
        <w:rPr>
          <w:rFonts w:ascii="Tahoma" w:hAnsi="Tahoma" w:cs="Tahoma"/>
          <w:sz w:val="22"/>
          <w:szCs w:val="22"/>
        </w:rPr>
        <w:t xml:space="preserve"> that all police forces must adhere to. The College</w:t>
      </w:r>
      <w:r w:rsidR="00291FDB" w:rsidRPr="00EF7620">
        <w:rPr>
          <w:rFonts w:ascii="Tahoma" w:hAnsi="Tahoma" w:cs="Tahoma"/>
          <w:sz w:val="22"/>
          <w:szCs w:val="22"/>
        </w:rPr>
        <w:t xml:space="preserve"> of Policing (2021)</w:t>
      </w:r>
      <w:r w:rsidR="008B4944" w:rsidRPr="00EF7620">
        <w:rPr>
          <w:rFonts w:ascii="Tahoma" w:hAnsi="Tahoma" w:cs="Tahoma"/>
          <w:sz w:val="22"/>
          <w:szCs w:val="22"/>
        </w:rPr>
        <w:t xml:space="preserve"> </w:t>
      </w:r>
      <w:r w:rsidR="00291FDB" w:rsidRPr="00EF7620">
        <w:rPr>
          <w:rFonts w:ascii="Tahoma" w:hAnsi="Tahoma" w:cs="Tahoma"/>
          <w:sz w:val="22"/>
          <w:szCs w:val="22"/>
        </w:rPr>
        <w:t>defines person as vulnerable” if</w:t>
      </w:r>
      <w:r w:rsidR="008B4944" w:rsidRPr="00EF7620">
        <w:rPr>
          <w:rFonts w:ascii="Tahoma" w:hAnsi="Tahoma" w:cs="Tahoma"/>
          <w:color w:val="040C28"/>
          <w:sz w:val="22"/>
          <w:szCs w:val="22"/>
        </w:rPr>
        <w:t xml:space="preserve">, </w:t>
      </w:r>
      <w:proofErr w:type="gramStart"/>
      <w:r w:rsidR="008B4944" w:rsidRPr="00EF7620">
        <w:rPr>
          <w:rFonts w:ascii="Tahoma" w:hAnsi="Tahoma" w:cs="Tahoma"/>
          <w:color w:val="040C28"/>
          <w:sz w:val="22"/>
          <w:szCs w:val="22"/>
        </w:rPr>
        <w:t>as a result of</w:t>
      </w:r>
      <w:proofErr w:type="gramEnd"/>
      <w:r w:rsidR="008B4944" w:rsidRPr="00EF7620">
        <w:rPr>
          <w:rFonts w:ascii="Tahoma" w:hAnsi="Tahoma" w:cs="Tahoma"/>
          <w:color w:val="040C28"/>
          <w:sz w:val="22"/>
          <w:szCs w:val="22"/>
        </w:rPr>
        <w:t xml:space="preserve"> their situation or circumstances, they are unable to take care of or protect themselves or others from harm or exploitation</w:t>
      </w:r>
      <w:r w:rsidR="008B4944" w:rsidRPr="00EF7620">
        <w:rPr>
          <w:rFonts w:ascii="Tahoma" w:hAnsi="Tahoma" w:cs="Tahoma"/>
          <w:color w:val="1F1F1F"/>
          <w:sz w:val="22"/>
          <w:szCs w:val="22"/>
          <w:shd w:val="clear" w:color="auto" w:fill="FFFFFF"/>
        </w:rPr>
        <w:t>”</w:t>
      </w:r>
      <w:r w:rsidR="00CF2076" w:rsidRPr="00EF7620">
        <w:rPr>
          <w:rFonts w:ascii="Tahoma" w:hAnsi="Tahoma" w:cs="Tahoma"/>
          <w:color w:val="1F1F1F"/>
          <w:sz w:val="22"/>
          <w:szCs w:val="22"/>
          <w:shd w:val="clear" w:color="auto" w:fill="FFFFFF"/>
        </w:rPr>
        <w:t xml:space="preserve">. However, Fineman (2010) argues that “variations amongst humans mean we have particular experience of vulnerability”, therefore simple definitions undermine the complex meaning of the concept. </w:t>
      </w:r>
      <w:r w:rsidR="00B152E5" w:rsidRPr="00EF7620">
        <w:rPr>
          <w:rFonts w:ascii="Tahoma" w:hAnsi="Tahoma" w:cs="Tahoma"/>
          <w:color w:val="1F1F1F"/>
          <w:sz w:val="22"/>
          <w:szCs w:val="22"/>
          <w:shd w:val="clear" w:color="auto" w:fill="FFFFFF"/>
        </w:rPr>
        <w:t xml:space="preserve">The definition outlines the risk which every vulnerable person could face </w:t>
      </w:r>
      <w:proofErr w:type="gramStart"/>
      <w:r w:rsidR="00B152E5" w:rsidRPr="00EF7620">
        <w:rPr>
          <w:rFonts w:ascii="Tahoma" w:hAnsi="Tahoma" w:cs="Tahoma"/>
          <w:color w:val="1F1F1F"/>
          <w:sz w:val="22"/>
          <w:szCs w:val="22"/>
          <w:shd w:val="clear" w:color="auto" w:fill="FFFFFF"/>
        </w:rPr>
        <w:t>as a result of</w:t>
      </w:r>
      <w:proofErr w:type="gramEnd"/>
      <w:r w:rsidR="00B152E5" w:rsidRPr="00EF7620">
        <w:rPr>
          <w:rFonts w:ascii="Tahoma" w:hAnsi="Tahoma" w:cs="Tahoma"/>
          <w:color w:val="1F1F1F"/>
          <w:sz w:val="22"/>
          <w:szCs w:val="22"/>
          <w:shd w:val="clear" w:color="auto" w:fill="FFFFFF"/>
        </w:rPr>
        <w:t xml:space="preserve"> circumstances in which they find themselves. The risk directly interlinks with the vulnerability and circumstances of such individuals, meaning that the severity of a situation may be directly proportional to the risk experienced by the vulnerable </w:t>
      </w:r>
      <w:r w:rsidR="003633C8" w:rsidRPr="00EF7620">
        <w:rPr>
          <w:rFonts w:ascii="Tahoma" w:hAnsi="Tahoma" w:cs="Tahoma"/>
          <w:color w:val="1F1F1F"/>
          <w:sz w:val="22"/>
          <w:szCs w:val="22"/>
          <w:shd w:val="clear" w:color="auto" w:fill="FFFFFF"/>
        </w:rPr>
        <w:t>individual.</w:t>
      </w:r>
      <w:r w:rsidR="00B152E5" w:rsidRPr="00EF7620">
        <w:rPr>
          <w:rFonts w:ascii="Tahoma" w:hAnsi="Tahoma" w:cs="Tahoma"/>
          <w:color w:val="1F1F1F"/>
          <w:sz w:val="22"/>
          <w:szCs w:val="22"/>
          <w:shd w:val="clear" w:color="auto" w:fill="FFFFFF"/>
        </w:rPr>
        <w:t xml:space="preserve"> </w:t>
      </w:r>
      <w:r w:rsidR="00B152E5" w:rsidRPr="00EF7620">
        <w:rPr>
          <w:rFonts w:ascii="Tahoma" w:hAnsi="Tahoma" w:cs="Tahoma"/>
          <w:color w:val="1F1F1F"/>
          <w:sz w:val="22"/>
          <w:szCs w:val="22"/>
          <w:shd w:val="clear" w:color="auto" w:fill="FFFFFF"/>
        </w:rPr>
        <w:lastRenderedPageBreak/>
        <w:t xml:space="preserve">The role of the police is to protect vulnerable individuals despite their circumstances because they themselves </w:t>
      </w:r>
      <w:r w:rsidR="003633C8" w:rsidRPr="00EF7620">
        <w:rPr>
          <w:rFonts w:ascii="Tahoma" w:hAnsi="Tahoma" w:cs="Tahoma"/>
          <w:color w:val="1F1F1F"/>
          <w:sz w:val="22"/>
          <w:szCs w:val="22"/>
          <w:shd w:val="clear" w:color="auto" w:fill="FFFFFF"/>
        </w:rPr>
        <w:t>cannot do</w:t>
      </w:r>
      <w:r w:rsidR="00B152E5" w:rsidRPr="00EF7620">
        <w:rPr>
          <w:rFonts w:ascii="Tahoma" w:hAnsi="Tahoma" w:cs="Tahoma"/>
          <w:color w:val="1F1F1F"/>
          <w:sz w:val="22"/>
          <w:szCs w:val="22"/>
          <w:shd w:val="clear" w:color="auto" w:fill="FFFFFF"/>
        </w:rPr>
        <w:t xml:space="preserve"> so</w:t>
      </w:r>
      <w:r w:rsidR="003633C8" w:rsidRPr="00EF7620">
        <w:rPr>
          <w:rFonts w:ascii="Tahoma" w:hAnsi="Tahoma" w:cs="Tahoma"/>
          <w:color w:val="1F1F1F"/>
          <w:sz w:val="22"/>
          <w:szCs w:val="22"/>
          <w:shd w:val="clear" w:color="auto" w:fill="FFFFFF"/>
        </w:rPr>
        <w:t>.</w:t>
      </w:r>
      <w:r w:rsidR="00D82936" w:rsidRPr="00EF7620">
        <w:rPr>
          <w:rFonts w:ascii="Tahoma" w:hAnsi="Tahoma" w:cs="Tahoma"/>
          <w:color w:val="1F1F1F"/>
          <w:sz w:val="22"/>
          <w:szCs w:val="22"/>
          <w:shd w:val="clear" w:color="auto" w:fill="FFFFFF"/>
        </w:rPr>
        <w:t xml:space="preserve"> Researchers identified a variety of categories of vulnerability, they can be divided into two main forms, these are physical vulnerability and social vulnerability. Physical vulnerability refers to the gender or age of a person whereas social vulnerability is rather based on socio-economic status or race (Rader et al, 2012). </w:t>
      </w:r>
      <w:r w:rsidR="00D82936" w:rsidRPr="00EF7620">
        <w:rPr>
          <w:rFonts w:ascii="Tahoma" w:hAnsi="Tahoma" w:cs="Tahoma"/>
          <w:spacing w:val="3"/>
          <w:sz w:val="22"/>
          <w:szCs w:val="22"/>
        </w:rPr>
        <w:t xml:space="preserve">Evidence-based policing (EBP) refers to utilising </w:t>
      </w:r>
      <w:r w:rsidR="00752A8B" w:rsidRPr="00EF7620">
        <w:rPr>
          <w:rFonts w:ascii="Tahoma" w:hAnsi="Tahoma" w:cs="Tahoma"/>
          <w:spacing w:val="3"/>
          <w:sz w:val="22"/>
          <w:szCs w:val="22"/>
        </w:rPr>
        <w:t>the most competent evidence available to educate and challenge policing policies and practices. Research</w:t>
      </w:r>
      <w:r w:rsidR="00F47EF9" w:rsidRPr="00EF7620">
        <w:rPr>
          <w:rFonts w:ascii="Tahoma" w:hAnsi="Tahoma" w:cs="Tahoma"/>
          <w:spacing w:val="3"/>
          <w:sz w:val="22"/>
          <w:szCs w:val="22"/>
        </w:rPr>
        <w:t xml:space="preserve">ers support </w:t>
      </w:r>
      <w:r w:rsidR="00752A8B" w:rsidRPr="00EF7620">
        <w:rPr>
          <w:rFonts w:ascii="Tahoma" w:hAnsi="Tahoma" w:cs="Tahoma"/>
          <w:spacing w:val="3"/>
          <w:sz w:val="22"/>
          <w:szCs w:val="22"/>
        </w:rPr>
        <w:t xml:space="preserve">EBP </w:t>
      </w:r>
      <w:r w:rsidR="00F47EF9" w:rsidRPr="00EF7620">
        <w:rPr>
          <w:rFonts w:ascii="Tahoma" w:hAnsi="Tahoma" w:cs="Tahoma"/>
          <w:spacing w:val="3"/>
          <w:sz w:val="22"/>
          <w:szCs w:val="22"/>
        </w:rPr>
        <w:t xml:space="preserve">by </w:t>
      </w:r>
      <w:r w:rsidR="00752A8B" w:rsidRPr="00EF7620">
        <w:rPr>
          <w:rFonts w:ascii="Tahoma" w:hAnsi="Tahoma" w:cs="Tahoma"/>
          <w:spacing w:val="3"/>
          <w:sz w:val="22"/>
          <w:szCs w:val="22"/>
        </w:rPr>
        <w:t>assess</w:t>
      </w:r>
      <w:r w:rsidR="00F47EF9" w:rsidRPr="00EF7620">
        <w:rPr>
          <w:rFonts w:ascii="Tahoma" w:hAnsi="Tahoma" w:cs="Tahoma"/>
          <w:spacing w:val="3"/>
          <w:sz w:val="22"/>
          <w:szCs w:val="22"/>
        </w:rPr>
        <w:t>ing</w:t>
      </w:r>
      <w:r w:rsidR="00752A8B" w:rsidRPr="00EF7620">
        <w:rPr>
          <w:rFonts w:ascii="Tahoma" w:hAnsi="Tahoma" w:cs="Tahoma"/>
          <w:spacing w:val="3"/>
          <w:sz w:val="22"/>
          <w:szCs w:val="22"/>
        </w:rPr>
        <w:t xml:space="preserve"> the impact of a policing intervention</w:t>
      </w:r>
      <w:r w:rsidR="00F47EF9" w:rsidRPr="00EF7620">
        <w:rPr>
          <w:rFonts w:ascii="Tahoma" w:hAnsi="Tahoma" w:cs="Tahoma"/>
          <w:spacing w:val="3"/>
          <w:sz w:val="22"/>
          <w:szCs w:val="22"/>
        </w:rPr>
        <w:t xml:space="preserve">. This is done by </w:t>
      </w:r>
      <w:r w:rsidR="00752A8B" w:rsidRPr="00EF7620">
        <w:rPr>
          <w:rFonts w:ascii="Tahoma" w:hAnsi="Tahoma" w:cs="Tahoma"/>
          <w:spacing w:val="3"/>
          <w:sz w:val="22"/>
          <w:szCs w:val="22"/>
        </w:rPr>
        <w:t>analysing the impact of a new initiative in a certain context or investigating the potential repercussions of a change in policing</w:t>
      </w:r>
      <w:r w:rsidR="00F47EF9" w:rsidRPr="00EF7620">
        <w:rPr>
          <w:rFonts w:ascii="Tahoma" w:hAnsi="Tahoma" w:cs="Tahoma"/>
          <w:spacing w:val="3"/>
          <w:sz w:val="22"/>
          <w:szCs w:val="22"/>
        </w:rPr>
        <w:t>,</w:t>
      </w:r>
      <w:r w:rsidR="00752A8B" w:rsidRPr="00EF7620">
        <w:rPr>
          <w:rFonts w:ascii="Tahoma" w:hAnsi="Tahoma" w:cs="Tahoma"/>
          <w:spacing w:val="3"/>
          <w:sz w:val="22"/>
          <w:szCs w:val="22"/>
        </w:rPr>
        <w:t xml:space="preserve"> </w:t>
      </w:r>
      <w:r w:rsidR="00F47EF9" w:rsidRPr="00EF7620">
        <w:rPr>
          <w:rFonts w:ascii="Tahoma" w:hAnsi="Tahoma" w:cs="Tahoma"/>
          <w:spacing w:val="3"/>
          <w:sz w:val="22"/>
          <w:szCs w:val="22"/>
        </w:rPr>
        <w:t>resulting in g</w:t>
      </w:r>
      <w:r w:rsidR="00752A8B" w:rsidRPr="00EF7620">
        <w:rPr>
          <w:rFonts w:ascii="Tahoma" w:hAnsi="Tahoma" w:cs="Tahoma"/>
          <w:spacing w:val="3"/>
          <w:sz w:val="22"/>
          <w:szCs w:val="22"/>
        </w:rPr>
        <w:t>ain</w:t>
      </w:r>
      <w:r w:rsidR="00F47EF9" w:rsidRPr="00EF7620">
        <w:rPr>
          <w:rFonts w:ascii="Tahoma" w:hAnsi="Tahoma" w:cs="Tahoma"/>
          <w:spacing w:val="3"/>
          <w:sz w:val="22"/>
          <w:szCs w:val="22"/>
        </w:rPr>
        <w:t>ing</w:t>
      </w:r>
      <w:r w:rsidR="00752A8B" w:rsidRPr="00EF7620">
        <w:rPr>
          <w:rFonts w:ascii="Tahoma" w:hAnsi="Tahoma" w:cs="Tahoma"/>
          <w:spacing w:val="3"/>
          <w:sz w:val="22"/>
          <w:szCs w:val="22"/>
        </w:rPr>
        <w:t xml:space="preserve"> a better understanding of a problem by describing its nature and potential causes</w:t>
      </w:r>
      <w:r w:rsidR="00F47EF9" w:rsidRPr="00EF7620">
        <w:rPr>
          <w:rFonts w:ascii="Tahoma" w:hAnsi="Tahoma" w:cs="Tahoma"/>
          <w:spacing w:val="3"/>
          <w:sz w:val="22"/>
          <w:szCs w:val="22"/>
        </w:rPr>
        <w:t xml:space="preserve"> by police institutions</w:t>
      </w:r>
      <w:r w:rsidR="00752A8B" w:rsidRPr="00EF7620">
        <w:rPr>
          <w:rFonts w:ascii="Tahoma" w:hAnsi="Tahoma" w:cs="Tahoma"/>
          <w:spacing w:val="3"/>
          <w:sz w:val="22"/>
          <w:szCs w:val="22"/>
        </w:rPr>
        <w:t xml:space="preserve">. Research must be carried out carefully and be open about its limits, techniques, and methods. Evidence-based practice is “built on common foundations including establishing agreement about what counts as evidence, developing strategies for creating evidence in priority areas and associating efforts to systematically accumulate bodies of knowledge, </w:t>
      </w:r>
      <w:r w:rsidR="00FF3EE8" w:rsidRPr="00EF7620">
        <w:rPr>
          <w:rFonts w:ascii="Tahoma" w:hAnsi="Tahoma" w:cs="Tahoma"/>
          <w:spacing w:val="3"/>
          <w:sz w:val="22"/>
          <w:szCs w:val="22"/>
        </w:rPr>
        <w:t>disseminating</w:t>
      </w:r>
      <w:r w:rsidR="00752A8B" w:rsidRPr="00EF7620">
        <w:rPr>
          <w:rFonts w:ascii="Tahoma" w:hAnsi="Tahoma" w:cs="Tahoma"/>
          <w:spacing w:val="3"/>
          <w:sz w:val="22"/>
          <w:szCs w:val="22"/>
        </w:rPr>
        <w:t xml:space="preserve"> research evidence to where it is needed and developing strategies to facilitate integration of evidence into policy and encourage the utilisation of </w:t>
      </w:r>
      <w:r w:rsidR="00FF3EE8" w:rsidRPr="00EF7620">
        <w:rPr>
          <w:rFonts w:ascii="Tahoma" w:hAnsi="Tahoma" w:cs="Tahoma"/>
          <w:spacing w:val="3"/>
          <w:sz w:val="22"/>
          <w:szCs w:val="22"/>
        </w:rPr>
        <w:t>evidence in practice decisions</w:t>
      </w:r>
      <w:r w:rsidR="00752A8B" w:rsidRPr="00EF7620">
        <w:rPr>
          <w:rFonts w:ascii="Tahoma" w:hAnsi="Tahoma" w:cs="Tahoma"/>
          <w:spacing w:val="3"/>
          <w:sz w:val="22"/>
          <w:szCs w:val="22"/>
        </w:rPr>
        <w:t>”</w:t>
      </w:r>
      <w:r w:rsidR="00FF3EE8" w:rsidRPr="00EF7620">
        <w:rPr>
          <w:rFonts w:ascii="Tahoma" w:hAnsi="Tahoma" w:cs="Tahoma"/>
          <w:spacing w:val="3"/>
          <w:sz w:val="22"/>
          <w:szCs w:val="22"/>
        </w:rPr>
        <w:t xml:space="preserve"> (Bullock and Holdaway, 2019, p.1). </w:t>
      </w:r>
      <w:r w:rsidR="00702667" w:rsidRPr="00EF7620">
        <w:rPr>
          <w:rStyle w:val="normaltextrun"/>
          <w:rFonts w:ascii="Tahoma" w:hAnsi="Tahoma" w:cs="Tahoma"/>
          <w:color w:val="000000" w:themeColor="text1"/>
          <w:sz w:val="22"/>
          <w:szCs w:val="22"/>
        </w:rPr>
        <w:t>This workbook aims to critically evaluate the relevance of different methods implemented to support or manage vulnerable people or those at risk of harm. The evaluation in this workbook is based on Evidence-Based Policing in relation in tackling repeat victimisation and repeat offenders.</w:t>
      </w:r>
    </w:p>
    <w:p w14:paraId="7305B1B6" w14:textId="0C222028" w:rsidR="00702667" w:rsidRPr="00EF7620" w:rsidRDefault="00702667" w:rsidP="00094341">
      <w:pPr>
        <w:spacing w:line="360" w:lineRule="auto"/>
        <w:ind w:right="237"/>
        <w:rPr>
          <w:rStyle w:val="normaltextrun"/>
          <w:rFonts w:ascii="Tahoma" w:hAnsi="Tahoma" w:cs="Tahoma"/>
          <w:spacing w:val="3"/>
          <w:sz w:val="22"/>
          <w:szCs w:val="22"/>
        </w:rPr>
      </w:pPr>
    </w:p>
    <w:p w14:paraId="4DAF211D" w14:textId="77777777" w:rsidR="007A2445" w:rsidRPr="00EF7620" w:rsidRDefault="00361603" w:rsidP="00094341">
      <w:pPr>
        <w:pStyle w:val="paragraph"/>
        <w:spacing w:before="0" w:beforeAutospacing="0" w:after="0" w:afterAutospacing="0" w:line="360" w:lineRule="auto"/>
        <w:ind w:right="225"/>
        <w:rPr>
          <w:rStyle w:val="normaltextrun"/>
          <w:rFonts w:ascii="Tahoma" w:hAnsi="Tahoma" w:cs="Tahoma"/>
          <w:color w:val="000000" w:themeColor="text1"/>
          <w:sz w:val="22"/>
          <w:szCs w:val="22"/>
        </w:rPr>
      </w:pPr>
      <w:r w:rsidRPr="00EF7620">
        <w:rPr>
          <w:rStyle w:val="normaltextrun"/>
          <w:rFonts w:ascii="Tahoma" w:hAnsi="Tahoma" w:cs="Tahoma"/>
          <w:color w:val="000000" w:themeColor="text1"/>
          <w:sz w:val="22"/>
          <w:szCs w:val="22"/>
        </w:rPr>
        <w:t xml:space="preserve">Within this workbook I will describe and analyse the ongoing incidents of </w:t>
      </w:r>
      <w:r w:rsidR="007A2445" w:rsidRPr="00EF7620">
        <w:rPr>
          <w:rStyle w:val="normaltextrun"/>
          <w:rFonts w:ascii="Tahoma" w:hAnsi="Tahoma" w:cs="Tahoma"/>
          <w:color w:val="000000" w:themeColor="text1"/>
          <w:sz w:val="22"/>
          <w:szCs w:val="22"/>
        </w:rPr>
        <w:t xml:space="preserve">anti-social behaviour between two neighbours. The College of Policing distinguish three different categories of anti-social behaviour such as: personal, nuisance and </w:t>
      </w:r>
      <w:r w:rsidR="007A2445" w:rsidRPr="00EF7620">
        <w:rPr>
          <w:rStyle w:val="normaltextrun"/>
          <w:rFonts w:ascii="Tahoma" w:hAnsi="Tahoma" w:cs="Tahoma"/>
          <w:sz w:val="22"/>
          <w:szCs w:val="22"/>
        </w:rPr>
        <w:t xml:space="preserve">environmental (College of Policing). </w:t>
      </w:r>
      <w:r w:rsidR="007A2445" w:rsidRPr="00EF7620">
        <w:rPr>
          <w:rStyle w:val="normaltextrun"/>
          <w:rFonts w:ascii="Tahoma" w:hAnsi="Tahoma" w:cs="Tahoma"/>
          <w:color w:val="000000" w:themeColor="text1"/>
          <w:sz w:val="22"/>
          <w:szCs w:val="22"/>
        </w:rPr>
        <w:t xml:space="preserve">Incident I responded to, was a personal one defined as incident intentionally targeting a small groups or individuals and causing stress or concern impacting quality of life for those involved (College of Policing).  </w:t>
      </w:r>
      <w:r w:rsidR="007A2445" w:rsidRPr="00EF7620">
        <w:rPr>
          <w:rStyle w:val="normaltextrun"/>
          <w:rFonts w:ascii="Tahoma" w:hAnsi="Tahoma" w:cs="Tahoma"/>
          <w:sz w:val="22"/>
          <w:szCs w:val="22"/>
        </w:rPr>
        <w:t>People</w:t>
      </w:r>
      <w:r w:rsidR="007A2445" w:rsidRPr="00EF7620">
        <w:rPr>
          <w:rStyle w:val="normaltextrun"/>
          <w:rFonts w:ascii="Tahoma" w:hAnsi="Tahoma" w:cs="Tahoma"/>
          <w:color w:val="FF0000"/>
          <w:sz w:val="22"/>
          <w:szCs w:val="22"/>
        </w:rPr>
        <w:t xml:space="preserve"> </w:t>
      </w:r>
      <w:r w:rsidR="007A2445" w:rsidRPr="00EF7620">
        <w:rPr>
          <w:rStyle w:val="normaltextrun"/>
          <w:rFonts w:ascii="Tahoma" w:hAnsi="Tahoma" w:cs="Tahoma"/>
          <w:color w:val="000000" w:themeColor="text1"/>
          <w:sz w:val="22"/>
          <w:szCs w:val="22"/>
        </w:rPr>
        <w:t xml:space="preserve">involved in the incident reside in semi-detached houses. As a response officer I was involved in the response to the antisocial behaviour between the parties twice by attending the address and once through non deployment intervention. </w:t>
      </w:r>
    </w:p>
    <w:p w14:paraId="52962C14" w14:textId="3A501EBF" w:rsidR="007A2445" w:rsidRPr="00EF7620" w:rsidRDefault="007A2445" w:rsidP="00094341">
      <w:pPr>
        <w:pStyle w:val="paragraph"/>
        <w:spacing w:before="0" w:beforeAutospacing="0" w:after="0" w:afterAutospacing="0" w:line="360" w:lineRule="auto"/>
        <w:ind w:right="225"/>
        <w:rPr>
          <w:rStyle w:val="normaltextrun"/>
          <w:rFonts w:ascii="Tahoma" w:hAnsi="Tahoma" w:cs="Tahoma"/>
          <w:color w:val="000000" w:themeColor="text1"/>
          <w:sz w:val="22"/>
          <w:szCs w:val="22"/>
        </w:rPr>
      </w:pPr>
      <w:r w:rsidRPr="00EF7620">
        <w:rPr>
          <w:rStyle w:val="normaltextrun"/>
          <w:rFonts w:ascii="Tahoma" w:hAnsi="Tahoma" w:cs="Tahoma"/>
          <w:color w:val="000000" w:themeColor="text1"/>
          <w:sz w:val="22"/>
          <w:szCs w:val="22"/>
        </w:rPr>
        <w:t xml:space="preserve">One of the parties is physically disable female (A) living with children and partner next door to the other involved female (B) being in her late fifties living alone at the address. The incident I was personally responding to involved female B causing obstruction to the parking space for disable female A. Female B attached to the vehicle parked outside of </w:t>
      </w:r>
      <w:r w:rsidRPr="00EF7620">
        <w:rPr>
          <w:rStyle w:val="normaltextrun"/>
          <w:rFonts w:ascii="Tahoma" w:hAnsi="Tahoma" w:cs="Tahoma"/>
          <w:color w:val="000000" w:themeColor="text1"/>
          <w:sz w:val="22"/>
          <w:szCs w:val="22"/>
        </w:rPr>
        <w:lastRenderedPageBreak/>
        <w:t>her address clothes drying rack. This caused significant difficulties to the female A who could not park her vehicle in close distance from her property. There was also potential for criminal damage because of the strong wind on the day causing the rack to move in different directions. At attendance I spoke to female A who reported the incident of ASB. Female B was not present at the address and has not answer the call to her mobile number. When I removed the drying rack attached to the vehicle and placed it at female’s B front yard, she communicated with me via doorbell. Allegedly female A repeatedly parks too close to female’s B vehicle causing difficulties with taking off. After long conversation with female A and return to the police station I submitted ASB referral and contacted the Neighbourhood Policing Team (NPT) who usually deals with neighbourhood disputes and ASBs. Usual method I utilised did not bring any effects. After gathering more information from NPT supervisor, I found out that both females were previously arrested and interviewed in relation to incident between parties. The previous intervention of NPT upholding contact and engaging with both parties has not resolve the problem.</w:t>
      </w:r>
      <w:r w:rsidR="00394EF2" w:rsidRPr="00EF7620">
        <w:rPr>
          <w:rStyle w:val="normaltextrun"/>
          <w:rFonts w:ascii="Tahoma" w:hAnsi="Tahoma" w:cs="Tahoma"/>
          <w:color w:val="000000" w:themeColor="text1"/>
          <w:sz w:val="22"/>
          <w:szCs w:val="22"/>
        </w:rPr>
        <w:t xml:space="preserve"> Warnings and mediation with both parties did not bring desired effect. Also, social services intervention was requested. None of the steps taken to solve the situation were effective.</w:t>
      </w:r>
      <w:r w:rsidRPr="00EF7620">
        <w:rPr>
          <w:rStyle w:val="normaltextrun"/>
          <w:rFonts w:ascii="Tahoma" w:hAnsi="Tahoma" w:cs="Tahoma"/>
          <w:color w:val="000000" w:themeColor="text1"/>
          <w:sz w:val="22"/>
          <w:szCs w:val="22"/>
        </w:rPr>
        <w:t xml:space="preserve"> Mental health of female A deteriorated as she perceived herself as being targeted d</w:t>
      </w:r>
      <w:r w:rsidR="00394EF2" w:rsidRPr="00EF7620">
        <w:rPr>
          <w:rStyle w:val="normaltextrun"/>
          <w:rFonts w:ascii="Tahoma" w:hAnsi="Tahoma" w:cs="Tahoma"/>
          <w:color w:val="000000" w:themeColor="text1"/>
          <w:sz w:val="22"/>
          <w:szCs w:val="22"/>
        </w:rPr>
        <w:t>u</w:t>
      </w:r>
      <w:r w:rsidRPr="00EF7620">
        <w:rPr>
          <w:rStyle w:val="normaltextrun"/>
          <w:rFonts w:ascii="Tahoma" w:hAnsi="Tahoma" w:cs="Tahoma"/>
          <w:color w:val="000000" w:themeColor="text1"/>
          <w:sz w:val="22"/>
          <w:szCs w:val="22"/>
        </w:rPr>
        <w:t>e to her disability.</w:t>
      </w:r>
    </w:p>
    <w:p w14:paraId="6625CD3C" w14:textId="164E6A88" w:rsidR="007A2445" w:rsidRPr="00EF7620" w:rsidRDefault="007A2445" w:rsidP="00094341">
      <w:pPr>
        <w:pStyle w:val="paragraph"/>
        <w:spacing w:before="0" w:beforeAutospacing="0" w:after="0" w:afterAutospacing="0" w:line="360" w:lineRule="auto"/>
        <w:ind w:right="225"/>
        <w:rPr>
          <w:rStyle w:val="normaltextrun"/>
          <w:rFonts w:ascii="Tahoma" w:hAnsi="Tahoma" w:cs="Tahoma"/>
          <w:color w:val="000000" w:themeColor="text1"/>
          <w:sz w:val="22"/>
          <w:szCs w:val="22"/>
        </w:rPr>
      </w:pPr>
      <w:r w:rsidRPr="00EF7620">
        <w:rPr>
          <w:rStyle w:val="normaltextrun"/>
          <w:rFonts w:ascii="Tahoma" w:hAnsi="Tahoma" w:cs="Tahoma"/>
          <w:color w:val="000000" w:themeColor="text1"/>
          <w:sz w:val="22"/>
          <w:szCs w:val="22"/>
        </w:rPr>
        <w:t xml:space="preserve">I realised that new method </w:t>
      </w:r>
      <w:proofErr w:type="gramStart"/>
      <w:r w:rsidRPr="00EF7620">
        <w:rPr>
          <w:rStyle w:val="normaltextrun"/>
          <w:rFonts w:ascii="Tahoma" w:hAnsi="Tahoma" w:cs="Tahoma"/>
          <w:color w:val="000000" w:themeColor="text1"/>
          <w:sz w:val="22"/>
          <w:szCs w:val="22"/>
        </w:rPr>
        <w:t>has to</w:t>
      </w:r>
      <w:proofErr w:type="gramEnd"/>
      <w:r w:rsidRPr="00EF7620">
        <w:rPr>
          <w:rStyle w:val="normaltextrun"/>
          <w:rFonts w:ascii="Tahoma" w:hAnsi="Tahoma" w:cs="Tahoma"/>
          <w:color w:val="000000" w:themeColor="text1"/>
          <w:sz w:val="22"/>
          <w:szCs w:val="22"/>
        </w:rPr>
        <w:t xml:space="preserve"> be introduced. </w:t>
      </w:r>
      <w:r w:rsidR="00337FD2" w:rsidRPr="00EF7620">
        <w:rPr>
          <w:rStyle w:val="normaltextrun"/>
          <w:rFonts w:ascii="Tahoma" w:hAnsi="Tahoma" w:cs="Tahoma"/>
          <w:color w:val="000000" w:themeColor="text1"/>
          <w:sz w:val="22"/>
          <w:szCs w:val="22"/>
        </w:rPr>
        <w:t xml:space="preserve"> Being aware of Pilkinton’s case and </w:t>
      </w:r>
      <w:r w:rsidR="00394EF2" w:rsidRPr="00EF7620">
        <w:rPr>
          <w:rStyle w:val="normaltextrun"/>
          <w:rFonts w:ascii="Tahoma" w:hAnsi="Tahoma" w:cs="Tahoma"/>
          <w:color w:val="000000" w:themeColor="text1"/>
          <w:sz w:val="22"/>
          <w:szCs w:val="22"/>
        </w:rPr>
        <w:t>long-lasting</w:t>
      </w:r>
      <w:r w:rsidR="00337FD2" w:rsidRPr="00EF7620">
        <w:rPr>
          <w:rStyle w:val="normaltextrun"/>
          <w:rFonts w:ascii="Tahoma" w:hAnsi="Tahoma" w:cs="Tahoma"/>
          <w:color w:val="000000" w:themeColor="text1"/>
          <w:sz w:val="22"/>
          <w:szCs w:val="22"/>
        </w:rPr>
        <w:t xml:space="preserve"> situation as well as possible hate </w:t>
      </w:r>
      <w:r w:rsidR="00F23580" w:rsidRPr="00EF7620">
        <w:rPr>
          <w:rStyle w:val="normaltextrun"/>
          <w:rFonts w:ascii="Tahoma" w:hAnsi="Tahoma" w:cs="Tahoma"/>
          <w:color w:val="000000" w:themeColor="text1"/>
          <w:sz w:val="22"/>
          <w:szCs w:val="22"/>
        </w:rPr>
        <w:t xml:space="preserve">related incidents (College </w:t>
      </w:r>
      <w:proofErr w:type="gramStart"/>
      <w:r w:rsidR="00F23580" w:rsidRPr="00EF7620">
        <w:rPr>
          <w:rStyle w:val="normaltextrun"/>
          <w:rFonts w:ascii="Tahoma" w:hAnsi="Tahoma" w:cs="Tahoma"/>
          <w:color w:val="000000" w:themeColor="text1"/>
          <w:sz w:val="22"/>
          <w:szCs w:val="22"/>
        </w:rPr>
        <w:t>Of</w:t>
      </w:r>
      <w:proofErr w:type="gramEnd"/>
      <w:r w:rsidR="00F23580" w:rsidRPr="00EF7620">
        <w:rPr>
          <w:rStyle w:val="normaltextrun"/>
          <w:rFonts w:ascii="Tahoma" w:hAnsi="Tahoma" w:cs="Tahoma"/>
          <w:color w:val="000000" w:themeColor="text1"/>
          <w:sz w:val="22"/>
          <w:szCs w:val="22"/>
        </w:rPr>
        <w:t xml:space="preserve"> Policing, “Responding to Hate”)</w:t>
      </w:r>
      <w:r w:rsidR="00394EF2" w:rsidRPr="00EF7620">
        <w:rPr>
          <w:rStyle w:val="normaltextrun"/>
          <w:rFonts w:ascii="Tahoma" w:hAnsi="Tahoma" w:cs="Tahoma"/>
          <w:color w:val="000000" w:themeColor="text1"/>
          <w:sz w:val="22"/>
          <w:szCs w:val="22"/>
        </w:rPr>
        <w:t xml:space="preserve"> </w:t>
      </w:r>
      <w:r w:rsidR="00F23580" w:rsidRPr="00EF7620">
        <w:rPr>
          <w:rStyle w:val="normaltextrun"/>
          <w:rFonts w:ascii="Tahoma" w:hAnsi="Tahoma" w:cs="Tahoma"/>
          <w:color w:val="000000" w:themeColor="text1"/>
          <w:sz w:val="22"/>
          <w:szCs w:val="22"/>
        </w:rPr>
        <w:t xml:space="preserve">and duty bound to safeguard vulnerable person </w:t>
      </w:r>
      <w:r w:rsidR="00BA75CB" w:rsidRPr="00EF7620">
        <w:rPr>
          <w:rStyle w:val="normaltextrun"/>
          <w:rFonts w:ascii="Tahoma" w:hAnsi="Tahoma" w:cs="Tahoma"/>
          <w:color w:val="000000" w:themeColor="text1"/>
          <w:sz w:val="22"/>
          <w:szCs w:val="22"/>
        </w:rPr>
        <w:t>(Hewitt)</w:t>
      </w:r>
      <w:r w:rsidR="00337FD2" w:rsidRPr="00EF7620">
        <w:rPr>
          <w:rStyle w:val="normaltextrun"/>
          <w:rFonts w:ascii="Tahoma" w:hAnsi="Tahoma" w:cs="Tahoma"/>
          <w:color w:val="000000" w:themeColor="text1"/>
          <w:sz w:val="22"/>
          <w:szCs w:val="22"/>
        </w:rPr>
        <w:t xml:space="preserve"> </w:t>
      </w:r>
      <w:r w:rsidRPr="00EF7620">
        <w:rPr>
          <w:rStyle w:val="normaltextrun"/>
          <w:rFonts w:ascii="Tahoma" w:hAnsi="Tahoma" w:cs="Tahoma"/>
          <w:color w:val="000000" w:themeColor="text1"/>
          <w:sz w:val="22"/>
          <w:szCs w:val="22"/>
        </w:rPr>
        <w:t>Basing on Evidence Based Policing and cooperation with independent agencies I decided to request assistance</w:t>
      </w:r>
      <w:r w:rsidR="00394EF2" w:rsidRPr="00EF7620">
        <w:rPr>
          <w:rStyle w:val="normaltextrun"/>
          <w:rFonts w:ascii="Tahoma" w:hAnsi="Tahoma" w:cs="Tahoma"/>
          <w:color w:val="000000" w:themeColor="text1"/>
          <w:sz w:val="22"/>
          <w:szCs w:val="22"/>
        </w:rPr>
        <w:t xml:space="preserve"> from local authorities.</w:t>
      </w:r>
    </w:p>
    <w:p w14:paraId="533F6C0F" w14:textId="3D8C77B6" w:rsidR="007A2445" w:rsidRPr="00EF7620" w:rsidRDefault="007A2445" w:rsidP="00094341">
      <w:pPr>
        <w:pStyle w:val="paragraph"/>
        <w:spacing w:before="0" w:beforeAutospacing="0" w:after="0" w:afterAutospacing="0" w:line="360" w:lineRule="auto"/>
        <w:ind w:right="225"/>
        <w:rPr>
          <w:rStyle w:val="normaltextrun"/>
          <w:rFonts w:ascii="Tahoma" w:hAnsi="Tahoma" w:cs="Tahoma"/>
          <w:color w:val="000000" w:themeColor="text1"/>
          <w:sz w:val="22"/>
          <w:szCs w:val="22"/>
        </w:rPr>
      </w:pPr>
      <w:r w:rsidRPr="00EF7620">
        <w:rPr>
          <w:rStyle w:val="normaltextrun"/>
          <w:rFonts w:ascii="Tahoma" w:hAnsi="Tahoma" w:cs="Tahoma"/>
          <w:color w:val="000000" w:themeColor="text1"/>
          <w:sz w:val="22"/>
          <w:szCs w:val="22"/>
        </w:rPr>
        <w:t xml:space="preserve">Due to the ongoing prolonged conflict multiagency approach was deemed to be the most suitable. Fact that both females were social tenants resulted in the local council and housing associations involvement. This method was highly effective and one of the females has moved out to different address. This solution successfully ceased all issues. All policies and procedure applied by police failed and only cooperation with partner agencies has given </w:t>
      </w:r>
      <w:r w:rsidR="00394EF2" w:rsidRPr="00EF7620">
        <w:rPr>
          <w:rStyle w:val="normaltextrun"/>
          <w:rFonts w:ascii="Tahoma" w:hAnsi="Tahoma" w:cs="Tahoma"/>
          <w:color w:val="000000" w:themeColor="text1"/>
          <w:sz w:val="22"/>
          <w:szCs w:val="22"/>
        </w:rPr>
        <w:t>acceptable</w:t>
      </w:r>
      <w:r w:rsidRPr="00EF7620">
        <w:rPr>
          <w:rStyle w:val="normaltextrun"/>
          <w:rFonts w:ascii="Tahoma" w:hAnsi="Tahoma" w:cs="Tahoma"/>
          <w:color w:val="000000" w:themeColor="text1"/>
          <w:sz w:val="22"/>
          <w:szCs w:val="22"/>
        </w:rPr>
        <w:t xml:space="preserve"> effect. As </w:t>
      </w:r>
      <w:r w:rsidR="00394EF2" w:rsidRPr="00EF7620">
        <w:rPr>
          <w:rStyle w:val="normaltextrun"/>
          <w:rFonts w:ascii="Tahoma" w:hAnsi="Tahoma" w:cs="Tahoma"/>
          <w:color w:val="000000" w:themeColor="text1"/>
          <w:sz w:val="22"/>
          <w:szCs w:val="22"/>
        </w:rPr>
        <w:t>an</w:t>
      </w:r>
      <w:r w:rsidRPr="00EF7620">
        <w:rPr>
          <w:rStyle w:val="normaltextrun"/>
          <w:rFonts w:ascii="Tahoma" w:hAnsi="Tahoma" w:cs="Tahoma"/>
          <w:color w:val="000000" w:themeColor="text1"/>
          <w:sz w:val="22"/>
          <w:szCs w:val="22"/>
        </w:rPr>
        <w:t xml:space="preserve"> officer during probation period and relatively young in service I had previous experience with ASB incidents and neighbourhood disputes. Issuing ASB</w:t>
      </w:r>
      <w:r w:rsidR="00664498" w:rsidRPr="00EF7620">
        <w:rPr>
          <w:rStyle w:val="normaltextrun"/>
          <w:rFonts w:ascii="Tahoma" w:hAnsi="Tahoma" w:cs="Tahoma"/>
          <w:color w:val="000000" w:themeColor="text1"/>
          <w:sz w:val="22"/>
          <w:szCs w:val="22"/>
        </w:rPr>
        <w:t xml:space="preserve"> referral</w:t>
      </w:r>
      <w:r w:rsidR="00394EF2" w:rsidRPr="00EF7620">
        <w:rPr>
          <w:rStyle w:val="normaltextrun"/>
          <w:rFonts w:ascii="Tahoma" w:hAnsi="Tahoma" w:cs="Tahoma"/>
          <w:color w:val="000000" w:themeColor="text1"/>
          <w:sz w:val="22"/>
          <w:szCs w:val="22"/>
        </w:rPr>
        <w:t xml:space="preserve"> and warning notices</w:t>
      </w:r>
      <w:r w:rsidRPr="00EF7620">
        <w:rPr>
          <w:rStyle w:val="normaltextrun"/>
          <w:rFonts w:ascii="Tahoma" w:hAnsi="Tahoma" w:cs="Tahoma"/>
          <w:color w:val="000000" w:themeColor="text1"/>
          <w:sz w:val="22"/>
          <w:szCs w:val="22"/>
        </w:rPr>
        <w:t xml:space="preserve"> </w:t>
      </w:r>
      <w:r w:rsidR="00664498" w:rsidRPr="00EF7620">
        <w:rPr>
          <w:rStyle w:val="normaltextrun"/>
          <w:rFonts w:ascii="Tahoma" w:hAnsi="Tahoma" w:cs="Tahoma"/>
          <w:color w:val="000000" w:themeColor="text1"/>
          <w:sz w:val="22"/>
          <w:szCs w:val="22"/>
        </w:rPr>
        <w:t>have</w:t>
      </w:r>
      <w:r w:rsidRPr="00EF7620">
        <w:rPr>
          <w:rStyle w:val="normaltextrun"/>
          <w:rFonts w:ascii="Tahoma" w:hAnsi="Tahoma" w:cs="Tahoma"/>
          <w:color w:val="000000" w:themeColor="text1"/>
          <w:sz w:val="22"/>
          <w:szCs w:val="22"/>
        </w:rPr>
        <w:t xml:space="preserve"> not brought effect in this case and is more likely to work in response to ASB incidents</w:t>
      </w:r>
      <w:r w:rsidR="00664498" w:rsidRPr="00EF7620">
        <w:rPr>
          <w:rStyle w:val="normaltextrun"/>
          <w:rFonts w:ascii="Tahoma" w:hAnsi="Tahoma" w:cs="Tahoma"/>
          <w:color w:val="000000" w:themeColor="text1"/>
          <w:sz w:val="22"/>
          <w:szCs w:val="22"/>
        </w:rPr>
        <w:t xml:space="preserve"> involving youths</w:t>
      </w:r>
      <w:r w:rsidR="00394EF2" w:rsidRPr="00EF7620">
        <w:rPr>
          <w:rStyle w:val="normaltextrun"/>
          <w:rFonts w:ascii="Tahoma" w:hAnsi="Tahoma" w:cs="Tahoma"/>
          <w:color w:val="000000" w:themeColor="text1"/>
          <w:sz w:val="22"/>
          <w:szCs w:val="22"/>
        </w:rPr>
        <w:t xml:space="preserve"> (Clarke et al. 2011).</w:t>
      </w:r>
    </w:p>
    <w:p w14:paraId="3A5B7F04" w14:textId="77777777" w:rsidR="00664498" w:rsidRPr="00EF7620" w:rsidRDefault="00664498" w:rsidP="00094341">
      <w:pPr>
        <w:pStyle w:val="paragraph"/>
        <w:spacing w:before="0" w:beforeAutospacing="0" w:after="0" w:afterAutospacing="0" w:line="360" w:lineRule="auto"/>
        <w:ind w:right="225"/>
        <w:rPr>
          <w:rStyle w:val="normaltextrun"/>
          <w:rFonts w:ascii="Tahoma" w:hAnsi="Tahoma" w:cs="Tahoma"/>
          <w:color w:val="000000" w:themeColor="text1"/>
          <w:sz w:val="22"/>
          <w:szCs w:val="22"/>
        </w:rPr>
      </w:pPr>
    </w:p>
    <w:p w14:paraId="62216F1C" w14:textId="55281FDC" w:rsidR="00664498" w:rsidRPr="00EF7620" w:rsidRDefault="00664498" w:rsidP="00094341">
      <w:pPr>
        <w:pStyle w:val="paragraph"/>
        <w:spacing w:before="0" w:beforeAutospacing="0" w:after="0" w:afterAutospacing="0" w:line="360" w:lineRule="auto"/>
        <w:ind w:right="225"/>
        <w:rPr>
          <w:rStyle w:val="normaltextrun"/>
          <w:rFonts w:ascii="Tahoma" w:hAnsi="Tahoma" w:cs="Tahoma"/>
          <w:sz w:val="22"/>
          <w:szCs w:val="22"/>
        </w:rPr>
      </w:pPr>
      <w:r w:rsidRPr="00EF7620">
        <w:rPr>
          <w:rStyle w:val="normaltextrun"/>
          <w:rFonts w:ascii="Tahoma" w:hAnsi="Tahoma" w:cs="Tahoma"/>
          <w:sz w:val="22"/>
          <w:szCs w:val="22"/>
        </w:rPr>
        <w:lastRenderedPageBreak/>
        <w:t xml:space="preserve">Evidence based policing focus on theories, one of them identifying that not all strategies bring the same effects in crime reduction and providing public safety. Only strict and systematic approach based on research and reviews can assist in identification and improvement of strategies that are not effective and time/resources consuming. EBP approach </w:t>
      </w:r>
      <w:r w:rsidR="002D3BE7" w:rsidRPr="00EF7620">
        <w:rPr>
          <w:rStyle w:val="normaltextrun"/>
          <w:rFonts w:ascii="Tahoma" w:hAnsi="Tahoma" w:cs="Tahoma"/>
          <w:sz w:val="22"/>
          <w:szCs w:val="22"/>
        </w:rPr>
        <w:t>applied in everyday policing would improve efficient allocation of resources and what more important providing successful and effective service to the public.</w:t>
      </w:r>
    </w:p>
    <w:p w14:paraId="5F330C02" w14:textId="77777777" w:rsidR="00235A78" w:rsidRPr="00EF7620" w:rsidRDefault="002D3BE7" w:rsidP="00094341">
      <w:pPr>
        <w:pStyle w:val="paragraph"/>
        <w:spacing w:before="0" w:beforeAutospacing="0" w:after="0" w:afterAutospacing="0" w:line="360" w:lineRule="auto"/>
        <w:ind w:right="225"/>
        <w:rPr>
          <w:rStyle w:val="normaltextrun"/>
          <w:rFonts w:ascii="Tahoma" w:hAnsi="Tahoma" w:cs="Tahoma"/>
          <w:sz w:val="22"/>
          <w:szCs w:val="22"/>
        </w:rPr>
      </w:pPr>
      <w:r w:rsidRPr="00EF7620">
        <w:rPr>
          <w:rStyle w:val="normaltextrun"/>
          <w:rFonts w:ascii="Tahoma" w:hAnsi="Tahoma" w:cs="Tahoma"/>
          <w:sz w:val="22"/>
          <w:szCs w:val="22"/>
        </w:rPr>
        <w:t xml:space="preserve">To explore methods and policies effective in tackling repeat victimisation and offending </w:t>
      </w:r>
      <w:r w:rsidR="009E3A08" w:rsidRPr="00EF7620">
        <w:rPr>
          <w:rStyle w:val="normaltextrun"/>
          <w:rFonts w:ascii="Tahoma" w:hAnsi="Tahoma" w:cs="Tahoma"/>
          <w:sz w:val="22"/>
          <w:szCs w:val="22"/>
        </w:rPr>
        <w:t xml:space="preserve">it </w:t>
      </w:r>
      <w:proofErr w:type="gramStart"/>
      <w:r w:rsidR="009E3A08" w:rsidRPr="00EF7620">
        <w:rPr>
          <w:rStyle w:val="normaltextrun"/>
          <w:rFonts w:ascii="Tahoma" w:hAnsi="Tahoma" w:cs="Tahoma"/>
          <w:sz w:val="22"/>
          <w:szCs w:val="22"/>
        </w:rPr>
        <w:t>has to</w:t>
      </w:r>
      <w:proofErr w:type="gramEnd"/>
      <w:r w:rsidR="009E3A08" w:rsidRPr="00EF7620">
        <w:rPr>
          <w:rStyle w:val="normaltextrun"/>
          <w:rFonts w:ascii="Tahoma" w:hAnsi="Tahoma" w:cs="Tahoma"/>
          <w:sz w:val="22"/>
          <w:szCs w:val="22"/>
        </w:rPr>
        <w:t xml:space="preserve"> be highlighted that there should not be generalisation in tackling repeat offender targeting vulnerable victims. </w:t>
      </w:r>
      <w:r w:rsidR="00810FC2" w:rsidRPr="00EF7620">
        <w:rPr>
          <w:rStyle w:val="normaltextrun"/>
          <w:rFonts w:ascii="Tahoma" w:hAnsi="Tahoma" w:cs="Tahoma"/>
          <w:sz w:val="22"/>
          <w:szCs w:val="22"/>
        </w:rPr>
        <w:t xml:space="preserve">Where majority (68%) of the perpetrator are males in the incident I was responding to, there were no males involved. </w:t>
      </w:r>
      <w:r w:rsidR="00235A78" w:rsidRPr="00EF7620">
        <w:rPr>
          <w:rStyle w:val="normaltextrun"/>
          <w:rFonts w:ascii="Tahoma" w:hAnsi="Tahoma" w:cs="Tahoma"/>
          <w:sz w:val="22"/>
          <w:szCs w:val="22"/>
        </w:rPr>
        <w:t xml:space="preserve">Approach that was effective in tackling ASB issues caused by young males would not necessarily work in this case. </w:t>
      </w:r>
      <w:r w:rsidR="009E3A08" w:rsidRPr="00EF7620">
        <w:rPr>
          <w:rStyle w:val="normaltextrun"/>
          <w:rFonts w:ascii="Tahoma" w:hAnsi="Tahoma" w:cs="Tahoma"/>
          <w:sz w:val="22"/>
          <w:szCs w:val="22"/>
        </w:rPr>
        <w:t>The individual approach is required due to complexity of the issue.</w:t>
      </w:r>
    </w:p>
    <w:p w14:paraId="1A2248AF" w14:textId="44607EF8" w:rsidR="002D3BE7" w:rsidRPr="00EF7620" w:rsidRDefault="009E3A08" w:rsidP="00094341">
      <w:pPr>
        <w:pStyle w:val="paragraph"/>
        <w:spacing w:before="0" w:beforeAutospacing="0" w:after="0" w:afterAutospacing="0" w:line="360" w:lineRule="auto"/>
        <w:ind w:right="225"/>
        <w:rPr>
          <w:rStyle w:val="normaltextrun"/>
          <w:rFonts w:ascii="Tahoma" w:hAnsi="Tahoma" w:cs="Tahoma"/>
          <w:sz w:val="22"/>
          <w:szCs w:val="22"/>
        </w:rPr>
      </w:pPr>
      <w:r w:rsidRPr="00EF7620">
        <w:rPr>
          <w:rStyle w:val="normaltextrun"/>
          <w:rFonts w:ascii="Tahoma" w:hAnsi="Tahoma" w:cs="Tahoma"/>
          <w:sz w:val="22"/>
          <w:szCs w:val="22"/>
        </w:rPr>
        <w:t xml:space="preserve">Effective method in tackling ASB is early intervention and close cooperation between low enforcement agencies and communities. In Sheffield collaboration of the Community Safety team, NPT, local </w:t>
      </w:r>
      <w:proofErr w:type="gramStart"/>
      <w:r w:rsidRPr="00EF7620">
        <w:rPr>
          <w:rStyle w:val="normaltextrun"/>
          <w:rFonts w:ascii="Tahoma" w:hAnsi="Tahoma" w:cs="Tahoma"/>
          <w:sz w:val="22"/>
          <w:szCs w:val="22"/>
        </w:rPr>
        <w:t>council</w:t>
      </w:r>
      <w:proofErr w:type="gramEnd"/>
      <w:r w:rsidRPr="00EF7620">
        <w:rPr>
          <w:rStyle w:val="normaltextrun"/>
          <w:rFonts w:ascii="Tahoma" w:hAnsi="Tahoma" w:cs="Tahoma"/>
          <w:sz w:val="22"/>
          <w:szCs w:val="22"/>
        </w:rPr>
        <w:t xml:space="preserve"> and engagement of the residents of social tenants caused the reduction of ASB incidents from 5000</w:t>
      </w:r>
      <w:r w:rsidR="0071532A" w:rsidRPr="00EF7620">
        <w:rPr>
          <w:rStyle w:val="normaltextrun"/>
          <w:rFonts w:ascii="Tahoma" w:hAnsi="Tahoma" w:cs="Tahoma"/>
          <w:sz w:val="22"/>
          <w:szCs w:val="22"/>
        </w:rPr>
        <w:t xml:space="preserve"> (2017)</w:t>
      </w:r>
      <w:r w:rsidRPr="00EF7620">
        <w:rPr>
          <w:rStyle w:val="normaltextrun"/>
          <w:rFonts w:ascii="Tahoma" w:hAnsi="Tahoma" w:cs="Tahoma"/>
          <w:sz w:val="22"/>
          <w:szCs w:val="22"/>
        </w:rPr>
        <w:t xml:space="preserve"> to </w:t>
      </w:r>
      <w:r w:rsidR="0071532A" w:rsidRPr="00EF7620">
        <w:rPr>
          <w:rStyle w:val="normaltextrun"/>
          <w:rFonts w:ascii="Tahoma" w:hAnsi="Tahoma" w:cs="Tahoma"/>
          <w:sz w:val="22"/>
          <w:szCs w:val="22"/>
        </w:rPr>
        <w:t>under</w:t>
      </w:r>
      <w:r w:rsidRPr="00EF7620">
        <w:rPr>
          <w:rStyle w:val="normaltextrun"/>
          <w:rFonts w:ascii="Tahoma" w:hAnsi="Tahoma" w:cs="Tahoma"/>
          <w:sz w:val="22"/>
          <w:szCs w:val="22"/>
        </w:rPr>
        <w:t xml:space="preserve"> 3000 incidents </w:t>
      </w:r>
      <w:r w:rsidR="0071532A" w:rsidRPr="00EF7620">
        <w:rPr>
          <w:rStyle w:val="normaltextrun"/>
          <w:rFonts w:ascii="Tahoma" w:hAnsi="Tahoma" w:cs="Tahoma"/>
          <w:sz w:val="22"/>
          <w:szCs w:val="22"/>
        </w:rPr>
        <w:t>(2020). When the number is still significant the reduction in incidents cannot be undermined (Local Government Association, 2021).</w:t>
      </w:r>
    </w:p>
    <w:p w14:paraId="3F191DFD" w14:textId="44F3CC8E" w:rsidR="00810FC2" w:rsidRPr="00EF7620" w:rsidRDefault="00B1722E" w:rsidP="00094341">
      <w:pPr>
        <w:pStyle w:val="paragraph"/>
        <w:spacing w:before="0" w:beforeAutospacing="0" w:after="0" w:afterAutospacing="0" w:line="360" w:lineRule="auto"/>
        <w:ind w:right="225"/>
        <w:rPr>
          <w:rStyle w:val="normaltextrun"/>
          <w:rFonts w:ascii="Tahoma" w:hAnsi="Tahoma" w:cs="Tahoma"/>
          <w:sz w:val="22"/>
          <w:szCs w:val="22"/>
        </w:rPr>
      </w:pPr>
      <w:r w:rsidRPr="00EF7620">
        <w:rPr>
          <w:rStyle w:val="normaltextrun"/>
          <w:rFonts w:ascii="Tahoma" w:hAnsi="Tahoma" w:cs="Tahoma"/>
          <w:sz w:val="22"/>
          <w:szCs w:val="22"/>
        </w:rPr>
        <w:t>Studies shown that more than 50% of the ASB interventions were aimed at young people aged under 18 and that in majority of cases in this age group one intervention has been effective. In relation to adults, the ASB were more serious and persistent, indicating complex nature of perpetrators’ needs and difficulties faced by agencies dealing with these incidents of ASB</w:t>
      </w:r>
      <w:r w:rsidR="00810FC2" w:rsidRPr="00EF7620">
        <w:rPr>
          <w:rStyle w:val="normaltextrun"/>
          <w:rFonts w:ascii="Tahoma" w:hAnsi="Tahoma" w:cs="Tahoma"/>
          <w:sz w:val="22"/>
          <w:szCs w:val="22"/>
        </w:rPr>
        <w:t xml:space="preserve"> (Clarke et al.)</w:t>
      </w:r>
      <w:r w:rsidRPr="00EF7620">
        <w:rPr>
          <w:rStyle w:val="normaltextrun"/>
          <w:rFonts w:ascii="Tahoma" w:hAnsi="Tahoma" w:cs="Tahoma"/>
          <w:sz w:val="22"/>
          <w:szCs w:val="22"/>
        </w:rPr>
        <w:t xml:space="preserve"> </w:t>
      </w:r>
      <w:r w:rsidR="00810FC2" w:rsidRPr="00EF7620">
        <w:rPr>
          <w:rStyle w:val="normaltextrun"/>
          <w:rFonts w:ascii="Tahoma" w:hAnsi="Tahoma" w:cs="Tahoma"/>
          <w:sz w:val="22"/>
          <w:szCs w:val="22"/>
        </w:rPr>
        <w:t>The same report highlighted that i</w:t>
      </w:r>
      <w:r w:rsidRPr="00EF7620">
        <w:rPr>
          <w:rStyle w:val="normaltextrun"/>
          <w:rFonts w:ascii="Tahoma" w:hAnsi="Tahoma" w:cs="Tahoma"/>
          <w:sz w:val="22"/>
          <w:szCs w:val="22"/>
        </w:rPr>
        <w:t xml:space="preserve">n many cases perpetrators have faced the enforcement </w:t>
      </w:r>
      <w:r w:rsidR="00810FC2" w:rsidRPr="00EF7620">
        <w:rPr>
          <w:rStyle w:val="normaltextrun"/>
          <w:rFonts w:ascii="Tahoma" w:hAnsi="Tahoma" w:cs="Tahoma"/>
          <w:sz w:val="22"/>
          <w:szCs w:val="22"/>
        </w:rPr>
        <w:t xml:space="preserve">without any support. These have led in many cases to reoffending and further repercussions. </w:t>
      </w:r>
    </w:p>
    <w:p w14:paraId="2E99B4E3" w14:textId="265A5020" w:rsidR="00A54035" w:rsidRPr="00EF7620" w:rsidRDefault="00A54035" w:rsidP="00094341">
      <w:pPr>
        <w:pStyle w:val="paragraph"/>
        <w:spacing w:before="0" w:beforeAutospacing="0" w:after="0" w:afterAutospacing="0" w:line="360" w:lineRule="auto"/>
        <w:ind w:right="225"/>
        <w:rPr>
          <w:rStyle w:val="normaltextrun"/>
          <w:rFonts w:ascii="Tahoma" w:hAnsi="Tahoma" w:cs="Tahoma"/>
          <w:sz w:val="22"/>
          <w:szCs w:val="22"/>
        </w:rPr>
      </w:pPr>
      <w:r w:rsidRPr="00EF7620">
        <w:rPr>
          <w:rStyle w:val="normaltextrun"/>
          <w:rFonts w:ascii="Tahoma" w:hAnsi="Tahoma" w:cs="Tahoma"/>
          <w:sz w:val="22"/>
          <w:szCs w:val="22"/>
        </w:rPr>
        <w:t xml:space="preserve">Another effective approach focused on repeated victims of ASB was implemented by Surrey County Council’s community safety team. This program focused on couching and mentoring for victims to build up their confidence and coping mechanism in response to ASB incidents. This multi- agency approach founded by local authority, the OPCC, police, housing association and volunteers provided tailored help and training for those affected by reoccurring ASB issues. Coping techniques and building stress resilience improved quality of life those concerned and </w:t>
      </w:r>
      <w:r w:rsidR="007A4363" w:rsidRPr="00EF7620">
        <w:rPr>
          <w:rStyle w:val="normaltextrun"/>
          <w:rFonts w:ascii="Tahoma" w:hAnsi="Tahoma" w:cs="Tahoma"/>
          <w:sz w:val="22"/>
          <w:szCs w:val="22"/>
        </w:rPr>
        <w:t>empowered them to report further incident without fear for repercussions (Surrey Council, 2021).</w:t>
      </w:r>
    </w:p>
    <w:p w14:paraId="39FD170A" w14:textId="657BB9A8" w:rsidR="000D4BE8" w:rsidRPr="00EF7620" w:rsidRDefault="000D4BE8" w:rsidP="00094341">
      <w:pPr>
        <w:pStyle w:val="paragraph"/>
        <w:spacing w:before="0" w:beforeAutospacing="0" w:after="0" w:afterAutospacing="0" w:line="360" w:lineRule="auto"/>
        <w:ind w:right="225"/>
        <w:rPr>
          <w:rFonts w:ascii="Tahoma" w:hAnsi="Tahoma" w:cs="Tahoma"/>
          <w:sz w:val="22"/>
          <w:szCs w:val="22"/>
          <w:shd w:val="clear" w:color="auto" w:fill="FFFFFF"/>
        </w:rPr>
      </w:pPr>
      <w:proofErr w:type="gramStart"/>
      <w:r w:rsidRPr="00EF7620">
        <w:rPr>
          <w:rStyle w:val="normaltextrun"/>
          <w:rFonts w:ascii="Tahoma" w:hAnsi="Tahoma" w:cs="Tahoma"/>
          <w:sz w:val="22"/>
          <w:szCs w:val="22"/>
        </w:rPr>
        <w:t>In regard to</w:t>
      </w:r>
      <w:proofErr w:type="gramEnd"/>
      <w:r w:rsidRPr="00EF7620">
        <w:rPr>
          <w:rStyle w:val="normaltextrun"/>
          <w:rFonts w:ascii="Tahoma" w:hAnsi="Tahoma" w:cs="Tahoma"/>
          <w:sz w:val="22"/>
          <w:szCs w:val="22"/>
        </w:rPr>
        <w:t xml:space="preserve"> domestic violence repeat victims and perpetrators variety of research have been conducted to understand the patterns of behaviours and triggers causing offenders </w:t>
      </w:r>
      <w:r w:rsidRPr="00EF7620">
        <w:rPr>
          <w:rStyle w:val="normaltextrun"/>
          <w:rFonts w:ascii="Tahoma" w:hAnsi="Tahoma" w:cs="Tahoma"/>
          <w:sz w:val="22"/>
          <w:szCs w:val="22"/>
        </w:rPr>
        <w:lastRenderedPageBreak/>
        <w:t xml:space="preserve">to harm their vulnerable partners. Studies investigated what victim support is most effective and tailored and its impact on the Criminal Justise. In majority of DV cases victims withdraw the support before the fifth day after the offence occurred </w:t>
      </w:r>
      <w:r w:rsidRPr="00EF7620">
        <w:rPr>
          <w:rFonts w:ascii="Tahoma" w:hAnsi="Tahoma" w:cs="Tahoma"/>
          <w:sz w:val="22"/>
          <w:szCs w:val="22"/>
          <w:shd w:val="clear" w:color="auto" w:fill="FFFFFF"/>
        </w:rPr>
        <w:t>(Barrow-Grint, </w:t>
      </w:r>
      <w:hyperlink r:id="rId15" w:anchor="ref-CR1" w:tooltip="Barrow-Grint, K. (2016). Attrition rates in domestic abuse: Time for a change? An application of temporal sequencing theory. Policing, 10(3), 250–263." w:history="1">
        <w:r w:rsidRPr="00EF7620">
          <w:rPr>
            <w:rStyle w:val="Hyperlink"/>
            <w:rFonts w:ascii="Tahoma" w:hAnsi="Tahoma" w:cs="Tahoma"/>
            <w:color w:val="auto"/>
            <w:sz w:val="22"/>
            <w:szCs w:val="22"/>
            <w:shd w:val="clear" w:color="auto" w:fill="FFFFFF"/>
          </w:rPr>
          <w:t>2016</w:t>
        </w:r>
      </w:hyperlink>
      <w:r w:rsidRPr="00EF7620">
        <w:rPr>
          <w:rFonts w:ascii="Tahoma" w:hAnsi="Tahoma" w:cs="Tahoma"/>
          <w:sz w:val="22"/>
          <w:szCs w:val="22"/>
          <w:shd w:val="clear" w:color="auto" w:fill="FFFFFF"/>
        </w:rPr>
        <w:t>)</w:t>
      </w:r>
      <w:r w:rsidRPr="00EF7620">
        <w:rPr>
          <w:rStyle w:val="normaltextrun"/>
          <w:rFonts w:ascii="Tahoma" w:hAnsi="Tahoma" w:cs="Tahoma"/>
          <w:sz w:val="22"/>
          <w:szCs w:val="22"/>
        </w:rPr>
        <w:t xml:space="preserve">. Introduction of Independent Domestic Violence Advisor in 2005 aimed to change the </w:t>
      </w:r>
      <w:r w:rsidR="00597CBD" w:rsidRPr="00EF7620">
        <w:rPr>
          <w:rStyle w:val="normaltextrun"/>
          <w:rFonts w:ascii="Tahoma" w:hAnsi="Tahoma" w:cs="Tahoma"/>
          <w:sz w:val="22"/>
          <w:szCs w:val="22"/>
        </w:rPr>
        <w:t>outcome by providing individual support to the high-risk victims and to bring offenders to justice. However, study conducted by Ross et al. (2022) concluded that tailored IDVA’s support at the day of court trial resulted in 12% lower conviction rate and “</w:t>
      </w:r>
      <w:r w:rsidR="00597CBD" w:rsidRPr="00EF7620">
        <w:rPr>
          <w:rFonts w:ascii="Tahoma" w:hAnsi="Tahoma" w:cs="Tahoma"/>
          <w:sz w:val="22"/>
          <w:szCs w:val="22"/>
          <w:shd w:val="clear" w:color="auto" w:fill="FFFFFF"/>
        </w:rPr>
        <w:t>96% higher risk of being followed by a repeat domestic abuse incident in the 18 months after trial than trials in the no-IDVA comparison group”</w:t>
      </w:r>
      <w:r w:rsidR="00B73852" w:rsidRPr="00EF7620">
        <w:rPr>
          <w:rFonts w:ascii="Tahoma" w:hAnsi="Tahoma" w:cs="Tahoma"/>
          <w:sz w:val="22"/>
          <w:szCs w:val="22"/>
          <w:shd w:val="clear" w:color="auto" w:fill="FFFFFF"/>
        </w:rPr>
        <w:t xml:space="preserve"> (</w:t>
      </w:r>
      <w:r w:rsidR="00B73852" w:rsidRPr="00EF7620">
        <w:rPr>
          <w:rStyle w:val="normaltextrun"/>
          <w:rFonts w:ascii="Tahoma" w:hAnsi="Tahoma" w:cs="Tahoma"/>
          <w:sz w:val="22"/>
          <w:szCs w:val="22"/>
        </w:rPr>
        <w:t>Ross et al</w:t>
      </w:r>
      <w:r w:rsidR="00B73852" w:rsidRPr="00EF7620">
        <w:rPr>
          <w:rFonts w:ascii="Tahoma" w:hAnsi="Tahoma" w:cs="Tahoma"/>
          <w:color w:val="222222"/>
          <w:sz w:val="22"/>
          <w:szCs w:val="22"/>
          <w:shd w:val="clear" w:color="auto" w:fill="FFFFFF"/>
        </w:rPr>
        <w:t xml:space="preserve">, pp. </w:t>
      </w:r>
      <w:r w:rsidR="00B73852" w:rsidRPr="00EF7620">
        <w:rPr>
          <w:rFonts w:ascii="Tahoma" w:hAnsi="Tahoma" w:cs="Tahoma"/>
          <w:sz w:val="22"/>
          <w:szCs w:val="22"/>
          <w:shd w:val="clear" w:color="auto" w:fill="FFFFFF"/>
        </w:rPr>
        <w:t>54–68 (2022).</w:t>
      </w:r>
    </w:p>
    <w:p w14:paraId="7C9BB4B2" w14:textId="77777777" w:rsidR="00094341" w:rsidRPr="00EF7620" w:rsidRDefault="00B73852" w:rsidP="00094341">
      <w:pPr>
        <w:pStyle w:val="paragraph"/>
        <w:spacing w:before="0" w:beforeAutospacing="0" w:after="0" w:afterAutospacing="0" w:line="360" w:lineRule="auto"/>
        <w:ind w:right="225"/>
        <w:rPr>
          <w:rFonts w:ascii="Tahoma" w:hAnsi="Tahoma" w:cs="Tahoma"/>
          <w:sz w:val="22"/>
          <w:szCs w:val="22"/>
          <w:shd w:val="clear" w:color="auto" w:fill="FFFFFF"/>
        </w:rPr>
      </w:pPr>
      <w:r w:rsidRPr="00EF7620">
        <w:rPr>
          <w:rFonts w:ascii="Tahoma" w:hAnsi="Tahoma" w:cs="Tahoma"/>
          <w:sz w:val="22"/>
          <w:szCs w:val="22"/>
          <w:shd w:val="clear" w:color="auto" w:fill="FFFFFF"/>
        </w:rPr>
        <w:t xml:space="preserve">Where this researched does not aim to undermine the service provided by IDVA to </w:t>
      </w:r>
      <w:r w:rsidR="00094341" w:rsidRPr="00EF7620">
        <w:rPr>
          <w:rFonts w:ascii="Tahoma" w:hAnsi="Tahoma" w:cs="Tahoma"/>
          <w:sz w:val="22"/>
          <w:szCs w:val="22"/>
          <w:shd w:val="clear" w:color="auto" w:fill="FFFFFF"/>
        </w:rPr>
        <w:t>high-risk</w:t>
      </w:r>
      <w:r w:rsidRPr="00EF7620">
        <w:rPr>
          <w:rFonts w:ascii="Tahoma" w:hAnsi="Tahoma" w:cs="Tahoma"/>
          <w:sz w:val="22"/>
          <w:szCs w:val="22"/>
          <w:shd w:val="clear" w:color="auto" w:fill="FFFFFF"/>
        </w:rPr>
        <w:t xml:space="preserve"> victim of DV it </w:t>
      </w:r>
      <w:r w:rsidR="00094341" w:rsidRPr="00EF7620">
        <w:rPr>
          <w:rFonts w:ascii="Tahoma" w:hAnsi="Tahoma" w:cs="Tahoma"/>
          <w:sz w:val="22"/>
          <w:szCs w:val="22"/>
          <w:shd w:val="clear" w:color="auto" w:fill="FFFFFF"/>
        </w:rPr>
        <w:t>points</w:t>
      </w:r>
      <w:r w:rsidRPr="00EF7620">
        <w:rPr>
          <w:rFonts w:ascii="Tahoma" w:hAnsi="Tahoma" w:cs="Tahoma"/>
          <w:sz w:val="22"/>
          <w:szCs w:val="22"/>
          <w:shd w:val="clear" w:color="auto" w:fill="FFFFFF"/>
        </w:rPr>
        <w:t xml:space="preserve"> out the possibility for the outcomes of IDVAs involvement differ from those intended. </w:t>
      </w:r>
    </w:p>
    <w:p w14:paraId="642DBCED" w14:textId="77777777" w:rsidR="00094341" w:rsidRPr="00EF7620" w:rsidRDefault="00094341" w:rsidP="00094341">
      <w:pPr>
        <w:pStyle w:val="paragraph"/>
        <w:spacing w:before="0" w:beforeAutospacing="0" w:after="0" w:afterAutospacing="0" w:line="360" w:lineRule="auto"/>
        <w:ind w:right="225"/>
        <w:rPr>
          <w:rFonts w:ascii="Tahoma" w:hAnsi="Tahoma" w:cs="Tahoma"/>
          <w:sz w:val="22"/>
          <w:szCs w:val="22"/>
          <w:shd w:val="clear" w:color="auto" w:fill="FFFFFF"/>
        </w:rPr>
      </w:pPr>
    </w:p>
    <w:p w14:paraId="7748C613" w14:textId="1E3BD2E1" w:rsidR="00094341" w:rsidRPr="00EF7620" w:rsidRDefault="00094341" w:rsidP="00094341">
      <w:pPr>
        <w:pStyle w:val="paragraph"/>
        <w:spacing w:before="0" w:beforeAutospacing="0" w:after="0" w:afterAutospacing="0" w:line="360" w:lineRule="auto"/>
        <w:ind w:right="225"/>
        <w:rPr>
          <w:rFonts w:ascii="Tahoma" w:hAnsi="Tahoma" w:cs="Tahoma"/>
          <w:sz w:val="22"/>
          <w:szCs w:val="22"/>
          <w:shd w:val="clear" w:color="auto" w:fill="FFFFFF"/>
        </w:rPr>
      </w:pPr>
      <w:r w:rsidRPr="00EF7620">
        <w:rPr>
          <w:rFonts w:ascii="Tahoma" w:hAnsi="Tahoma" w:cs="Tahoma"/>
          <w:sz w:val="22"/>
          <w:szCs w:val="22"/>
          <w:shd w:val="clear" w:color="auto" w:fill="FFFFFF"/>
        </w:rPr>
        <w:t xml:space="preserve">The studies mentioned </w:t>
      </w:r>
      <w:r w:rsidR="00183B3F" w:rsidRPr="00EF7620">
        <w:rPr>
          <w:rFonts w:ascii="Tahoma" w:hAnsi="Tahoma" w:cs="Tahoma"/>
          <w:sz w:val="22"/>
          <w:szCs w:val="22"/>
          <w:shd w:val="clear" w:color="auto" w:fill="FFFFFF"/>
        </w:rPr>
        <w:t>above,</w:t>
      </w:r>
      <w:r w:rsidRPr="00EF7620">
        <w:rPr>
          <w:rFonts w:ascii="Tahoma" w:hAnsi="Tahoma" w:cs="Tahoma"/>
          <w:sz w:val="22"/>
          <w:szCs w:val="22"/>
          <w:shd w:val="clear" w:color="auto" w:fill="FFFFFF"/>
        </w:rPr>
        <w:t xml:space="preserve"> and complexity of everyday policing indicate that EBP would be the best approach in providing tailored effective and efficient service to the public. However, the police service is an institution with certain culture. To adapt the institutional approach to EPB mean extended period of </w:t>
      </w:r>
      <w:r w:rsidR="00183B3F" w:rsidRPr="00EF7620">
        <w:rPr>
          <w:rFonts w:ascii="Tahoma" w:hAnsi="Tahoma" w:cs="Tahoma"/>
          <w:sz w:val="22"/>
          <w:szCs w:val="22"/>
          <w:shd w:val="clear" w:color="auto" w:fill="FFFFFF"/>
        </w:rPr>
        <w:t>cultural and operational changes is required.</w:t>
      </w:r>
      <w:r w:rsidRPr="00EF7620">
        <w:rPr>
          <w:rFonts w:ascii="Tahoma" w:hAnsi="Tahoma" w:cs="Tahoma"/>
          <w:sz w:val="22"/>
          <w:szCs w:val="22"/>
          <w:shd w:val="clear" w:color="auto" w:fill="FFFFFF"/>
        </w:rPr>
        <w:t xml:space="preserve"> </w:t>
      </w:r>
      <w:r w:rsidR="00915BD5" w:rsidRPr="00EF7620">
        <w:rPr>
          <w:rFonts w:ascii="Tahoma" w:hAnsi="Tahoma" w:cs="Tahoma"/>
          <w:sz w:val="22"/>
          <w:szCs w:val="22"/>
          <w:shd w:val="clear" w:color="auto" w:fill="FFFFFF"/>
        </w:rPr>
        <w:t>T</w:t>
      </w:r>
      <w:r w:rsidRPr="00EF7620">
        <w:rPr>
          <w:rFonts w:ascii="Tahoma" w:hAnsi="Tahoma" w:cs="Tahoma"/>
          <w:sz w:val="22"/>
          <w:szCs w:val="22"/>
          <w:shd w:val="clear" w:color="auto" w:fill="FFFFFF"/>
        </w:rPr>
        <w:t xml:space="preserve">o assimilate and progress EBP introduction </w:t>
      </w:r>
      <w:r w:rsidR="00915BD5" w:rsidRPr="00EF7620">
        <w:rPr>
          <w:rFonts w:ascii="Tahoma" w:hAnsi="Tahoma" w:cs="Tahoma"/>
          <w:sz w:val="22"/>
          <w:szCs w:val="22"/>
          <w:shd w:val="clear" w:color="auto" w:fill="FFFFFF"/>
        </w:rPr>
        <w:t>more training among higher rank and experienced officers is required as well as open-minded attitude to change existing policies providing direct guidelines for all officers. Training new recruits with EBP approach is beginning of the change however the progress might be lost during probationers need of being accepted and assimilating into existing policing culture.</w:t>
      </w:r>
      <w:r w:rsidR="00FE4BD7" w:rsidRPr="00EF7620">
        <w:rPr>
          <w:rFonts w:ascii="Tahoma" w:hAnsi="Tahoma" w:cs="Tahoma"/>
          <w:sz w:val="22"/>
          <w:szCs w:val="22"/>
          <w:shd w:val="clear" w:color="auto" w:fill="FFFFFF"/>
        </w:rPr>
        <w:t xml:space="preserve"> To achieve expected outcome of evidence-based policing the close alliance between police practitioners and researchers is essential and necessary. It is also required for the policies to be regularly reviewed and evaluated </w:t>
      </w:r>
      <w:proofErr w:type="gramStart"/>
      <w:r w:rsidR="00FE4BD7" w:rsidRPr="00EF7620">
        <w:rPr>
          <w:rFonts w:ascii="Tahoma" w:hAnsi="Tahoma" w:cs="Tahoma"/>
          <w:sz w:val="22"/>
          <w:szCs w:val="22"/>
          <w:shd w:val="clear" w:color="auto" w:fill="FFFFFF"/>
        </w:rPr>
        <w:t>in regard to</w:t>
      </w:r>
      <w:proofErr w:type="gramEnd"/>
      <w:r w:rsidR="00FE4BD7" w:rsidRPr="00EF7620">
        <w:rPr>
          <w:rFonts w:ascii="Tahoma" w:hAnsi="Tahoma" w:cs="Tahoma"/>
          <w:sz w:val="22"/>
          <w:szCs w:val="22"/>
          <w:shd w:val="clear" w:color="auto" w:fill="FFFFFF"/>
        </w:rPr>
        <w:t xml:space="preserve"> implementing necessary adaptations based on unbiased research. This approach advocates transparency and accountability and ensure that undertaken decisions are based on an objective data. Moreover</w:t>
      </w:r>
      <w:r w:rsidR="007E40D1" w:rsidRPr="00EF7620">
        <w:rPr>
          <w:rFonts w:ascii="Tahoma" w:hAnsi="Tahoma" w:cs="Tahoma"/>
          <w:sz w:val="22"/>
          <w:szCs w:val="22"/>
          <w:shd w:val="clear" w:color="auto" w:fill="FFFFFF"/>
        </w:rPr>
        <w:t>,</w:t>
      </w:r>
      <w:r w:rsidR="00FE4BD7" w:rsidRPr="00EF7620">
        <w:rPr>
          <w:rFonts w:ascii="Tahoma" w:hAnsi="Tahoma" w:cs="Tahoma"/>
          <w:sz w:val="22"/>
          <w:szCs w:val="22"/>
          <w:shd w:val="clear" w:color="auto" w:fill="FFFFFF"/>
        </w:rPr>
        <w:t xml:space="preserve"> EBP </w:t>
      </w:r>
      <w:r w:rsidR="007E40D1" w:rsidRPr="00EF7620">
        <w:rPr>
          <w:rFonts w:ascii="Tahoma" w:hAnsi="Tahoma" w:cs="Tahoma"/>
          <w:sz w:val="22"/>
          <w:szCs w:val="22"/>
          <w:shd w:val="clear" w:color="auto" w:fill="FFFFFF"/>
        </w:rPr>
        <w:t>approach cause the officers to be skilled in critical thinking and increase their ability to analyse variety of aspects thoroughly which in consequences will lead to providing high quality of service to the public.</w:t>
      </w:r>
    </w:p>
    <w:p w14:paraId="52FC2EB5" w14:textId="77777777" w:rsidR="00094341" w:rsidRPr="00EF7620" w:rsidRDefault="00094341" w:rsidP="00597CBD">
      <w:pPr>
        <w:pStyle w:val="paragraph"/>
        <w:spacing w:before="0" w:beforeAutospacing="0" w:after="0" w:afterAutospacing="0" w:line="480" w:lineRule="auto"/>
        <w:ind w:right="225"/>
        <w:rPr>
          <w:rFonts w:ascii="Tahoma" w:hAnsi="Tahoma" w:cs="Tahoma"/>
          <w:sz w:val="22"/>
          <w:szCs w:val="22"/>
          <w:shd w:val="clear" w:color="auto" w:fill="FFFFFF"/>
        </w:rPr>
      </w:pPr>
    </w:p>
    <w:p w14:paraId="0ECBF4F2" w14:textId="7EE4A92E" w:rsidR="00094341" w:rsidRPr="00EF7620" w:rsidRDefault="00EF7620" w:rsidP="00597CBD">
      <w:pPr>
        <w:pStyle w:val="paragraph"/>
        <w:spacing w:before="0" w:beforeAutospacing="0" w:after="0" w:afterAutospacing="0" w:line="480" w:lineRule="auto"/>
        <w:ind w:right="225"/>
        <w:rPr>
          <w:rStyle w:val="normaltextrun"/>
          <w:rFonts w:ascii="Tahoma" w:hAnsi="Tahoma" w:cs="Tahoma"/>
          <w:b/>
          <w:bCs/>
          <w:sz w:val="22"/>
          <w:szCs w:val="22"/>
        </w:rPr>
      </w:pPr>
      <w:r w:rsidRPr="00EF7620">
        <w:rPr>
          <w:rStyle w:val="normaltextrun"/>
          <w:rFonts w:ascii="Tahoma" w:hAnsi="Tahoma" w:cs="Tahoma"/>
          <w:b/>
          <w:bCs/>
          <w:sz w:val="22"/>
          <w:szCs w:val="22"/>
        </w:rPr>
        <w:t>Word count: 1862</w:t>
      </w:r>
    </w:p>
    <w:p w14:paraId="3AEFD2FA" w14:textId="77777777" w:rsidR="00810FC2" w:rsidRDefault="00810FC2" w:rsidP="00810FC2">
      <w:pPr>
        <w:pStyle w:val="paragraph"/>
        <w:spacing w:before="0" w:beforeAutospacing="0" w:after="0" w:afterAutospacing="0" w:line="360" w:lineRule="auto"/>
        <w:ind w:right="225"/>
        <w:rPr>
          <w:rStyle w:val="normaltextrun"/>
          <w:rFonts w:ascii="Tahoma" w:hAnsi="Tahoma" w:cs="Tahoma"/>
        </w:rPr>
      </w:pPr>
    </w:p>
    <w:p w14:paraId="7971DF14" w14:textId="77777777" w:rsidR="006A498F" w:rsidRDefault="00A221AB" w:rsidP="006A498F">
      <w:pPr>
        <w:pStyle w:val="paragraph"/>
        <w:spacing w:before="0" w:beforeAutospacing="0" w:after="0" w:afterAutospacing="0" w:line="360" w:lineRule="auto"/>
        <w:ind w:right="225"/>
        <w:rPr>
          <w:rStyle w:val="eop"/>
          <w:rFonts w:ascii="Arial" w:hAnsi="Arial" w:cs="Arial"/>
          <w:color w:val="000000" w:themeColor="text1"/>
        </w:rPr>
      </w:pPr>
      <w:r w:rsidRPr="5CE196A1">
        <w:rPr>
          <w:rStyle w:val="eop"/>
          <w:rFonts w:ascii="Arial" w:hAnsi="Arial" w:cs="Arial"/>
          <w:color w:val="000000" w:themeColor="text1"/>
        </w:rPr>
        <w:t> </w:t>
      </w:r>
    </w:p>
    <w:p w14:paraId="79899710" w14:textId="27080343" w:rsidR="00EF7620" w:rsidRPr="006A498F" w:rsidRDefault="003D50F9" w:rsidP="006A498F">
      <w:pPr>
        <w:pStyle w:val="paragraph"/>
        <w:spacing w:before="0" w:beforeAutospacing="0" w:after="0" w:afterAutospacing="0" w:line="360" w:lineRule="auto"/>
        <w:ind w:right="225"/>
        <w:rPr>
          <w:rFonts w:ascii="Segoe UI" w:hAnsi="Segoe UI" w:cs="Segoe UI"/>
          <w:color w:val="000000"/>
          <w:sz w:val="18"/>
          <w:szCs w:val="18"/>
        </w:rPr>
      </w:pPr>
      <w:r w:rsidRPr="003D50F9">
        <w:rPr>
          <w:rFonts w:ascii="Tahoma" w:hAnsi="Tahoma" w:cs="Tahoma"/>
          <w:b/>
          <w:bCs/>
        </w:rPr>
        <w:lastRenderedPageBreak/>
        <w:t>Bibliography</w:t>
      </w:r>
    </w:p>
    <w:p w14:paraId="71B7CB9E" w14:textId="77777777" w:rsidR="003168E2" w:rsidRPr="003D50F9" w:rsidRDefault="003168E2" w:rsidP="00EF7620">
      <w:pPr>
        <w:pStyle w:val="NormalWeb"/>
        <w:spacing w:before="0" w:beforeAutospacing="0" w:after="0" w:afterAutospacing="0" w:line="480" w:lineRule="auto"/>
        <w:jc w:val="center"/>
        <w:rPr>
          <w:rFonts w:ascii="Tahoma" w:hAnsi="Tahoma" w:cs="Tahoma"/>
          <w:b/>
          <w:bCs/>
        </w:rPr>
      </w:pPr>
    </w:p>
    <w:p w14:paraId="2E753567" w14:textId="77777777" w:rsidR="00EF7620" w:rsidRDefault="00EF7620" w:rsidP="00EF7620">
      <w:pPr>
        <w:pStyle w:val="NormalWeb"/>
        <w:spacing w:before="0" w:beforeAutospacing="0" w:after="0" w:afterAutospacing="0" w:line="480" w:lineRule="auto"/>
        <w:ind w:left="720" w:hanging="720"/>
      </w:pPr>
      <w:r>
        <w:t>Barrow-Grint, K. (2016). Attrition rates in domestic abuse: Time for a change? An application of temporal sequencing theory. </w:t>
      </w:r>
      <w:r>
        <w:rPr>
          <w:i/>
          <w:iCs/>
        </w:rPr>
        <w:t>Policing,</w:t>
      </w:r>
      <w:r>
        <w:t> </w:t>
      </w:r>
      <w:r>
        <w:rPr>
          <w:i/>
          <w:iCs/>
        </w:rPr>
        <w:t>10</w:t>
      </w:r>
      <w:r>
        <w:t xml:space="preserve">(3), 250–263. </w:t>
      </w:r>
    </w:p>
    <w:p w14:paraId="618E7C2B" w14:textId="77777777" w:rsidR="00EF7620" w:rsidRDefault="00EF7620" w:rsidP="00EF7620">
      <w:pPr>
        <w:pStyle w:val="NormalWeb"/>
        <w:spacing w:before="0" w:beforeAutospacing="0" w:after="0" w:afterAutospacing="0" w:line="480" w:lineRule="auto"/>
        <w:ind w:left="720" w:hanging="720"/>
      </w:pPr>
      <w:r>
        <w:t xml:space="preserve">Brown, Jennifer, et al. “Extending the Remit of Evidence-Based Policing.” </w:t>
      </w:r>
      <w:r>
        <w:rPr>
          <w:i/>
          <w:iCs/>
        </w:rPr>
        <w:t>International Journal of Police Science &amp; Management</w:t>
      </w:r>
      <w:r>
        <w:t>, vol. 20, no. 1, 10 Jan. 2018, pp. 38–51, eprints.lse.ac.uk/86612/7/Brown_Extending%20the%20remit%20of%20evidence-based%20policing2_.pdf, https://doi.org/10.1177/1461355717750173. Accessed 27 Oct. 2023.</w:t>
      </w:r>
    </w:p>
    <w:p w14:paraId="323E6FF6" w14:textId="0CDEE4E5" w:rsidR="00EF7620" w:rsidRDefault="00EF7620" w:rsidP="00EF7620">
      <w:pPr>
        <w:pStyle w:val="NormalWeb"/>
        <w:spacing w:before="0" w:beforeAutospacing="0" w:after="0" w:afterAutospacing="0" w:line="480" w:lineRule="auto"/>
        <w:ind w:left="720" w:hanging="720"/>
      </w:pPr>
      <w:r>
        <w:t xml:space="preserve">Clarke, Alan, et al. </w:t>
      </w:r>
      <w:r>
        <w:rPr>
          <w:i/>
          <w:iCs/>
        </w:rPr>
        <w:t>Describing and Assessing Interventions to Address Anti-Social Behaviour Key Findings from a Study of ASB Practice</w:t>
      </w:r>
      <w:r>
        <w:t>. Mar. 2011, assets.publishing.service.gov.uk/media/5a7b2b25ed915d3ed90629f1/horr51-report.pdf. Accessed 30 Oct. 2023.</w:t>
      </w:r>
    </w:p>
    <w:p w14:paraId="205A1140" w14:textId="77777777" w:rsidR="00EF7620" w:rsidRDefault="00EF7620" w:rsidP="00EF7620">
      <w:pPr>
        <w:pStyle w:val="NormalWeb"/>
        <w:spacing w:before="0" w:beforeAutospacing="0" w:after="0" w:afterAutospacing="0" w:line="480" w:lineRule="auto"/>
        <w:ind w:left="720" w:hanging="720"/>
      </w:pPr>
      <w:r>
        <w:t xml:space="preserve">College Of Policing. “Anti-Social Behaviour Powers.” </w:t>
      </w:r>
      <w:r>
        <w:rPr>
          <w:i/>
          <w:iCs/>
        </w:rPr>
        <w:t>College of Policing</w:t>
      </w:r>
      <w:r>
        <w:t>, 27 Mar. 2023, www.college.police.uk/guidance/anti-social-behaviour-powers. Accessed 29 Oct. 2023.</w:t>
      </w:r>
    </w:p>
    <w:p w14:paraId="3A5498C5" w14:textId="77777777" w:rsidR="00EF7620" w:rsidRDefault="00EF7620" w:rsidP="00EF7620">
      <w:pPr>
        <w:pStyle w:val="NormalWeb"/>
        <w:spacing w:before="0" w:beforeAutospacing="0" w:after="0" w:afterAutospacing="0" w:line="480" w:lineRule="auto"/>
        <w:ind w:left="720" w:hanging="720"/>
      </w:pPr>
      <w:r>
        <w:t xml:space="preserve">---. “Responding to Hate.” </w:t>
      </w:r>
      <w:r>
        <w:rPr>
          <w:i/>
          <w:iCs/>
        </w:rPr>
        <w:t>College of Policing</w:t>
      </w:r>
      <w:r>
        <w:t>, 2022, www.college.police.uk/app/major-investigation-and-public-protection/hate-crime/responding-hate. Accessed 29 Oct. 2023.</w:t>
      </w:r>
    </w:p>
    <w:p w14:paraId="5A759335" w14:textId="77777777" w:rsidR="00EF7620" w:rsidRDefault="00EF7620" w:rsidP="00EF7620">
      <w:pPr>
        <w:pStyle w:val="NormalWeb"/>
        <w:spacing w:before="0" w:beforeAutospacing="0" w:after="0" w:afterAutospacing="0" w:line="480" w:lineRule="auto"/>
        <w:ind w:left="720" w:hanging="720"/>
      </w:pPr>
      <w:r>
        <w:t xml:space="preserve">College of Policing. “Evidence-Based Policing.” </w:t>
      </w:r>
      <w:r>
        <w:rPr>
          <w:i/>
          <w:iCs/>
        </w:rPr>
        <w:t>College of Policing</w:t>
      </w:r>
      <w:r>
        <w:t>, College of Policing, 2023, www.college.police.uk/research/evidence-based-policing-EBP. Accessed 27 Oct. 2023.</w:t>
      </w:r>
    </w:p>
    <w:p w14:paraId="6B9D49B1" w14:textId="339CFB72" w:rsidR="00EF7620" w:rsidRDefault="00EF7620" w:rsidP="00EF7620">
      <w:pPr>
        <w:pStyle w:val="NormalWeb"/>
        <w:spacing w:before="0" w:beforeAutospacing="0" w:after="0" w:afterAutospacing="0" w:line="480" w:lineRule="auto"/>
        <w:ind w:left="720" w:hanging="720"/>
      </w:pPr>
      <w:r>
        <w:t xml:space="preserve">College of Policing. “Introduction to Vulnerability-Related Risk.” </w:t>
      </w:r>
      <w:r>
        <w:rPr>
          <w:i/>
          <w:iCs/>
        </w:rPr>
        <w:t>College of Policing</w:t>
      </w:r>
      <w:r>
        <w:t>, 18 Nov. 2021, www.college.police.uk/guidance/vulnerability-related-risks/introduction-vulnerability-related-risk#:~:text=We%20have%20adopted%20the%20THRIVE.</w:t>
      </w:r>
    </w:p>
    <w:p w14:paraId="0C210BA8" w14:textId="77777777" w:rsidR="00EF7620" w:rsidRDefault="00EF7620" w:rsidP="00EF7620">
      <w:pPr>
        <w:pStyle w:val="NormalWeb"/>
        <w:spacing w:before="0" w:beforeAutospacing="0" w:after="0" w:afterAutospacing="0" w:line="480" w:lineRule="auto"/>
        <w:ind w:left="720" w:hanging="720"/>
      </w:pPr>
      <w:r>
        <w:lastRenderedPageBreak/>
        <w:t xml:space="preserve">Hewitt, Louise. “Policing Disability Hate Crime.” </w:t>
      </w:r>
      <w:r>
        <w:rPr>
          <w:i/>
          <w:iCs/>
        </w:rPr>
        <w:t>The British Journal of Community Justice</w:t>
      </w:r>
      <w:r>
        <w:t>, vol. x(x), no. ISSN 1475-0279, 10 Oct. 2022, https://doi.org/10.48411/8bxr-s755. Accessed 29 Oct. 2023.</w:t>
      </w:r>
    </w:p>
    <w:p w14:paraId="6AC8E559" w14:textId="77777777" w:rsidR="00EF7620" w:rsidRDefault="00EF7620" w:rsidP="00EF7620">
      <w:pPr>
        <w:pStyle w:val="NormalWeb"/>
        <w:spacing w:before="0" w:beforeAutospacing="0" w:after="0" w:afterAutospacing="0" w:line="480" w:lineRule="auto"/>
        <w:ind w:left="720" w:hanging="720"/>
      </w:pPr>
      <w:r>
        <w:t xml:space="preserve">Local Government Association. “Sheffield Council: Neighbourhood Officers Helping to Reduce ASB for Council Housing Tenants | Local Government Association.” </w:t>
      </w:r>
      <w:r>
        <w:rPr>
          <w:i/>
          <w:iCs/>
        </w:rPr>
        <w:t>Www.local.gov.uk</w:t>
      </w:r>
      <w:r>
        <w:t>, 8 June 2021, www.local.gov.uk/case-studies/sheffield-council-neighbourhood-officers-helping-reduce-asb-council-housing-tenants. Accessed 30 Oct. 2023.</w:t>
      </w:r>
    </w:p>
    <w:p w14:paraId="381385D0" w14:textId="77777777" w:rsidR="00EF7620" w:rsidRDefault="00EF7620" w:rsidP="00EF7620">
      <w:pPr>
        <w:pStyle w:val="NormalWeb"/>
        <w:spacing w:before="0" w:beforeAutospacing="0" w:after="0" w:afterAutospacing="0" w:line="480" w:lineRule="auto"/>
        <w:ind w:left="720" w:hanging="720"/>
      </w:pPr>
      <w:r>
        <w:t xml:space="preserve">Pepper, Ian, et al. “Evidence Based Policing: A View on Its Development within the Police Service.” </w:t>
      </w:r>
      <w:r>
        <w:rPr>
          <w:i/>
          <w:iCs/>
        </w:rPr>
        <w:t>Journal of Work-Applied Management</w:t>
      </w:r>
      <w:r>
        <w:t>, vol. 12, no. 1, 9 Apr. 2020, pp. 91–96, https://doi.org/10.1108/jwam-01-2020-0001.</w:t>
      </w:r>
    </w:p>
    <w:p w14:paraId="6001476A" w14:textId="77777777" w:rsidR="00EF7620" w:rsidRDefault="00EF7620" w:rsidP="00EF7620">
      <w:pPr>
        <w:pStyle w:val="NormalWeb"/>
        <w:spacing w:before="0" w:beforeAutospacing="0" w:after="0" w:afterAutospacing="0" w:line="480" w:lineRule="auto"/>
        <w:ind w:left="720" w:hanging="720"/>
      </w:pPr>
      <w:r>
        <w:t xml:space="preserve">Ross, John, et al. “Tracking Repeat Victimisation after Domestic Abuse Cases Are Heard with and without Independent Domestic Violence Advisors (IDVAs) in an English Magistrate’s Court.” </w:t>
      </w:r>
      <w:r>
        <w:rPr>
          <w:i/>
          <w:iCs/>
        </w:rPr>
        <w:t>Cambridge Journal of Evidence-Based Policing</w:t>
      </w:r>
      <w:r>
        <w:t>, vol. 6, 1 Feb. 2022, https://doi.org/10.1007/s41887-022-00072-z.</w:t>
      </w:r>
    </w:p>
    <w:p w14:paraId="2C1D98F5" w14:textId="77777777" w:rsidR="00EF7620" w:rsidRDefault="00EF7620" w:rsidP="00EF7620">
      <w:pPr>
        <w:pStyle w:val="NormalWeb"/>
        <w:spacing w:before="0" w:beforeAutospacing="0" w:after="0" w:afterAutospacing="0" w:line="480" w:lineRule="auto"/>
        <w:ind w:left="720" w:hanging="720"/>
      </w:pPr>
      <w:r>
        <w:t xml:space="preserve">Surrey Council. “Surrey Council: Mediation, Coaching and Support for Victims of Anti-Social Behaviour | Local Government Association.” </w:t>
      </w:r>
      <w:r>
        <w:rPr>
          <w:i/>
          <w:iCs/>
        </w:rPr>
        <w:t>Www.local.gov.uk</w:t>
      </w:r>
      <w:r>
        <w:t>, 2021, www.local.gov.uk/case-studies/surrey-council-mediation-coaching-and-support-victims-anti-social-behaviour#impact-and-outcomes-. Accessed 30 Oct. 2023.</w:t>
      </w:r>
    </w:p>
    <w:p w14:paraId="07C78A0D" w14:textId="286706BA" w:rsidR="000B02C8" w:rsidRDefault="000B02C8" w:rsidP="000B02C8">
      <w:pPr>
        <w:pStyle w:val="NormalWeb"/>
        <w:spacing w:before="0" w:beforeAutospacing="0" w:after="0" w:afterAutospacing="0" w:line="480" w:lineRule="auto"/>
        <w:jc w:val="center"/>
      </w:pPr>
    </w:p>
    <w:p w14:paraId="06491356" w14:textId="5BEC705B" w:rsidR="00A221AB" w:rsidRDefault="00A221AB" w:rsidP="5CE196A1">
      <w:pPr>
        <w:pStyle w:val="paragraph"/>
        <w:spacing w:before="0" w:beforeAutospacing="0" w:after="0" w:afterAutospacing="0"/>
        <w:rPr>
          <w:b/>
          <w:bCs/>
        </w:rPr>
      </w:pPr>
      <w:r w:rsidRPr="5CE196A1">
        <w:rPr>
          <w:b/>
          <w:bCs/>
        </w:rPr>
        <w:br w:type="page"/>
      </w:r>
    </w:p>
    <w:p w14:paraId="6B0989EF" w14:textId="2ACC7CF3" w:rsidR="00025650" w:rsidRPr="00E676F7" w:rsidRDefault="5B843AF0" w:rsidP="00B479D6">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22D83489" w14:textId="77777777" w:rsidR="00A31CAD" w:rsidRDefault="00A31CAD" w:rsidP="5CE196A1">
      <w:pPr>
        <w:ind w:right="237"/>
        <w:jc w:val="both"/>
        <w:rPr>
          <w:b/>
          <w:bCs/>
          <w:sz w:val="24"/>
          <w:szCs w:val="24"/>
        </w:rPr>
      </w:pPr>
    </w:p>
    <w:p w14:paraId="2B68A18D" w14:textId="77777777" w:rsidR="00A31CAD" w:rsidRDefault="00A31CAD" w:rsidP="5CE196A1">
      <w:pPr>
        <w:ind w:right="237"/>
        <w:jc w:val="both"/>
        <w:rPr>
          <w:b/>
          <w:bCs/>
          <w:sz w:val="24"/>
          <w:szCs w:val="24"/>
        </w:rPr>
      </w:pPr>
    </w:p>
    <w:p w14:paraId="72B5C61D" w14:textId="77777777" w:rsidR="00A31CAD" w:rsidRDefault="00A31CAD" w:rsidP="5CE196A1">
      <w:pPr>
        <w:ind w:right="237"/>
        <w:jc w:val="both"/>
        <w:rPr>
          <w:b/>
          <w:bCs/>
          <w:sz w:val="24"/>
          <w:szCs w:val="24"/>
        </w:rPr>
      </w:pPr>
    </w:p>
    <w:p w14:paraId="00334095" w14:textId="77777777" w:rsidR="00A31CAD" w:rsidRDefault="00A31CAD" w:rsidP="5CE196A1">
      <w:pPr>
        <w:ind w:right="237"/>
        <w:jc w:val="both"/>
        <w:rPr>
          <w:b/>
          <w:bCs/>
          <w:sz w:val="24"/>
          <w:szCs w:val="24"/>
        </w:rPr>
      </w:pPr>
    </w:p>
    <w:p w14:paraId="4EE76473" w14:textId="427E3E92" w:rsidR="005C76DE" w:rsidRPr="00E676F7" w:rsidRDefault="005C76DE" w:rsidP="5CE196A1">
      <w:pPr>
        <w:ind w:right="237"/>
        <w:jc w:val="both"/>
        <w:rPr>
          <w:b/>
          <w:bCs/>
          <w:sz w:val="24"/>
          <w:szCs w:val="24"/>
        </w:rPr>
      </w:pPr>
      <w:r w:rsidRPr="5CE196A1">
        <w:rPr>
          <w:b/>
          <w:bCs/>
          <w:sz w:val="24"/>
          <w:szCs w:val="24"/>
        </w:rPr>
        <w:lastRenderedPageBreak/>
        <w:t>ANSWER:</w:t>
      </w:r>
    </w:p>
    <w:p w14:paraId="77185B9A" w14:textId="5DE3C839" w:rsidR="00025650" w:rsidRDefault="00025650" w:rsidP="0FF883D4">
      <w:pPr>
        <w:ind w:right="237"/>
        <w:jc w:val="both"/>
        <w:rPr>
          <w:color w:val="000000" w:themeColor="text1"/>
          <w:sz w:val="24"/>
          <w:szCs w:val="24"/>
        </w:rPr>
      </w:pPr>
    </w:p>
    <w:p w14:paraId="04455BE2" w14:textId="77777777" w:rsidR="00300A8F" w:rsidRPr="004F6B75" w:rsidRDefault="00300A8F" w:rsidP="00300A8F">
      <w:pPr>
        <w:pStyle w:val="NormalWeb"/>
        <w:spacing w:line="360" w:lineRule="auto"/>
        <w:rPr>
          <w:rFonts w:ascii="Tahoma" w:hAnsi="Tahoma" w:cs="Tahoma"/>
          <w:sz w:val="22"/>
          <w:szCs w:val="22"/>
        </w:rPr>
      </w:pPr>
      <w:r w:rsidRPr="004F6B75">
        <w:rPr>
          <w:rFonts w:ascii="Tahoma" w:hAnsi="Tahoma" w:cs="Tahoma"/>
          <w:sz w:val="22"/>
          <w:szCs w:val="22"/>
        </w:rPr>
        <w:t>Domestic violence is a</w:t>
      </w:r>
      <w:r>
        <w:rPr>
          <w:rFonts w:ascii="Tahoma" w:hAnsi="Tahoma" w:cs="Tahoma"/>
          <w:sz w:val="22"/>
          <w:szCs w:val="22"/>
        </w:rPr>
        <w:t>n</w:t>
      </w:r>
      <w:r w:rsidRPr="004F6B75">
        <w:rPr>
          <w:rFonts w:ascii="Tahoma" w:hAnsi="Tahoma" w:cs="Tahoma"/>
          <w:sz w:val="22"/>
          <w:szCs w:val="22"/>
        </w:rPr>
        <w:t xml:space="preserve"> extensive problem that affects individuals across all social levels, with the United Kingdom being no exception. </w:t>
      </w:r>
    </w:p>
    <w:p w14:paraId="73E2B089" w14:textId="77777777" w:rsidR="00300A8F" w:rsidRPr="004F6B75" w:rsidRDefault="00300A8F" w:rsidP="00300A8F">
      <w:pPr>
        <w:pStyle w:val="paragraph"/>
        <w:spacing w:before="0" w:beforeAutospacing="0" w:after="0" w:afterAutospacing="0" w:line="360" w:lineRule="auto"/>
        <w:textAlignment w:val="baseline"/>
        <w:rPr>
          <w:rFonts w:ascii="Tahoma" w:hAnsi="Tahoma" w:cs="Tahoma"/>
          <w:sz w:val="22"/>
          <w:szCs w:val="22"/>
        </w:rPr>
      </w:pPr>
      <w:r w:rsidRPr="004F6B75">
        <w:rPr>
          <w:rStyle w:val="normaltextrun"/>
          <w:rFonts w:ascii="Tahoma" w:hAnsi="Tahoma" w:cs="Tahoma"/>
          <w:sz w:val="22"/>
          <w:szCs w:val="22"/>
        </w:rPr>
        <w:t>As a response officer I often deal with domestic violence incidents. An incident can be considered domestic in nature when an individual is involved in an incident, are over 16 years of age, are personally connected, and the behaviour between two individuals involved is abusive (Legislation.Gov.UK, 2021). The Act outlines a wide range of behaviour as abusive. The examples include sexual or physical abuse, controlling or coercive behaviour, economic, emotional, or psychological abuse or violent or threatening behaviour. The priority in every domestic related incident is to protect and safeguard all vulnerable individuals involved.</w:t>
      </w:r>
      <w:r w:rsidRPr="004F6B75">
        <w:rPr>
          <w:rFonts w:ascii="Tahoma" w:hAnsi="Tahoma" w:cs="Tahoma"/>
          <w:sz w:val="22"/>
          <w:szCs w:val="22"/>
        </w:rPr>
        <w:t xml:space="preserve"> </w:t>
      </w:r>
    </w:p>
    <w:p w14:paraId="5A9B63E4" w14:textId="77777777" w:rsidR="00300A8F" w:rsidRPr="004F6B75" w:rsidRDefault="00300A8F" w:rsidP="00300A8F">
      <w:pPr>
        <w:pStyle w:val="paragraph"/>
        <w:spacing w:before="0" w:beforeAutospacing="0" w:after="0" w:afterAutospacing="0" w:line="360" w:lineRule="auto"/>
        <w:textAlignment w:val="baseline"/>
        <w:rPr>
          <w:rFonts w:ascii="Tahoma" w:hAnsi="Tahoma" w:cs="Tahoma"/>
          <w:sz w:val="22"/>
          <w:szCs w:val="22"/>
        </w:rPr>
      </w:pPr>
      <w:r w:rsidRPr="004F6B75">
        <w:rPr>
          <w:rFonts w:ascii="Tahoma" w:hAnsi="Tahoma" w:cs="Tahoma"/>
          <w:sz w:val="22"/>
          <w:szCs w:val="22"/>
        </w:rPr>
        <w:t>Police officers are often the first responders to the DVA offences, and the response time is of significance importance and might determine level of injuries sustained by the victims.</w:t>
      </w:r>
    </w:p>
    <w:p w14:paraId="1653FFDE" w14:textId="77777777" w:rsidR="00300A8F" w:rsidRPr="004F6B75" w:rsidRDefault="00300A8F" w:rsidP="00300A8F">
      <w:pPr>
        <w:pStyle w:val="paragraph"/>
        <w:spacing w:before="0" w:beforeAutospacing="0" w:after="0" w:afterAutospacing="0" w:line="360" w:lineRule="auto"/>
        <w:textAlignment w:val="baseline"/>
        <w:rPr>
          <w:rFonts w:ascii="Tahoma" w:hAnsi="Tahoma" w:cs="Tahoma"/>
          <w:sz w:val="22"/>
          <w:szCs w:val="22"/>
        </w:rPr>
      </w:pPr>
      <w:r w:rsidRPr="004F6B75">
        <w:rPr>
          <w:rFonts w:ascii="Tahoma" w:hAnsi="Tahoma" w:cs="Tahoma"/>
          <w:sz w:val="22"/>
          <w:szCs w:val="22"/>
        </w:rPr>
        <w:t>This workbook aims to critically assess the challenges faced by the police in responding to domestic violence cases in the UK and evaluate the strategies developed to overcome these obstacles.</w:t>
      </w:r>
    </w:p>
    <w:p w14:paraId="2F8B998D" w14:textId="77777777" w:rsidR="00300A8F" w:rsidRPr="004F6B75" w:rsidRDefault="00300A8F" w:rsidP="00300A8F">
      <w:pPr>
        <w:pStyle w:val="paragraph"/>
        <w:spacing w:before="0" w:beforeAutospacing="0" w:after="0" w:afterAutospacing="0" w:line="360" w:lineRule="auto"/>
        <w:textAlignment w:val="baseline"/>
        <w:rPr>
          <w:rFonts w:ascii="Tahoma" w:hAnsi="Tahoma" w:cs="Tahoma"/>
          <w:sz w:val="22"/>
          <w:szCs w:val="22"/>
        </w:rPr>
      </w:pPr>
    </w:p>
    <w:p w14:paraId="198E8F04" w14:textId="77777777" w:rsidR="00300A8F" w:rsidRPr="004F6B75" w:rsidRDefault="00300A8F" w:rsidP="00300A8F">
      <w:pPr>
        <w:pStyle w:val="paragraph"/>
        <w:spacing w:before="0" w:beforeAutospacing="0" w:after="0" w:afterAutospacing="0" w:line="360" w:lineRule="auto"/>
        <w:textAlignment w:val="baseline"/>
        <w:rPr>
          <w:rStyle w:val="eop"/>
          <w:rFonts w:ascii="Tahoma" w:hAnsi="Tahoma" w:cs="Tahoma"/>
          <w:sz w:val="22"/>
          <w:szCs w:val="22"/>
        </w:rPr>
      </w:pPr>
      <w:r w:rsidRPr="004F6B75">
        <w:rPr>
          <w:rStyle w:val="normaltextrun"/>
          <w:rFonts w:ascii="Tahoma" w:hAnsi="Tahoma" w:cs="Tahoma"/>
          <w:sz w:val="22"/>
          <w:szCs w:val="22"/>
        </w:rPr>
        <w:t>The initial action undertaken at the occurrence address was separating both parties and obtaining first account from the victim. In the described incident, I spoke to the reporting person who was a female. My colleague spoke to the male in a different room. At the address were also present two children, boys aged 7 and 12. The female sustained a variety of injuries due to the physical violence obtained from her long-time partner. At this occasion, the male threw numerous punches aiming for the victim’s head, face, and abdominal part of her body. The female had visible bruises including a black eye and cut to her upper lip. There were also red marks on her neck suggesting that the female was also a victim of strangulation. The older boy, aged 12, had a small cut on his forehead and red marks on his arms, he had been pushed away whilst trying to protect his mother. Because the female disclosed to me being physically assaulted by her partner, the male has been arrested for suspicion of DV (Domestic Violence) actual bodily harm and intentional strangulation. Despite the female’s injuries she rejected medical assistance. After the initial disclosure given, female asked the officers to leave because she was tired and wanted to rest. Nonetheless she convinced the officers that she will provide the statement of compliance the next day however needs to rest at this moment in time.</w:t>
      </w:r>
      <w:r w:rsidRPr="004F6B75">
        <w:rPr>
          <w:rStyle w:val="eop"/>
          <w:rFonts w:ascii="Tahoma" w:hAnsi="Tahoma" w:cs="Tahoma"/>
          <w:sz w:val="22"/>
          <w:szCs w:val="22"/>
        </w:rPr>
        <w:t> </w:t>
      </w:r>
    </w:p>
    <w:p w14:paraId="0D11494C" w14:textId="77777777" w:rsidR="00300A8F" w:rsidRPr="004F6B75" w:rsidRDefault="00300A8F" w:rsidP="00300A8F">
      <w:pPr>
        <w:pStyle w:val="paragraph"/>
        <w:spacing w:before="0" w:beforeAutospacing="0" w:after="0" w:afterAutospacing="0" w:line="360" w:lineRule="auto"/>
        <w:textAlignment w:val="baseline"/>
        <w:rPr>
          <w:rStyle w:val="eop"/>
          <w:rFonts w:ascii="Tahoma" w:hAnsi="Tahoma" w:cs="Tahoma"/>
          <w:sz w:val="22"/>
          <w:szCs w:val="22"/>
        </w:rPr>
      </w:pPr>
      <w:r w:rsidRPr="004F6B75">
        <w:rPr>
          <w:rStyle w:val="eop"/>
          <w:rFonts w:ascii="Tahoma" w:hAnsi="Tahoma" w:cs="Tahoma"/>
          <w:sz w:val="22"/>
          <w:szCs w:val="22"/>
        </w:rPr>
        <w:lastRenderedPageBreak/>
        <w:t>This incident was graded as emergency, however due to operational demand and lack of resources officers could not attended immediately or within 15 minutes as per the South Wales Police force policy. Stretched police resources undermine the trust victim place in police</w:t>
      </w:r>
      <w:r>
        <w:rPr>
          <w:rStyle w:val="eop"/>
          <w:rFonts w:ascii="Tahoma" w:hAnsi="Tahoma" w:cs="Tahoma"/>
          <w:sz w:val="22"/>
          <w:szCs w:val="22"/>
        </w:rPr>
        <w:t xml:space="preserve"> service</w:t>
      </w:r>
      <w:r w:rsidRPr="004F6B75">
        <w:rPr>
          <w:rStyle w:val="eop"/>
          <w:rFonts w:ascii="Tahoma" w:hAnsi="Tahoma" w:cs="Tahoma"/>
          <w:sz w:val="22"/>
          <w:szCs w:val="22"/>
        </w:rPr>
        <w:t xml:space="preserve">. The inability to respond in timely manner places vulnerable victim at greater risk of harm and creates possibility of </w:t>
      </w:r>
      <w:proofErr w:type="spellStart"/>
      <w:r w:rsidRPr="004F6B75">
        <w:rPr>
          <w:rStyle w:val="eop"/>
          <w:rFonts w:ascii="Tahoma" w:hAnsi="Tahoma" w:cs="Tahoma"/>
          <w:sz w:val="22"/>
          <w:szCs w:val="22"/>
        </w:rPr>
        <w:t>loosing</w:t>
      </w:r>
      <w:proofErr w:type="spellEnd"/>
      <w:r w:rsidRPr="004F6B75">
        <w:rPr>
          <w:rStyle w:val="eop"/>
          <w:rFonts w:ascii="Tahoma" w:hAnsi="Tahoma" w:cs="Tahoma"/>
          <w:sz w:val="22"/>
          <w:szCs w:val="22"/>
        </w:rPr>
        <w:t xml:space="preserve"> trust in police which could not arrive when necessary. This impacts on effective response and prevention efforts. </w:t>
      </w:r>
    </w:p>
    <w:p w14:paraId="6B35AEF7" w14:textId="77777777" w:rsidR="00300A8F" w:rsidRPr="004F6B75" w:rsidRDefault="00300A8F" w:rsidP="00300A8F">
      <w:pPr>
        <w:pStyle w:val="paragraph"/>
        <w:spacing w:before="0" w:beforeAutospacing="0" w:after="0" w:afterAutospacing="0" w:line="360" w:lineRule="auto"/>
        <w:textAlignment w:val="baseline"/>
        <w:rPr>
          <w:rStyle w:val="eop"/>
          <w:rFonts w:ascii="Tahoma" w:hAnsi="Tahoma" w:cs="Tahoma"/>
          <w:sz w:val="22"/>
          <w:szCs w:val="22"/>
        </w:rPr>
      </w:pPr>
      <w:r w:rsidRPr="004F6B75">
        <w:rPr>
          <w:rStyle w:val="eop"/>
          <w:rFonts w:ascii="Tahoma" w:hAnsi="Tahoma" w:cs="Tahoma"/>
          <w:sz w:val="22"/>
          <w:szCs w:val="22"/>
        </w:rPr>
        <w:t>Victims of DVA who are persistently targeted because of the perpetrator’s code of conduct are victims of controlling and coercive behaviour (UK Government, 2015). This offence being more mentally draining</w:t>
      </w:r>
      <w:r>
        <w:rPr>
          <w:rStyle w:val="eop"/>
          <w:rFonts w:ascii="Tahoma" w:hAnsi="Tahoma" w:cs="Tahoma"/>
          <w:sz w:val="22"/>
          <w:szCs w:val="22"/>
        </w:rPr>
        <w:t xml:space="preserve"> and having emotional impact on victims,</w:t>
      </w:r>
      <w:r w:rsidRPr="004F6B75">
        <w:rPr>
          <w:rStyle w:val="eop"/>
          <w:rFonts w:ascii="Tahoma" w:hAnsi="Tahoma" w:cs="Tahoma"/>
          <w:sz w:val="22"/>
          <w:szCs w:val="22"/>
        </w:rPr>
        <w:t xml:space="preserve"> is more complicated to prove and response officers without tailored training will not be able to recognise non-physical domestic abuse behaviour as an offence (Tolmie, 2018).</w:t>
      </w:r>
    </w:p>
    <w:p w14:paraId="05862914" w14:textId="77777777" w:rsidR="00300A8F" w:rsidRDefault="00300A8F" w:rsidP="00300A8F">
      <w:pPr>
        <w:pStyle w:val="paragraph"/>
        <w:spacing w:before="0" w:beforeAutospacing="0" w:after="0" w:afterAutospacing="0" w:line="360" w:lineRule="auto"/>
        <w:textAlignment w:val="baseline"/>
        <w:rPr>
          <w:rFonts w:ascii="Tahoma" w:hAnsi="Tahoma" w:cs="Tahoma"/>
          <w:sz w:val="22"/>
          <w:szCs w:val="22"/>
          <w:shd w:val="clear" w:color="auto" w:fill="FFFFFF"/>
        </w:rPr>
      </w:pPr>
      <w:r w:rsidRPr="004F6B75">
        <w:rPr>
          <w:rFonts w:ascii="Tahoma" w:hAnsi="Tahoma" w:cs="Tahoma"/>
          <w:sz w:val="22"/>
          <w:szCs w:val="22"/>
          <w:shd w:val="clear" w:color="auto" w:fill="FFFFFF"/>
        </w:rPr>
        <w:t>According to Brennan “police officers were unprepared to conceptualize domestic abuse as a pattern of behaviour rather than episodes (Brennan et al., 2018).</w:t>
      </w:r>
    </w:p>
    <w:p w14:paraId="06E294BF" w14:textId="77777777" w:rsidR="00300A8F" w:rsidRPr="00222FF3" w:rsidRDefault="00300A8F" w:rsidP="00300A8F">
      <w:pPr>
        <w:pStyle w:val="paragraph"/>
        <w:spacing w:before="0" w:beforeAutospacing="0" w:after="0" w:afterAutospacing="0" w:line="360" w:lineRule="auto"/>
        <w:textAlignment w:val="baseline"/>
        <w:rPr>
          <w:rFonts w:ascii="Tahoma" w:hAnsi="Tahoma" w:cs="Tahoma"/>
          <w:sz w:val="18"/>
          <w:szCs w:val="18"/>
        </w:rPr>
      </w:pPr>
      <w:r w:rsidRPr="00222FF3">
        <w:rPr>
          <w:rStyle w:val="normaltextrun"/>
          <w:rFonts w:ascii="Tahoma" w:hAnsi="Tahoma" w:cs="Tahoma"/>
          <w:sz w:val="22"/>
          <w:szCs w:val="22"/>
        </w:rPr>
        <w:t>In Wales and England, the ‘Domestic Abuse Act 2021’ recognises children as victims of domestic violence if they “see, hear or otherwise experience the effects of abuse” (NSPCC Learning, 2023). Two young children witnessed violence and the perpetrator’s abusive actions towards their mother. They are also victim and if the abuse took place often, this creates a damaged vision of family life. In consequence, children as adults can perceive abusive relationship as normal because they do not know different models and therefore are more likely to be</w:t>
      </w:r>
      <w:r>
        <w:rPr>
          <w:rStyle w:val="normaltextrun"/>
          <w:rFonts w:ascii="Tahoma" w:hAnsi="Tahoma" w:cs="Tahoma"/>
          <w:sz w:val="22"/>
          <w:szCs w:val="22"/>
        </w:rPr>
        <w:t>come</w:t>
      </w:r>
      <w:r w:rsidRPr="00222FF3">
        <w:rPr>
          <w:rStyle w:val="normaltextrun"/>
          <w:rFonts w:ascii="Tahoma" w:hAnsi="Tahoma" w:cs="Tahoma"/>
          <w:sz w:val="22"/>
          <w:szCs w:val="22"/>
        </w:rPr>
        <w:t xml:space="preserve"> one – the abuser or the victim. This may </w:t>
      </w:r>
      <w:r>
        <w:rPr>
          <w:rStyle w:val="normaltextrun"/>
          <w:rFonts w:ascii="Tahoma" w:hAnsi="Tahoma" w:cs="Tahoma"/>
          <w:sz w:val="22"/>
          <w:szCs w:val="22"/>
        </w:rPr>
        <w:t>cause</w:t>
      </w:r>
      <w:r w:rsidRPr="00222FF3">
        <w:rPr>
          <w:rStyle w:val="normaltextrun"/>
          <w:rFonts w:ascii="Tahoma" w:hAnsi="Tahoma" w:cs="Tahoma"/>
          <w:sz w:val="22"/>
          <w:szCs w:val="22"/>
        </w:rPr>
        <w:t xml:space="preserve"> short- or long-term</w:t>
      </w:r>
      <w:r>
        <w:rPr>
          <w:rStyle w:val="normaltextrun"/>
          <w:rFonts w:ascii="Tahoma" w:hAnsi="Tahoma" w:cs="Tahoma"/>
          <w:sz w:val="22"/>
          <w:szCs w:val="22"/>
        </w:rPr>
        <w:t xml:space="preserve"> effects</w:t>
      </w:r>
      <w:r w:rsidRPr="00222FF3">
        <w:rPr>
          <w:rStyle w:val="normaltextrun"/>
          <w:rFonts w:ascii="Tahoma" w:hAnsi="Tahoma" w:cs="Tahoma"/>
          <w:sz w:val="22"/>
          <w:szCs w:val="22"/>
        </w:rPr>
        <w:t>. Witnessing such crime may influence the children causing them to develop severe depression, eating disorders and may cause them to struggle with behavioural problems</w:t>
      </w:r>
      <w:r>
        <w:rPr>
          <w:rStyle w:val="normaltextrun"/>
          <w:rFonts w:ascii="Tahoma" w:hAnsi="Tahoma" w:cs="Tahoma"/>
          <w:sz w:val="22"/>
          <w:szCs w:val="22"/>
        </w:rPr>
        <w:t xml:space="preserve"> </w:t>
      </w:r>
      <w:r w:rsidRPr="00432065">
        <w:rPr>
          <w:rStyle w:val="normaltextrun"/>
          <w:rFonts w:ascii="Tahoma" w:hAnsi="Tahoma" w:cs="Tahoma"/>
          <w:sz w:val="22"/>
          <w:szCs w:val="22"/>
        </w:rPr>
        <w:t>(Cafcass Cymru, 2019)</w:t>
      </w:r>
      <w:r>
        <w:rPr>
          <w:rStyle w:val="normaltextrun"/>
          <w:rFonts w:ascii="Tahoma" w:hAnsi="Tahoma" w:cs="Tahoma"/>
          <w:sz w:val="22"/>
          <w:szCs w:val="22"/>
        </w:rPr>
        <w:t>.</w:t>
      </w:r>
      <w:r w:rsidRPr="00222FF3">
        <w:rPr>
          <w:rStyle w:val="normaltextrun"/>
          <w:rFonts w:ascii="Tahoma" w:hAnsi="Tahoma" w:cs="Tahoma"/>
          <w:sz w:val="22"/>
          <w:szCs w:val="22"/>
        </w:rPr>
        <w:t xml:space="preserve"> A challenging factor in this incident is also the relationship </w:t>
      </w:r>
      <w:r>
        <w:rPr>
          <w:rStyle w:val="normaltextrun"/>
          <w:rFonts w:ascii="Tahoma" w:hAnsi="Tahoma" w:cs="Tahoma"/>
          <w:sz w:val="22"/>
          <w:szCs w:val="22"/>
        </w:rPr>
        <w:t xml:space="preserve">between </w:t>
      </w:r>
      <w:r w:rsidRPr="00222FF3">
        <w:rPr>
          <w:rStyle w:val="normaltextrun"/>
          <w:rFonts w:ascii="Tahoma" w:hAnsi="Tahoma" w:cs="Tahoma"/>
          <w:sz w:val="22"/>
          <w:szCs w:val="22"/>
        </w:rPr>
        <w:t xml:space="preserve">the perpetrator and the children. By attempting to stop the violent perpetrator one of the boys had a small cut on forehead and red marks on his arms inflicted by the abuser. Section 120 </w:t>
      </w:r>
      <w:r>
        <w:rPr>
          <w:rStyle w:val="normaltextrun"/>
          <w:rFonts w:ascii="Tahoma" w:hAnsi="Tahoma" w:cs="Tahoma"/>
          <w:sz w:val="22"/>
          <w:szCs w:val="22"/>
        </w:rPr>
        <w:t xml:space="preserve">of the Children Act 1989 </w:t>
      </w:r>
      <w:r w:rsidRPr="00222FF3">
        <w:rPr>
          <w:rStyle w:val="normaltextrun"/>
          <w:rFonts w:ascii="Tahoma" w:hAnsi="Tahoma" w:cs="Tahoma"/>
          <w:sz w:val="22"/>
          <w:szCs w:val="22"/>
        </w:rPr>
        <w:t xml:space="preserve">clarifies the definition of harm </w:t>
      </w:r>
      <w:r>
        <w:rPr>
          <w:rStyle w:val="normaltextrun"/>
          <w:rFonts w:ascii="Tahoma" w:hAnsi="Tahoma" w:cs="Tahoma"/>
          <w:sz w:val="22"/>
          <w:szCs w:val="22"/>
        </w:rPr>
        <w:t>and</w:t>
      </w:r>
      <w:r w:rsidRPr="00222FF3">
        <w:rPr>
          <w:rStyle w:val="normaltextrun"/>
          <w:rFonts w:ascii="Tahoma" w:hAnsi="Tahoma" w:cs="Tahoma"/>
          <w:sz w:val="22"/>
          <w:szCs w:val="22"/>
        </w:rPr>
        <w:t xml:space="preserve"> includes any </w:t>
      </w:r>
      <w:r>
        <w:rPr>
          <w:rStyle w:val="normaltextrun"/>
          <w:rFonts w:ascii="Tahoma" w:hAnsi="Tahoma" w:cs="Tahoma"/>
          <w:sz w:val="22"/>
          <w:szCs w:val="22"/>
        </w:rPr>
        <w:t>“</w:t>
      </w:r>
      <w:r w:rsidRPr="00222FF3">
        <w:rPr>
          <w:rStyle w:val="normaltextrun"/>
          <w:rFonts w:ascii="Tahoma" w:hAnsi="Tahoma" w:cs="Tahoma"/>
          <w:sz w:val="22"/>
          <w:szCs w:val="22"/>
        </w:rPr>
        <w:t>harm of the child’s health or development due to witnessing the ill-treatment of another person, such as domestic violence</w:t>
      </w:r>
      <w:r>
        <w:rPr>
          <w:rStyle w:val="normaltextrun"/>
          <w:rFonts w:ascii="Tahoma" w:hAnsi="Tahoma" w:cs="Tahoma"/>
          <w:sz w:val="22"/>
          <w:szCs w:val="22"/>
        </w:rPr>
        <w:t>”</w:t>
      </w:r>
      <w:r w:rsidRPr="00222FF3">
        <w:rPr>
          <w:rStyle w:val="normaltextrun"/>
          <w:rFonts w:ascii="Tahoma" w:hAnsi="Tahoma" w:cs="Tahoma"/>
          <w:sz w:val="22"/>
          <w:szCs w:val="22"/>
        </w:rPr>
        <w:t>. The “</w:t>
      </w:r>
      <w:r>
        <w:rPr>
          <w:rStyle w:val="normaltextrun"/>
          <w:rFonts w:ascii="Tahoma" w:hAnsi="Tahoma" w:cs="Tahoma"/>
          <w:sz w:val="22"/>
          <w:szCs w:val="22"/>
        </w:rPr>
        <w:t>i</w:t>
      </w:r>
      <w:r w:rsidRPr="00222FF3">
        <w:rPr>
          <w:rStyle w:val="normaltextrun"/>
          <w:rFonts w:ascii="Tahoma" w:hAnsi="Tahoma" w:cs="Tahoma"/>
          <w:sz w:val="22"/>
          <w:szCs w:val="22"/>
        </w:rPr>
        <w:t>ll-treatment” is defined in section 31(9) of the Children Act 1989. Any damage</w:t>
      </w:r>
      <w:r>
        <w:rPr>
          <w:rStyle w:val="normaltextrun"/>
          <w:rFonts w:ascii="Tahoma" w:hAnsi="Tahoma" w:cs="Tahoma"/>
          <w:sz w:val="22"/>
          <w:szCs w:val="22"/>
        </w:rPr>
        <w:t xml:space="preserve"> that </w:t>
      </w:r>
      <w:r w:rsidRPr="00222FF3">
        <w:rPr>
          <w:rStyle w:val="normaltextrun"/>
          <w:rFonts w:ascii="Tahoma" w:hAnsi="Tahoma" w:cs="Tahoma"/>
          <w:sz w:val="22"/>
          <w:szCs w:val="22"/>
        </w:rPr>
        <w:t>a child</w:t>
      </w:r>
      <w:r>
        <w:rPr>
          <w:rStyle w:val="normaltextrun"/>
          <w:rFonts w:ascii="Tahoma" w:hAnsi="Tahoma" w:cs="Tahoma"/>
          <w:sz w:val="22"/>
          <w:szCs w:val="22"/>
        </w:rPr>
        <w:t xml:space="preserve"> may</w:t>
      </w:r>
      <w:r w:rsidRPr="00222FF3">
        <w:rPr>
          <w:rStyle w:val="normaltextrun"/>
          <w:rFonts w:ascii="Tahoma" w:hAnsi="Tahoma" w:cs="Tahoma"/>
          <w:sz w:val="22"/>
          <w:szCs w:val="22"/>
        </w:rPr>
        <w:t xml:space="preserve"> suffers </w:t>
      </w:r>
      <w:r>
        <w:rPr>
          <w:rStyle w:val="normaltextrun"/>
          <w:rFonts w:ascii="Tahoma" w:hAnsi="Tahoma" w:cs="Tahoma"/>
          <w:sz w:val="22"/>
          <w:szCs w:val="22"/>
        </w:rPr>
        <w:t>due to their</w:t>
      </w:r>
      <w:r w:rsidRPr="00222FF3">
        <w:rPr>
          <w:rStyle w:val="normaltextrun"/>
          <w:rFonts w:ascii="Tahoma" w:hAnsi="Tahoma" w:cs="Tahoma"/>
          <w:sz w:val="22"/>
          <w:szCs w:val="22"/>
        </w:rPr>
        <w:t xml:space="preserve"> parent being harassed is defined as “harm” </w:t>
      </w:r>
      <w:r w:rsidRPr="003554AA">
        <w:rPr>
          <w:rStyle w:val="normaltextrun"/>
          <w:rFonts w:ascii="Tahoma" w:hAnsi="Tahoma" w:cs="Tahoma"/>
          <w:sz w:val="22"/>
          <w:szCs w:val="22"/>
        </w:rPr>
        <w:t>(Department of Health, 2011)</w:t>
      </w:r>
    </w:p>
    <w:p w14:paraId="3D712ADE" w14:textId="77777777" w:rsidR="00300A8F" w:rsidRPr="004F6B75" w:rsidRDefault="00300A8F" w:rsidP="00300A8F">
      <w:pPr>
        <w:pStyle w:val="paragraph"/>
        <w:spacing w:before="0" w:beforeAutospacing="0" w:after="0" w:afterAutospacing="0" w:line="360" w:lineRule="auto"/>
        <w:textAlignment w:val="baseline"/>
        <w:rPr>
          <w:rFonts w:ascii="Tahoma" w:hAnsi="Tahoma" w:cs="Tahoma"/>
          <w:sz w:val="22"/>
          <w:szCs w:val="22"/>
        </w:rPr>
      </w:pPr>
    </w:p>
    <w:p w14:paraId="39866B6D" w14:textId="77777777" w:rsidR="00300A8F" w:rsidRPr="003554AA" w:rsidRDefault="00300A8F" w:rsidP="00300A8F">
      <w:pPr>
        <w:pStyle w:val="NormalWeb"/>
        <w:shd w:val="clear" w:color="auto" w:fill="FFFFFF"/>
        <w:spacing w:line="360" w:lineRule="auto"/>
        <w:rPr>
          <w:rFonts w:ascii="Tahoma" w:hAnsi="Tahoma" w:cs="Tahoma"/>
          <w:b/>
          <w:bCs/>
          <w:sz w:val="22"/>
          <w:szCs w:val="22"/>
        </w:rPr>
      </w:pPr>
      <w:r w:rsidRPr="003554AA">
        <w:rPr>
          <w:rFonts w:ascii="Tahoma" w:hAnsi="Tahoma" w:cs="Tahoma"/>
          <w:b/>
          <w:bCs/>
          <w:sz w:val="22"/>
          <w:szCs w:val="22"/>
        </w:rPr>
        <w:t>Challenges in response to DV cases.</w:t>
      </w:r>
    </w:p>
    <w:p w14:paraId="74D41A33" w14:textId="77777777" w:rsidR="00300A8F" w:rsidRPr="004F6B75" w:rsidRDefault="00300A8F" w:rsidP="00300A8F">
      <w:pPr>
        <w:pStyle w:val="NormalWeb"/>
        <w:shd w:val="clear" w:color="auto" w:fill="FFFFFF"/>
        <w:spacing w:line="360" w:lineRule="auto"/>
        <w:rPr>
          <w:rFonts w:ascii="Tahoma" w:hAnsi="Tahoma" w:cs="Tahoma"/>
          <w:sz w:val="22"/>
          <w:szCs w:val="22"/>
        </w:rPr>
      </w:pPr>
      <w:r w:rsidRPr="004F6B75">
        <w:rPr>
          <w:rFonts w:ascii="Tahoma" w:hAnsi="Tahoma" w:cs="Tahoma"/>
          <w:sz w:val="22"/>
          <w:szCs w:val="22"/>
        </w:rPr>
        <w:t xml:space="preserve">According to the National Centre for Domestic Violence only 24% of domestic violence incidents is reported to police (National Centre for Domestic Violence, 2023). Combining the </w:t>
      </w:r>
      <w:r w:rsidRPr="004F6B75">
        <w:rPr>
          <w:rFonts w:ascii="Tahoma" w:hAnsi="Tahoma" w:cs="Tahoma"/>
          <w:sz w:val="22"/>
          <w:szCs w:val="22"/>
        </w:rPr>
        <w:lastRenderedPageBreak/>
        <w:t>numbers with actual statistics from ONS it can be estimated that total number of the DV related offences conducted in UK within 12 months period could be as high as 3.644.000 incidents.</w:t>
      </w:r>
    </w:p>
    <w:p w14:paraId="07FDFC0F" w14:textId="77777777" w:rsidR="00300A8F" w:rsidRPr="004F6B75" w:rsidRDefault="00300A8F" w:rsidP="00300A8F">
      <w:pPr>
        <w:pStyle w:val="NormalWeb"/>
        <w:shd w:val="clear" w:color="auto" w:fill="FFFFFF"/>
        <w:spacing w:line="360" w:lineRule="auto"/>
        <w:rPr>
          <w:rFonts w:ascii="Tahoma" w:hAnsi="Tahoma" w:cs="Tahoma"/>
          <w:sz w:val="22"/>
          <w:szCs w:val="22"/>
        </w:rPr>
      </w:pPr>
      <w:r w:rsidRPr="004F6B75">
        <w:rPr>
          <w:rFonts w:ascii="Tahoma" w:hAnsi="Tahoma" w:cs="Tahoma"/>
          <w:sz w:val="22"/>
          <w:szCs w:val="22"/>
        </w:rPr>
        <w:t>Considering the estimated number of DV related crimes limited resources and funding for training, staffing, and equipment the conclusion could be drawn that effectiveness of the police officers’ response would be limited and not adequate to the complexity of domestic violence offences.</w:t>
      </w:r>
    </w:p>
    <w:p w14:paraId="35BB83B9" w14:textId="77777777" w:rsidR="00300A8F" w:rsidRPr="004F6B75" w:rsidRDefault="00300A8F" w:rsidP="00300A8F">
      <w:pPr>
        <w:pStyle w:val="NormalWeb"/>
        <w:shd w:val="clear" w:color="auto" w:fill="FFFFFF"/>
        <w:spacing w:line="360" w:lineRule="auto"/>
        <w:rPr>
          <w:rFonts w:ascii="Tahoma" w:hAnsi="Tahoma" w:cs="Tahoma"/>
          <w:sz w:val="22"/>
          <w:szCs w:val="22"/>
        </w:rPr>
      </w:pPr>
      <w:r w:rsidRPr="004F6B75">
        <w:rPr>
          <w:rFonts w:ascii="Tahoma" w:hAnsi="Tahoma" w:cs="Tahoma"/>
          <w:sz w:val="22"/>
          <w:szCs w:val="22"/>
        </w:rPr>
        <w:t>Another challenge in responding to domestic incident could be complex dynamics within abusive relationships. The power imbalances between abuser and victim affected disclosure and cooperation. The female victim of described incident was coercively controlled by her abusive partner and refused to support prosecution.</w:t>
      </w:r>
    </w:p>
    <w:p w14:paraId="75B9137D" w14:textId="77777777" w:rsidR="00300A8F" w:rsidRPr="004F6B75" w:rsidRDefault="00300A8F" w:rsidP="00300A8F">
      <w:pPr>
        <w:pStyle w:val="NormalWeb"/>
        <w:shd w:val="clear" w:color="auto" w:fill="FFFFFF"/>
        <w:spacing w:line="360" w:lineRule="auto"/>
        <w:rPr>
          <w:rFonts w:ascii="Tahoma" w:hAnsi="Tahoma" w:cs="Tahoma"/>
          <w:sz w:val="22"/>
          <w:szCs w:val="22"/>
          <w:shd w:val="clear" w:color="auto" w:fill="FFFFFF"/>
        </w:rPr>
      </w:pPr>
      <w:r w:rsidRPr="004F6B75">
        <w:rPr>
          <w:rFonts w:ascii="Tahoma" w:hAnsi="Tahoma" w:cs="Tahoma"/>
          <w:sz w:val="22"/>
          <w:szCs w:val="22"/>
        </w:rPr>
        <w:t>On occasions officers responding to DV incident would face cultural challenges.</w:t>
      </w:r>
      <w:r>
        <w:rPr>
          <w:rFonts w:ascii="Tahoma" w:hAnsi="Tahoma" w:cs="Tahoma"/>
          <w:sz w:val="22"/>
          <w:szCs w:val="22"/>
        </w:rPr>
        <w:t xml:space="preserve"> </w:t>
      </w:r>
      <w:r w:rsidRPr="004F6B75">
        <w:rPr>
          <w:rFonts w:ascii="Tahoma" w:hAnsi="Tahoma" w:cs="Tahoma"/>
          <w:sz w:val="22"/>
          <w:szCs w:val="22"/>
          <w:shd w:val="clear" w:color="auto" w:fill="FFFFFF"/>
        </w:rPr>
        <w:t>Furthermore, cultural barriers pose a significant challenge for British police when dealing with domestic abuse incidents. United Kingdom is a diverse country with numerous ethnic minorities living within. Following governmental statistics in relation to ethnicity of residents of the UK 82% of population in England and Wales consist of white people. The remaining 18% belong to Asian, black, mixed or another ethnicity</w:t>
      </w:r>
      <w:r w:rsidRPr="004F6B75">
        <w:rPr>
          <w:rFonts w:ascii="Tahoma" w:hAnsi="Tahoma" w:cs="Tahoma"/>
          <w:sz w:val="22"/>
          <w:szCs w:val="22"/>
        </w:rPr>
        <w:t xml:space="preserve"> </w:t>
      </w:r>
      <w:r w:rsidRPr="004F6B75">
        <w:rPr>
          <w:rFonts w:ascii="Tahoma" w:hAnsi="Tahoma" w:cs="Tahoma"/>
          <w:sz w:val="22"/>
          <w:szCs w:val="22"/>
          <w:shd w:val="clear" w:color="auto" w:fill="FFFFFF"/>
        </w:rPr>
        <w:t xml:space="preserve">(GOV.UK, 2021). Some communities may have different attitudes towards this issue or may be reluctant to involve external authorities due to cultural norms or fear of stigma. Overcoming these barriers requires sensitivity and cultural competence on the part of law enforcement agencies. Around 3 million people living in UK are from Arab or South Asian background. Data shows that victims of so called “honour” based violence are women from these ethnic heritage (Khan et al.2018). </w:t>
      </w:r>
    </w:p>
    <w:p w14:paraId="582DA6F5" w14:textId="77777777" w:rsidR="00300A8F" w:rsidRPr="004F6B75" w:rsidRDefault="00300A8F" w:rsidP="00300A8F">
      <w:pPr>
        <w:pStyle w:val="paragraph"/>
        <w:spacing w:before="0" w:beforeAutospacing="0" w:after="0" w:afterAutospacing="0" w:line="360" w:lineRule="auto"/>
        <w:textAlignment w:val="baseline"/>
        <w:rPr>
          <w:rFonts w:ascii="Tahoma" w:hAnsi="Tahoma" w:cs="Tahoma"/>
          <w:sz w:val="22"/>
          <w:szCs w:val="22"/>
        </w:rPr>
      </w:pPr>
    </w:p>
    <w:p w14:paraId="6A6AEB47" w14:textId="77777777" w:rsidR="00300A8F" w:rsidRPr="004F6B75" w:rsidRDefault="00300A8F" w:rsidP="00300A8F">
      <w:pPr>
        <w:pStyle w:val="paragraph"/>
        <w:spacing w:before="0" w:beforeAutospacing="0" w:after="0" w:afterAutospacing="0" w:line="360" w:lineRule="auto"/>
        <w:textAlignment w:val="baseline"/>
        <w:rPr>
          <w:rFonts w:ascii="Tahoma" w:hAnsi="Tahoma" w:cs="Tahoma"/>
          <w:sz w:val="22"/>
          <w:szCs w:val="22"/>
        </w:rPr>
      </w:pPr>
      <w:r w:rsidRPr="004F6B75">
        <w:rPr>
          <w:rFonts w:ascii="Tahoma" w:hAnsi="Tahoma" w:cs="Tahoma"/>
          <w:sz w:val="22"/>
          <w:szCs w:val="22"/>
        </w:rPr>
        <w:t xml:space="preserve">Another significant challenge faced by police is underreporting of domestic violence incidents due to fear, shame, or lack of trust in law enforcement. This hampers accurate data collection and impacts effective intervention. </w:t>
      </w:r>
      <w:r w:rsidRPr="004F6B75">
        <w:rPr>
          <w:rStyle w:val="eop"/>
          <w:rFonts w:ascii="Tahoma" w:hAnsi="Tahoma" w:cs="Tahoma"/>
          <w:sz w:val="22"/>
          <w:szCs w:val="22"/>
        </w:rPr>
        <w:t xml:space="preserve"> According to the Office for National Statistics police recorded 910,980 in year ending March 2022, increase by 7.7% in comparison to previous year (Office for National Statistics, 2022). </w:t>
      </w:r>
      <w:r w:rsidRPr="004F6B75">
        <w:rPr>
          <w:rFonts w:ascii="Tahoma" w:hAnsi="Tahoma" w:cs="Tahoma"/>
          <w:sz w:val="22"/>
          <w:szCs w:val="22"/>
        </w:rPr>
        <w:t xml:space="preserve">However, an increase in the number of reported DV- related incidents could indicate a change on this field.  </w:t>
      </w:r>
    </w:p>
    <w:p w14:paraId="22D100AD" w14:textId="77777777" w:rsidR="00300A8F" w:rsidRPr="004F6B75" w:rsidRDefault="00300A8F" w:rsidP="00300A8F">
      <w:pPr>
        <w:pStyle w:val="NormalWeb"/>
        <w:spacing w:line="360" w:lineRule="auto"/>
        <w:rPr>
          <w:rFonts w:ascii="Tahoma" w:hAnsi="Tahoma" w:cs="Tahoma"/>
          <w:sz w:val="22"/>
          <w:szCs w:val="22"/>
        </w:rPr>
      </w:pPr>
      <w:r w:rsidRPr="004F6B75">
        <w:rPr>
          <w:rFonts w:ascii="Tahoma" w:hAnsi="Tahoma" w:cs="Tahoma"/>
          <w:sz w:val="22"/>
          <w:szCs w:val="22"/>
        </w:rPr>
        <w:t>Additionally, limited resources and high caseloads often result in delayed response times, potentially endangering victims further.</w:t>
      </w:r>
    </w:p>
    <w:p w14:paraId="4713A651" w14:textId="77777777" w:rsidR="00300A8F" w:rsidRDefault="00300A8F" w:rsidP="00300A8F">
      <w:pPr>
        <w:pStyle w:val="NormalWeb"/>
        <w:shd w:val="clear" w:color="auto" w:fill="FFFFFF"/>
        <w:spacing w:line="360" w:lineRule="auto"/>
        <w:rPr>
          <w:rFonts w:ascii="Tahoma" w:hAnsi="Tahoma" w:cs="Tahoma"/>
          <w:b/>
          <w:bCs/>
          <w:sz w:val="22"/>
          <w:szCs w:val="22"/>
        </w:rPr>
      </w:pPr>
      <w:r w:rsidRPr="003554AA">
        <w:rPr>
          <w:rFonts w:ascii="Tahoma" w:hAnsi="Tahoma" w:cs="Tahoma"/>
          <w:b/>
          <w:bCs/>
          <w:sz w:val="22"/>
          <w:szCs w:val="22"/>
        </w:rPr>
        <w:lastRenderedPageBreak/>
        <w:t>Strategies developed to overcome challenges in police response to domestic violence cases.</w:t>
      </w:r>
    </w:p>
    <w:p w14:paraId="57E0577A" w14:textId="77777777" w:rsidR="00300A8F" w:rsidRDefault="00300A8F" w:rsidP="00300A8F">
      <w:pPr>
        <w:pStyle w:val="NormalWeb"/>
        <w:shd w:val="clear" w:color="auto" w:fill="FFFFFF"/>
        <w:spacing w:line="360" w:lineRule="auto"/>
        <w:rPr>
          <w:rFonts w:ascii="Tahoma" w:hAnsi="Tahoma" w:cs="Tahoma"/>
          <w:color w:val="FF0000"/>
          <w:sz w:val="22"/>
          <w:szCs w:val="22"/>
        </w:rPr>
      </w:pPr>
      <w:r w:rsidRPr="004F6B75">
        <w:rPr>
          <w:rFonts w:ascii="Tahoma" w:hAnsi="Tahoma" w:cs="Tahoma"/>
          <w:color w:val="FF0000"/>
          <w:sz w:val="22"/>
          <w:szCs w:val="22"/>
        </w:rPr>
        <w:t xml:space="preserve"> </w:t>
      </w:r>
      <w:r w:rsidRPr="000A2603">
        <w:rPr>
          <w:rFonts w:ascii="Tahoma" w:hAnsi="Tahoma" w:cs="Tahoma"/>
          <w:sz w:val="22"/>
          <w:szCs w:val="22"/>
        </w:rPr>
        <w:t>Strengthening legislation and policy framework</w:t>
      </w:r>
      <w:r>
        <w:rPr>
          <w:rFonts w:ascii="Tahoma" w:hAnsi="Tahoma" w:cs="Tahoma"/>
          <w:sz w:val="22"/>
          <w:szCs w:val="22"/>
        </w:rPr>
        <w:t xml:space="preserve">s in the UK provided police forces across the country with powers to process DV perpetrator. </w:t>
      </w:r>
      <w:r w:rsidRPr="00891E84">
        <w:rPr>
          <w:rFonts w:ascii="Tahoma" w:hAnsi="Tahoma" w:cs="Tahoma"/>
          <w:sz w:val="22"/>
          <w:szCs w:val="22"/>
        </w:rPr>
        <w:t xml:space="preserve">Implementing the Serious Crime Act 2015, the Domestic Abuse Act are a significant step forward in bringing perpetrator to justice. Also force policies (South Wales Police) empowering officers to arrest a suspect in DV related case put victims in a first place and provide safeguarding to victims and families. </w:t>
      </w:r>
    </w:p>
    <w:p w14:paraId="5488CC4B" w14:textId="77777777" w:rsidR="00300A8F" w:rsidRPr="00891E84" w:rsidRDefault="00300A8F" w:rsidP="00300A8F">
      <w:pPr>
        <w:pStyle w:val="NormalWeb"/>
        <w:spacing w:line="360" w:lineRule="auto"/>
        <w:rPr>
          <w:rFonts w:ascii="Tahoma" w:hAnsi="Tahoma" w:cs="Tahoma"/>
          <w:sz w:val="22"/>
          <w:szCs w:val="22"/>
        </w:rPr>
      </w:pPr>
      <w:r w:rsidRPr="004F6B75">
        <w:rPr>
          <w:rFonts w:ascii="Tahoma" w:hAnsi="Tahoma" w:cs="Tahoma"/>
          <w:sz w:val="22"/>
          <w:szCs w:val="22"/>
        </w:rPr>
        <w:t>To address these challenges, several strategies have been developed. Firstly, specialized training programs have been implemented to enhance officers' understanding of domestic violence dynamics and improve their sensitivity when dealing with victims. Moreover, multi-agency collaborations between police forces, social services, healthcare providers, and NGOs have been established to ensure a holistic approach towards victim support</w:t>
      </w:r>
      <w:r w:rsidRPr="00891E84">
        <w:rPr>
          <w:rFonts w:ascii="Tahoma" w:hAnsi="Tahoma" w:cs="Tahoma"/>
          <w:sz w:val="22"/>
          <w:szCs w:val="22"/>
        </w:rPr>
        <w:t xml:space="preserve">. Every case of domestic abuse is referred to partner agencies with victim consent. Partner agencies including health board, police, probation, housing, </w:t>
      </w:r>
      <w:proofErr w:type="gramStart"/>
      <w:r w:rsidRPr="00891E84">
        <w:rPr>
          <w:rFonts w:ascii="Tahoma" w:hAnsi="Tahoma" w:cs="Tahoma"/>
          <w:sz w:val="22"/>
          <w:szCs w:val="22"/>
        </w:rPr>
        <w:t>education</w:t>
      </w:r>
      <w:proofErr w:type="gramEnd"/>
      <w:r w:rsidRPr="00891E84">
        <w:rPr>
          <w:rFonts w:ascii="Tahoma" w:hAnsi="Tahoma" w:cs="Tahoma"/>
          <w:sz w:val="22"/>
          <w:szCs w:val="22"/>
        </w:rPr>
        <w:t xml:space="preserve"> and other external agencies confer and implement strategies how to provide tailored support to victims. Establishment of Multi-Agency Risk Assessment Conferences (MARACs) enhanced information sharing between police, social services, health professionals etc. which allowed the support to be provided in timely manner.</w:t>
      </w:r>
      <w:r>
        <w:rPr>
          <w:rFonts w:ascii="Tahoma" w:hAnsi="Tahoma" w:cs="Tahoma"/>
          <w:sz w:val="22"/>
          <w:szCs w:val="22"/>
        </w:rPr>
        <w:t xml:space="preserve"> Significant support was also enabled by implementing institution of Independent Domestic Violence Advisors (IDVAs). These highly qualified persons provide mental, </w:t>
      </w:r>
      <w:proofErr w:type="gramStart"/>
      <w:r>
        <w:rPr>
          <w:rFonts w:ascii="Tahoma" w:hAnsi="Tahoma" w:cs="Tahoma"/>
          <w:sz w:val="22"/>
          <w:szCs w:val="22"/>
        </w:rPr>
        <w:t>emotional</w:t>
      </w:r>
      <w:proofErr w:type="gramEnd"/>
      <w:r>
        <w:rPr>
          <w:rFonts w:ascii="Tahoma" w:hAnsi="Tahoma" w:cs="Tahoma"/>
          <w:sz w:val="22"/>
          <w:szCs w:val="22"/>
        </w:rPr>
        <w:t xml:space="preserve"> and legal support to referred victims of serious DV cases.</w:t>
      </w:r>
    </w:p>
    <w:p w14:paraId="1F124572" w14:textId="77777777" w:rsidR="00300A8F" w:rsidRDefault="00300A8F" w:rsidP="00300A8F">
      <w:pPr>
        <w:pStyle w:val="NormalWeb"/>
        <w:spacing w:line="360" w:lineRule="auto"/>
        <w:rPr>
          <w:rFonts w:ascii="Tahoma" w:hAnsi="Tahoma" w:cs="Tahoma"/>
          <w:sz w:val="22"/>
          <w:szCs w:val="22"/>
        </w:rPr>
      </w:pPr>
      <w:r w:rsidRPr="004F6B75">
        <w:rPr>
          <w:rFonts w:ascii="Tahoma" w:hAnsi="Tahoma" w:cs="Tahoma"/>
          <w:sz w:val="22"/>
          <w:szCs w:val="22"/>
        </w:rPr>
        <w:t xml:space="preserve">Furthermore, </w:t>
      </w:r>
      <w:r>
        <w:rPr>
          <w:rFonts w:ascii="Tahoma" w:hAnsi="Tahoma" w:cs="Tahoma"/>
          <w:sz w:val="22"/>
          <w:szCs w:val="22"/>
        </w:rPr>
        <w:t>measures</w:t>
      </w:r>
      <w:r w:rsidRPr="004F6B75">
        <w:rPr>
          <w:rFonts w:ascii="Tahoma" w:hAnsi="Tahoma" w:cs="Tahoma"/>
          <w:sz w:val="22"/>
          <w:szCs w:val="22"/>
        </w:rPr>
        <w:t xml:space="preserve"> such as Domestic Violence Protection Orders (DVPOs) provide immediate protection for victims by enabling authorities to </w:t>
      </w:r>
      <w:r>
        <w:rPr>
          <w:rFonts w:ascii="Tahoma" w:hAnsi="Tahoma" w:cs="Tahoma"/>
          <w:sz w:val="22"/>
          <w:szCs w:val="22"/>
        </w:rPr>
        <w:t>prevent</w:t>
      </w:r>
      <w:r w:rsidRPr="004F6B75">
        <w:rPr>
          <w:rFonts w:ascii="Tahoma" w:hAnsi="Tahoma" w:cs="Tahoma"/>
          <w:sz w:val="22"/>
          <w:szCs w:val="22"/>
        </w:rPr>
        <w:t xml:space="preserve"> perpetrators from returning </w:t>
      </w:r>
      <w:r>
        <w:rPr>
          <w:rFonts w:ascii="Tahoma" w:hAnsi="Tahoma" w:cs="Tahoma"/>
          <w:sz w:val="22"/>
          <w:szCs w:val="22"/>
        </w:rPr>
        <w:t xml:space="preserve">to </w:t>
      </w:r>
      <w:r w:rsidRPr="004F6B75">
        <w:rPr>
          <w:rFonts w:ascii="Tahoma" w:hAnsi="Tahoma" w:cs="Tahoma"/>
          <w:sz w:val="22"/>
          <w:szCs w:val="22"/>
        </w:rPr>
        <w:t>home</w:t>
      </w:r>
      <w:r>
        <w:rPr>
          <w:rFonts w:ascii="Tahoma" w:hAnsi="Tahoma" w:cs="Tahoma"/>
          <w:sz w:val="22"/>
          <w:szCs w:val="22"/>
        </w:rPr>
        <w:t xml:space="preserve"> address</w:t>
      </w:r>
      <w:r w:rsidRPr="004F6B75">
        <w:rPr>
          <w:rFonts w:ascii="Tahoma" w:hAnsi="Tahoma" w:cs="Tahoma"/>
          <w:sz w:val="22"/>
          <w:szCs w:val="22"/>
        </w:rPr>
        <w:t xml:space="preserve"> or contacting their victims for up to 28 days. Such measures empower victims while allowing them time and space to seek long-term solutions.</w:t>
      </w:r>
      <w:r>
        <w:rPr>
          <w:rFonts w:ascii="Tahoma" w:hAnsi="Tahoma" w:cs="Tahoma"/>
          <w:sz w:val="22"/>
          <w:szCs w:val="22"/>
        </w:rPr>
        <w:t xml:space="preserve"> If perpetrator would breach the court </w:t>
      </w:r>
      <w:proofErr w:type="gramStart"/>
      <w:r>
        <w:rPr>
          <w:rFonts w:ascii="Tahoma" w:hAnsi="Tahoma" w:cs="Tahoma"/>
          <w:sz w:val="22"/>
          <w:szCs w:val="22"/>
        </w:rPr>
        <w:t>order</w:t>
      </w:r>
      <w:proofErr w:type="gramEnd"/>
      <w:r>
        <w:rPr>
          <w:rFonts w:ascii="Tahoma" w:hAnsi="Tahoma" w:cs="Tahoma"/>
          <w:sz w:val="22"/>
          <w:szCs w:val="22"/>
        </w:rPr>
        <w:t xml:space="preserve"> they would be arrested.</w:t>
      </w:r>
    </w:p>
    <w:p w14:paraId="1AFEE4FB" w14:textId="77777777" w:rsidR="00300A8F" w:rsidRPr="00D30B58" w:rsidRDefault="00300A8F" w:rsidP="00300A8F">
      <w:pPr>
        <w:pStyle w:val="NormalWeb"/>
        <w:spacing w:line="360" w:lineRule="auto"/>
        <w:rPr>
          <w:rFonts w:ascii="Tahoma" w:hAnsi="Tahoma" w:cs="Tahoma"/>
          <w:sz w:val="22"/>
          <w:szCs w:val="22"/>
        </w:rPr>
      </w:pPr>
      <w:r w:rsidRPr="00D30B58">
        <w:rPr>
          <w:rFonts w:ascii="Tahoma" w:hAnsi="Tahoma" w:cs="Tahoma"/>
          <w:b/>
          <w:bCs/>
          <w:sz w:val="22"/>
          <w:szCs w:val="22"/>
        </w:rPr>
        <w:t>Critical assessment of strategies implemented by the UK police force</w:t>
      </w:r>
      <w:r>
        <w:rPr>
          <w:rFonts w:ascii="Tahoma" w:hAnsi="Tahoma" w:cs="Tahoma"/>
          <w:b/>
          <w:bCs/>
          <w:sz w:val="22"/>
          <w:szCs w:val="22"/>
        </w:rPr>
        <w:t>s.</w:t>
      </w:r>
    </w:p>
    <w:p w14:paraId="3FA33E5C" w14:textId="77777777" w:rsidR="00300A8F" w:rsidRPr="00DA7534" w:rsidRDefault="00300A8F" w:rsidP="00300A8F">
      <w:pPr>
        <w:pStyle w:val="NormalWeb"/>
        <w:shd w:val="clear" w:color="auto" w:fill="FFFFFF"/>
        <w:spacing w:line="360" w:lineRule="auto"/>
        <w:rPr>
          <w:rFonts w:ascii="Tahoma" w:hAnsi="Tahoma" w:cs="Tahoma"/>
          <w:sz w:val="22"/>
          <w:szCs w:val="22"/>
        </w:rPr>
      </w:pPr>
      <w:r>
        <w:rPr>
          <w:rFonts w:ascii="Tahoma" w:hAnsi="Tahoma" w:cs="Tahoma"/>
          <w:sz w:val="22"/>
          <w:szCs w:val="22"/>
        </w:rPr>
        <w:t>Police forces in the UK introduced</w:t>
      </w:r>
      <w:r w:rsidRPr="00E75232">
        <w:rPr>
          <w:rFonts w:ascii="Tahoma" w:hAnsi="Tahoma" w:cs="Tahoma"/>
          <w:sz w:val="22"/>
          <w:szCs w:val="22"/>
        </w:rPr>
        <w:t xml:space="preserve"> polic</w:t>
      </w:r>
      <w:r>
        <w:rPr>
          <w:rFonts w:ascii="Tahoma" w:hAnsi="Tahoma" w:cs="Tahoma"/>
          <w:sz w:val="22"/>
          <w:szCs w:val="22"/>
        </w:rPr>
        <w:t>y of presumptive arrest which</w:t>
      </w:r>
      <w:r w:rsidRPr="00E75232">
        <w:rPr>
          <w:rFonts w:ascii="Tahoma" w:hAnsi="Tahoma" w:cs="Tahoma"/>
          <w:sz w:val="22"/>
          <w:szCs w:val="22"/>
        </w:rPr>
        <w:t xml:space="preserve"> makes it mandatory to arrest person responsible for physical violence</w:t>
      </w:r>
      <w:r>
        <w:rPr>
          <w:rFonts w:ascii="Tahoma" w:hAnsi="Tahoma" w:cs="Tahoma"/>
          <w:sz w:val="22"/>
          <w:szCs w:val="22"/>
        </w:rPr>
        <w:t xml:space="preserve"> in domestic environment</w:t>
      </w:r>
      <w:r w:rsidRPr="00E75232">
        <w:rPr>
          <w:rFonts w:ascii="Tahoma" w:hAnsi="Tahoma" w:cs="Tahoma"/>
          <w:sz w:val="22"/>
          <w:szCs w:val="22"/>
        </w:rPr>
        <w:t xml:space="preserve">. While in many cases it is reasonable step, not always victims support these police actions. During my short service I’ve already experienced numerous times parents reporting their children being violent.  After arrest the same parents refused to provide statement of compliant and followed police van to custody to wait for their children to be interviewed and released. In </w:t>
      </w:r>
      <w:r w:rsidRPr="00E75232">
        <w:rPr>
          <w:rFonts w:ascii="Tahoma" w:hAnsi="Tahoma" w:cs="Tahoma"/>
          <w:sz w:val="22"/>
          <w:szCs w:val="22"/>
        </w:rPr>
        <w:lastRenderedPageBreak/>
        <w:t>those cases, the force policy has not brought desired effect and caused unnecessary resources to be tight and involved with time consuming investigation.</w:t>
      </w:r>
      <w:r>
        <w:rPr>
          <w:rFonts w:ascii="Tahoma" w:hAnsi="Tahoma" w:cs="Tahoma"/>
          <w:sz w:val="22"/>
          <w:szCs w:val="22"/>
        </w:rPr>
        <w:t xml:space="preserve"> In their study Johnson and Dai (2014) </w:t>
      </w:r>
      <w:r w:rsidRPr="0057409D">
        <w:rPr>
          <w:rFonts w:ascii="Tahoma" w:hAnsi="Tahoma" w:cs="Tahoma"/>
          <w:sz w:val="22"/>
          <w:szCs w:val="22"/>
        </w:rPr>
        <w:t xml:space="preserve">determined “that the strongest and most consistent predictors of arrest have been legal factors: whether there are (serious) criminal offences, whether there is evidence (especially physical injury), and whether the victim is prepared to make a complaint”. </w:t>
      </w:r>
      <w:r w:rsidRPr="00E75232">
        <w:rPr>
          <w:rFonts w:ascii="Tahoma" w:hAnsi="Tahoma" w:cs="Tahoma"/>
          <w:sz w:val="22"/>
          <w:szCs w:val="22"/>
        </w:rPr>
        <w:t xml:space="preserve">This policy could be adjusted by giving officers more </w:t>
      </w:r>
      <w:r>
        <w:rPr>
          <w:rFonts w:ascii="Tahoma" w:hAnsi="Tahoma" w:cs="Tahoma"/>
          <w:sz w:val="22"/>
          <w:szCs w:val="22"/>
        </w:rPr>
        <w:t>discretion and allow officers to make based on facts decision, that would be most appropriate in given circumstances and approved by supervisor. This approach would be beneficial in regard of victim’s satisfaction and resources.</w:t>
      </w:r>
    </w:p>
    <w:p w14:paraId="749C2CB4" w14:textId="77777777" w:rsidR="00300A8F" w:rsidRPr="00E75232" w:rsidRDefault="00300A8F" w:rsidP="00300A8F">
      <w:pPr>
        <w:pStyle w:val="NormalWeb"/>
        <w:shd w:val="clear" w:color="auto" w:fill="FFFFFF"/>
        <w:spacing w:line="360" w:lineRule="auto"/>
        <w:rPr>
          <w:rFonts w:ascii="Tahoma" w:hAnsi="Tahoma" w:cs="Tahoma"/>
          <w:sz w:val="22"/>
          <w:szCs w:val="22"/>
        </w:rPr>
      </w:pPr>
      <w:r w:rsidRPr="00E75232">
        <w:rPr>
          <w:rFonts w:ascii="Tahoma" w:hAnsi="Tahoma" w:cs="Tahoma"/>
          <w:sz w:val="22"/>
          <w:szCs w:val="22"/>
        </w:rPr>
        <w:t xml:space="preserve">Current legislation relating to domestic abuse provide police with powers to arrest perpetrator and to safeguard victims through issuing DVPO, however numerous cases of DV face evidential difficulties, particularly regarding coercive control. Victims emotionally connected with perpetrator do not support prosecution. Crime Prosecution Service may undergo victimless prosecution in cases of serious DV assault cases. This may lead to successful charges of perpetrator however there is no victim satisfaction, and it is likely that victim would potentially accept perpetrator back.  </w:t>
      </w:r>
    </w:p>
    <w:p w14:paraId="266BFB11" w14:textId="77777777" w:rsidR="00300A8F" w:rsidRPr="00CA11DE" w:rsidRDefault="00300A8F" w:rsidP="00300A8F">
      <w:pPr>
        <w:pStyle w:val="NormalWeb"/>
        <w:shd w:val="clear" w:color="auto" w:fill="FFFFFF"/>
        <w:spacing w:line="360" w:lineRule="auto"/>
        <w:rPr>
          <w:rFonts w:ascii="Tahoma" w:hAnsi="Tahoma" w:cs="Tahoma"/>
          <w:sz w:val="22"/>
          <w:szCs w:val="22"/>
        </w:rPr>
      </w:pPr>
      <w:r>
        <w:rPr>
          <w:rFonts w:ascii="Tahoma" w:hAnsi="Tahoma" w:cs="Tahoma"/>
          <w:sz w:val="22"/>
          <w:szCs w:val="22"/>
        </w:rPr>
        <w:t xml:space="preserve">While numerous police forces develop specialist units such as Multi Agency Safeguarding Hub (MASH) to deal with complexity of domestic violence crimes, it is still the case that response officer without adequate training are first on scene. Considering lack of appropriate training this approach is far from required. This could be improved by additional training for response officer and by triage of DV trained officers with response units. Triage with highly trained in DV matter officer would be beneficial for victims and response officer who could be trained at the same time.  </w:t>
      </w:r>
    </w:p>
    <w:p w14:paraId="178B7074" w14:textId="77777777" w:rsidR="00300A8F" w:rsidRPr="00D30B58" w:rsidRDefault="00300A8F" w:rsidP="00300A8F">
      <w:pPr>
        <w:pStyle w:val="NormalWeb"/>
        <w:shd w:val="clear" w:color="auto" w:fill="FFFFFF"/>
        <w:spacing w:line="360" w:lineRule="auto"/>
        <w:rPr>
          <w:rFonts w:ascii="Tahoma" w:hAnsi="Tahoma" w:cs="Tahoma"/>
          <w:b/>
          <w:bCs/>
          <w:sz w:val="22"/>
          <w:szCs w:val="22"/>
        </w:rPr>
      </w:pPr>
      <w:r w:rsidRPr="00D30B58">
        <w:rPr>
          <w:rFonts w:ascii="Tahoma" w:hAnsi="Tahoma" w:cs="Tahoma"/>
          <w:b/>
          <w:bCs/>
          <w:sz w:val="22"/>
          <w:szCs w:val="22"/>
        </w:rPr>
        <w:t>Conclusion</w:t>
      </w:r>
    </w:p>
    <w:p w14:paraId="5B65CB3C" w14:textId="77777777" w:rsidR="00300A8F" w:rsidRPr="00D30B58" w:rsidRDefault="00300A8F" w:rsidP="00300A8F">
      <w:pPr>
        <w:pStyle w:val="NormalWeb"/>
        <w:shd w:val="clear" w:color="auto" w:fill="FFFFFF"/>
        <w:spacing w:line="360" w:lineRule="auto"/>
        <w:rPr>
          <w:rFonts w:ascii="Tahoma" w:hAnsi="Tahoma" w:cs="Tahoma"/>
          <w:sz w:val="22"/>
          <w:szCs w:val="22"/>
        </w:rPr>
      </w:pPr>
      <w:r w:rsidRPr="00D30B58">
        <w:rPr>
          <w:rFonts w:ascii="Tahoma" w:hAnsi="Tahoma" w:cs="Tahoma"/>
          <w:sz w:val="22"/>
          <w:szCs w:val="22"/>
        </w:rPr>
        <w:t xml:space="preserve">British police forces face a variety of challenges in responding to domestic violence cases in the UK. From lack of training, low resources, cultural barriers, moral dilemmas of officers’, non-supportive </w:t>
      </w:r>
      <w:proofErr w:type="gramStart"/>
      <w:r w:rsidRPr="00D30B58">
        <w:rPr>
          <w:rFonts w:ascii="Tahoma" w:hAnsi="Tahoma" w:cs="Tahoma"/>
          <w:sz w:val="22"/>
          <w:szCs w:val="22"/>
        </w:rPr>
        <w:t>victims</w:t>
      </w:r>
      <w:proofErr w:type="gramEnd"/>
      <w:r w:rsidRPr="00D30B58">
        <w:rPr>
          <w:rFonts w:ascii="Tahoma" w:hAnsi="Tahoma" w:cs="Tahoma"/>
          <w:sz w:val="22"/>
          <w:szCs w:val="22"/>
        </w:rPr>
        <w:t xml:space="preserve"> and evidential difficulties. </w:t>
      </w:r>
      <w:proofErr w:type="gramStart"/>
      <w:r w:rsidRPr="00D30B58">
        <w:rPr>
          <w:rFonts w:ascii="Tahoma" w:hAnsi="Tahoma" w:cs="Tahoma"/>
          <w:sz w:val="22"/>
          <w:szCs w:val="22"/>
        </w:rPr>
        <w:t>All of</w:t>
      </w:r>
      <w:proofErr w:type="gramEnd"/>
      <w:r w:rsidRPr="00D30B58">
        <w:rPr>
          <w:rFonts w:ascii="Tahoma" w:hAnsi="Tahoma" w:cs="Tahoma"/>
          <w:sz w:val="22"/>
          <w:szCs w:val="22"/>
        </w:rPr>
        <w:t xml:space="preserve"> these challenges cause responding to already complex DV cases problematic.</w:t>
      </w:r>
    </w:p>
    <w:p w14:paraId="6B32A65E" w14:textId="77777777" w:rsidR="00300A8F" w:rsidRPr="00D30B58" w:rsidRDefault="00300A8F" w:rsidP="00300A8F">
      <w:pPr>
        <w:pStyle w:val="NormalWeb"/>
        <w:shd w:val="clear" w:color="auto" w:fill="FFFFFF"/>
        <w:spacing w:line="360" w:lineRule="auto"/>
        <w:rPr>
          <w:rFonts w:ascii="Tahoma" w:hAnsi="Tahoma" w:cs="Tahoma"/>
          <w:sz w:val="22"/>
          <w:szCs w:val="22"/>
        </w:rPr>
      </w:pPr>
      <w:r>
        <w:rPr>
          <w:rFonts w:ascii="Tahoma" w:hAnsi="Tahoma" w:cs="Tahoma"/>
          <w:sz w:val="22"/>
          <w:szCs w:val="22"/>
        </w:rPr>
        <w:t>W</w:t>
      </w:r>
      <w:r w:rsidRPr="00D30B58">
        <w:rPr>
          <w:rFonts w:ascii="Tahoma" w:hAnsi="Tahoma" w:cs="Tahoma"/>
          <w:sz w:val="22"/>
          <w:szCs w:val="22"/>
        </w:rPr>
        <w:t xml:space="preserve">hile commendable progress has been made in addressing domestic violence within the UK's police response system through specialized training programs and collaborative efforts with various agencies, there is still room for improvement. Continued investment in resources and further research into effective interventions are crucial steps towards </w:t>
      </w:r>
      <w:r w:rsidRPr="00D30B58">
        <w:rPr>
          <w:rFonts w:ascii="Tahoma" w:hAnsi="Tahoma" w:cs="Tahoma"/>
          <w:sz w:val="22"/>
          <w:szCs w:val="22"/>
        </w:rPr>
        <w:lastRenderedPageBreak/>
        <w:t>combating this pervasive issue effectively. Only through sustained efforts can we hope for a future where domestic violence is eradicated from our society entirely.</w:t>
      </w:r>
    </w:p>
    <w:p w14:paraId="112561BB" w14:textId="77777777" w:rsidR="00300A8F" w:rsidRDefault="00300A8F" w:rsidP="00300A8F">
      <w:pPr>
        <w:pStyle w:val="NormalWeb"/>
        <w:shd w:val="clear" w:color="auto" w:fill="FFFFFF"/>
        <w:spacing w:line="360" w:lineRule="auto"/>
        <w:rPr>
          <w:rFonts w:ascii="Tahoma" w:hAnsi="Tahoma" w:cs="Tahoma"/>
          <w:b/>
          <w:bCs/>
          <w:sz w:val="22"/>
          <w:szCs w:val="22"/>
        </w:rPr>
      </w:pPr>
    </w:p>
    <w:p w14:paraId="622306E4" w14:textId="77777777" w:rsidR="00300A8F" w:rsidRDefault="00300A8F" w:rsidP="00300A8F">
      <w:pPr>
        <w:pStyle w:val="NormalWeb"/>
        <w:shd w:val="clear" w:color="auto" w:fill="FFFFFF"/>
        <w:spacing w:line="360" w:lineRule="auto"/>
        <w:rPr>
          <w:rFonts w:ascii="Tahoma" w:hAnsi="Tahoma" w:cs="Tahoma"/>
          <w:b/>
          <w:bCs/>
          <w:sz w:val="22"/>
          <w:szCs w:val="22"/>
        </w:rPr>
      </w:pPr>
      <w:r w:rsidRPr="00172B79">
        <w:rPr>
          <w:rFonts w:ascii="Tahoma" w:hAnsi="Tahoma" w:cs="Tahoma"/>
          <w:b/>
          <w:bCs/>
          <w:sz w:val="22"/>
          <w:szCs w:val="22"/>
        </w:rPr>
        <w:t>Word count</w:t>
      </w:r>
      <w:r>
        <w:rPr>
          <w:rFonts w:ascii="Tahoma" w:hAnsi="Tahoma" w:cs="Tahoma"/>
          <w:b/>
          <w:bCs/>
          <w:sz w:val="22"/>
          <w:szCs w:val="22"/>
        </w:rPr>
        <w:t>: 1983</w:t>
      </w:r>
    </w:p>
    <w:p w14:paraId="74CC4F5D" w14:textId="77777777" w:rsidR="00300A8F" w:rsidRPr="00172B79" w:rsidRDefault="00300A8F" w:rsidP="00300A8F">
      <w:pPr>
        <w:pStyle w:val="NormalWeb"/>
        <w:shd w:val="clear" w:color="auto" w:fill="FFFFFF"/>
        <w:spacing w:line="360" w:lineRule="auto"/>
        <w:rPr>
          <w:rFonts w:ascii="Tahoma" w:hAnsi="Tahoma" w:cs="Tahoma"/>
          <w:b/>
          <w:bCs/>
          <w:sz w:val="22"/>
          <w:szCs w:val="22"/>
        </w:rPr>
      </w:pPr>
    </w:p>
    <w:p w14:paraId="5D0D8A42" w14:textId="77777777" w:rsidR="00300A8F" w:rsidRDefault="00300A8F" w:rsidP="00300A8F">
      <w:pPr>
        <w:pStyle w:val="NormalWeb"/>
        <w:shd w:val="clear" w:color="auto" w:fill="FFFFFF"/>
        <w:spacing w:line="360" w:lineRule="auto"/>
        <w:rPr>
          <w:rFonts w:ascii="Tahoma" w:hAnsi="Tahoma" w:cs="Tahoma"/>
          <w:b/>
          <w:bCs/>
          <w:sz w:val="22"/>
          <w:szCs w:val="22"/>
        </w:rPr>
      </w:pPr>
      <w:r w:rsidRPr="00172B79">
        <w:rPr>
          <w:rFonts w:ascii="Tahoma" w:hAnsi="Tahoma" w:cs="Tahoma"/>
          <w:b/>
          <w:bCs/>
          <w:color w:val="000000" w:themeColor="text1"/>
          <w:sz w:val="22"/>
          <w:szCs w:val="22"/>
        </w:rPr>
        <w:t>Bibliograph</w:t>
      </w:r>
      <w:r w:rsidRPr="00172B79">
        <w:rPr>
          <w:rFonts w:ascii="Tahoma" w:hAnsi="Tahoma" w:cs="Tahoma"/>
          <w:b/>
          <w:bCs/>
          <w:sz w:val="22"/>
          <w:szCs w:val="22"/>
        </w:rPr>
        <w:t>y:</w:t>
      </w:r>
    </w:p>
    <w:p w14:paraId="6B7E0055" w14:textId="77777777" w:rsidR="00300A8F" w:rsidRDefault="00300A8F" w:rsidP="00300A8F">
      <w:pPr>
        <w:pStyle w:val="NormalWeb"/>
        <w:spacing w:before="0" w:beforeAutospacing="0" w:after="240" w:afterAutospacing="0" w:line="360" w:lineRule="auto"/>
      </w:pPr>
      <w:r>
        <w:t xml:space="preserve">Brennan, I.R., Burton, V., Gormally, S. and O’Leary, N. (2018). Service Provider Difficulties in Operationalizing Coercive Control. </w:t>
      </w:r>
      <w:r>
        <w:rPr>
          <w:i/>
          <w:iCs/>
        </w:rPr>
        <w:t>Violence Against Women</w:t>
      </w:r>
      <w:r>
        <w:t xml:space="preserve">, 25(6), pp.635–653. </w:t>
      </w:r>
      <w:proofErr w:type="spellStart"/>
      <w:proofErr w:type="gramStart"/>
      <w:r>
        <w:t>doi:https</w:t>
      </w:r>
      <w:proofErr w:type="spellEnd"/>
      <w:r>
        <w:t>://doi.org/10.1177/1077801218797478</w:t>
      </w:r>
      <w:proofErr w:type="gramEnd"/>
      <w:r>
        <w:t>.</w:t>
      </w:r>
    </w:p>
    <w:p w14:paraId="5BDFAE78" w14:textId="77777777" w:rsidR="00300A8F" w:rsidRDefault="00300A8F" w:rsidP="00300A8F">
      <w:pPr>
        <w:pStyle w:val="NormalWeb"/>
        <w:spacing w:before="0" w:beforeAutospacing="0" w:after="240" w:afterAutospacing="0" w:line="360" w:lineRule="auto"/>
      </w:pPr>
      <w:r>
        <w:t xml:space="preserve">Cafcass Cymru (2019). </w:t>
      </w:r>
      <w:r>
        <w:rPr>
          <w:i/>
          <w:iCs/>
        </w:rPr>
        <w:t xml:space="preserve">Cafcass Cymru Impact </w:t>
      </w:r>
      <w:proofErr w:type="gramStart"/>
      <w:r>
        <w:rPr>
          <w:i/>
          <w:iCs/>
        </w:rPr>
        <w:t>On</w:t>
      </w:r>
      <w:proofErr w:type="gramEnd"/>
      <w:r>
        <w:rPr>
          <w:i/>
          <w:iCs/>
        </w:rPr>
        <w:t xml:space="preserve"> Children Of Experiencing Domestic Abuse</w:t>
      </w:r>
      <w:r>
        <w:t>. [online] Available at: https://www.gov.wales/sites/default/files/publications/2019-08/cafcass-cymru-impact-on%20children-experiencing-domestic-abuse.pdf [Accessed 26 Oct. 2023].</w:t>
      </w:r>
    </w:p>
    <w:p w14:paraId="2F351985" w14:textId="77777777" w:rsidR="00300A8F" w:rsidRDefault="00300A8F" w:rsidP="00300A8F">
      <w:pPr>
        <w:pStyle w:val="NormalWeb"/>
        <w:spacing w:before="0" w:beforeAutospacing="0" w:after="240" w:afterAutospacing="0" w:line="360" w:lineRule="auto"/>
      </w:pPr>
      <w:r>
        <w:t xml:space="preserve">Chowdhury, R. and Winder, B. (2022). A Web Model of Domestic Violence and Abuse in Muslim Communities—A Multi Perspective IPA Approach. </w:t>
      </w:r>
      <w:r>
        <w:rPr>
          <w:i/>
          <w:iCs/>
        </w:rPr>
        <w:t>Social Sciences</w:t>
      </w:r>
      <w:r>
        <w:t xml:space="preserve">, 11(8), p.354. </w:t>
      </w:r>
      <w:proofErr w:type="spellStart"/>
      <w:proofErr w:type="gramStart"/>
      <w:r>
        <w:t>doi:https</w:t>
      </w:r>
      <w:proofErr w:type="spellEnd"/>
      <w:r>
        <w:t>://doi.org/10.3390/socsci11080354</w:t>
      </w:r>
      <w:proofErr w:type="gramEnd"/>
      <w:r>
        <w:t>.</w:t>
      </w:r>
    </w:p>
    <w:p w14:paraId="2320DAAF" w14:textId="77777777" w:rsidR="00300A8F" w:rsidRDefault="00300A8F" w:rsidP="00300A8F">
      <w:pPr>
        <w:pStyle w:val="NormalWeb"/>
        <w:spacing w:before="0" w:beforeAutospacing="0" w:after="240" w:afterAutospacing="0" w:line="360" w:lineRule="auto"/>
      </w:pPr>
      <w:r>
        <w:t xml:space="preserve">commissioner.south-wales.police.uk. (n.d.). </w:t>
      </w:r>
      <w:r>
        <w:rPr>
          <w:i/>
          <w:iCs/>
        </w:rPr>
        <w:t>Violence Against Women and Girls</w:t>
      </w:r>
      <w:r>
        <w:t>. [online] Available at: https://commissioner.south-wales.police.uk/en/our-work/violence-against-women-and-girls/#:~:text=During%202019%2F20%20there%20were [Accessed 26 Oct. 2023].</w:t>
      </w:r>
    </w:p>
    <w:p w14:paraId="3E723D79" w14:textId="77777777" w:rsidR="00300A8F" w:rsidRDefault="00300A8F" w:rsidP="00300A8F">
      <w:pPr>
        <w:pStyle w:val="NormalWeb"/>
        <w:spacing w:before="0" w:beforeAutospacing="0" w:after="240" w:afterAutospacing="0" w:line="360" w:lineRule="auto"/>
      </w:pPr>
      <w:r>
        <w:t xml:space="preserve">Department of Health (2011). </w:t>
      </w:r>
      <w:r>
        <w:rPr>
          <w:i/>
          <w:iCs/>
        </w:rPr>
        <w:t>Adoption and Children Act 2002 - Explanatory Notes</w:t>
      </w:r>
      <w:r>
        <w:t>. [online] Legislation.gov.uk. Available at: https://www.legislation.gov.uk/ukpga/2002/38/notes/division/4/2/10 [Accessed 26 Oct. 2023].</w:t>
      </w:r>
    </w:p>
    <w:p w14:paraId="3FAD12E3" w14:textId="77777777" w:rsidR="00300A8F" w:rsidRDefault="00300A8F" w:rsidP="00300A8F">
      <w:pPr>
        <w:pStyle w:val="NormalWeb"/>
        <w:spacing w:before="0" w:beforeAutospacing="0" w:after="240" w:afterAutospacing="0" w:line="360" w:lineRule="auto"/>
      </w:pPr>
      <w:r>
        <w:t xml:space="preserve">GOV.UK (2021). </w:t>
      </w:r>
      <w:r>
        <w:rPr>
          <w:i/>
          <w:iCs/>
        </w:rPr>
        <w:t>Ethnicity Facts and Figures</w:t>
      </w:r>
      <w:r>
        <w:t>. [online] www.ethnicity-facts-figures.service.gov.uk. Available at: https://www.ethnicity-facts-figures.service.gov.uk/#:~:text=Government%20data%20about%20the%20UK [Accessed 26 Oct. 2023].</w:t>
      </w:r>
    </w:p>
    <w:p w14:paraId="6DBA76B0" w14:textId="77777777" w:rsidR="00300A8F" w:rsidRDefault="00300A8F" w:rsidP="00300A8F">
      <w:pPr>
        <w:pStyle w:val="NormalWeb"/>
        <w:spacing w:before="0" w:beforeAutospacing="0" w:after="240" w:afterAutospacing="0" w:line="360" w:lineRule="auto"/>
      </w:pPr>
      <w:r>
        <w:lastRenderedPageBreak/>
        <w:t xml:space="preserve">Johnson, R.R. and Dai, M. (2014). Police Enforcement of Domestic Violence Laws: Supervisory Control or Officer Prerogatives? </w:t>
      </w:r>
      <w:r>
        <w:rPr>
          <w:i/>
          <w:iCs/>
        </w:rPr>
        <w:t>Justice Quarterly</w:t>
      </w:r>
      <w:r>
        <w:t xml:space="preserve">, 33(2), pp.185–208. </w:t>
      </w:r>
      <w:proofErr w:type="spellStart"/>
      <w:proofErr w:type="gramStart"/>
      <w:r>
        <w:t>doi:https</w:t>
      </w:r>
      <w:proofErr w:type="spellEnd"/>
      <w:r>
        <w:t>://doi.org/10.1080/07418825.2014.887762</w:t>
      </w:r>
      <w:proofErr w:type="gramEnd"/>
      <w:r>
        <w:t>.</w:t>
      </w:r>
    </w:p>
    <w:p w14:paraId="2568312E" w14:textId="77777777" w:rsidR="00300A8F" w:rsidRDefault="00300A8F" w:rsidP="00300A8F">
      <w:pPr>
        <w:pStyle w:val="NormalWeb"/>
        <w:spacing w:before="0" w:beforeAutospacing="0" w:after="240" w:afterAutospacing="0" w:line="360" w:lineRule="auto"/>
      </w:pPr>
      <w:r>
        <w:t xml:space="preserve">Khan, R., Saleem, S. and Lowe, M. (2018). ‘Honour’-based violence in a British South Asian community. </w:t>
      </w:r>
      <w:r>
        <w:rPr>
          <w:i/>
          <w:iCs/>
        </w:rPr>
        <w:t>Safer Communities</w:t>
      </w:r>
      <w:r>
        <w:t xml:space="preserve">, 17(1), pp.11–21. </w:t>
      </w:r>
      <w:proofErr w:type="spellStart"/>
      <w:proofErr w:type="gramStart"/>
      <w:r>
        <w:t>doi:https</w:t>
      </w:r>
      <w:proofErr w:type="spellEnd"/>
      <w:r>
        <w:t>://doi.org/10.1108/sc-02-2017-0007</w:t>
      </w:r>
      <w:proofErr w:type="gramEnd"/>
      <w:r>
        <w:t>.</w:t>
      </w:r>
    </w:p>
    <w:p w14:paraId="29337346" w14:textId="77777777" w:rsidR="00300A8F" w:rsidRDefault="00300A8F" w:rsidP="00300A8F">
      <w:pPr>
        <w:pStyle w:val="NormalWeb"/>
        <w:spacing w:before="0" w:beforeAutospacing="0" w:after="240" w:afterAutospacing="0" w:line="360" w:lineRule="auto"/>
      </w:pPr>
      <w:r>
        <w:t xml:space="preserve">McPhee, D., Hester, M., Bates, L., Lilley-Walker, S.J. and </w:t>
      </w:r>
      <w:proofErr w:type="spellStart"/>
      <w:r>
        <w:t>Patsios</w:t>
      </w:r>
      <w:proofErr w:type="spellEnd"/>
      <w:r>
        <w:t xml:space="preserve">, D. (2021). Criminal justice responses to domestic violence and abuse in England: an analysis of case attrition and inequalities using police data. </w:t>
      </w:r>
      <w:r>
        <w:rPr>
          <w:i/>
          <w:iCs/>
        </w:rPr>
        <w:t>Policing and Society</w:t>
      </w:r>
      <w:r>
        <w:t xml:space="preserve">, [online] 32(8), pp.1–18. </w:t>
      </w:r>
      <w:proofErr w:type="spellStart"/>
      <w:proofErr w:type="gramStart"/>
      <w:r>
        <w:t>doi:https</w:t>
      </w:r>
      <w:proofErr w:type="spellEnd"/>
      <w:r>
        <w:t>://doi.org/10.1080/10439463.2021.2003358</w:t>
      </w:r>
      <w:proofErr w:type="gramEnd"/>
      <w:r>
        <w:t>.</w:t>
      </w:r>
    </w:p>
    <w:p w14:paraId="35DA1BCC" w14:textId="77777777" w:rsidR="00300A8F" w:rsidRDefault="00300A8F" w:rsidP="00300A8F">
      <w:pPr>
        <w:pStyle w:val="NormalWeb"/>
        <w:spacing w:before="0" w:beforeAutospacing="0" w:after="240" w:afterAutospacing="0" w:line="360" w:lineRule="auto"/>
      </w:pPr>
      <w:r>
        <w:t xml:space="preserve">Myhill, A. (2017). Renegotiating domestic violence: police attitudes and decisions concerning arrest. </w:t>
      </w:r>
      <w:r>
        <w:rPr>
          <w:i/>
          <w:iCs/>
        </w:rPr>
        <w:t>Policing and Society</w:t>
      </w:r>
      <w:r>
        <w:t xml:space="preserve">, 29(1), pp.52–68. </w:t>
      </w:r>
      <w:proofErr w:type="spellStart"/>
      <w:proofErr w:type="gramStart"/>
      <w:r>
        <w:t>doi:https</w:t>
      </w:r>
      <w:proofErr w:type="spellEnd"/>
      <w:r>
        <w:t>://doi.org/10.1080/10439463.2017.1356299</w:t>
      </w:r>
      <w:proofErr w:type="gramEnd"/>
      <w:r>
        <w:t>.</w:t>
      </w:r>
    </w:p>
    <w:p w14:paraId="0B693302" w14:textId="77777777" w:rsidR="00300A8F" w:rsidRDefault="00300A8F" w:rsidP="00300A8F">
      <w:pPr>
        <w:pStyle w:val="NormalWeb"/>
        <w:spacing w:before="0" w:beforeAutospacing="0" w:after="240" w:afterAutospacing="0" w:line="360" w:lineRule="auto"/>
      </w:pPr>
      <w:r>
        <w:t xml:space="preserve">National Centre for Domestic Violence (2023). </w:t>
      </w:r>
      <w:r>
        <w:rPr>
          <w:i/>
          <w:iCs/>
        </w:rPr>
        <w:t>‘Domestic Abuse Statistics UK’ • NCDV</w:t>
      </w:r>
      <w:r>
        <w:t>. [online] www.ncdv.org.uk. Available at: https://www.ncdv.org.uk/domestic-abuse-statistics-uk/#:~:text=It%20is%20estimated%20that%20less [Accessed 26 Oct. 2023].</w:t>
      </w:r>
    </w:p>
    <w:p w14:paraId="5DD69BA8" w14:textId="77777777" w:rsidR="00300A8F" w:rsidRDefault="00300A8F" w:rsidP="00300A8F">
      <w:pPr>
        <w:pStyle w:val="NormalWeb"/>
        <w:spacing w:before="0" w:beforeAutospacing="0" w:after="240" w:afterAutospacing="0" w:line="360" w:lineRule="auto"/>
      </w:pPr>
      <w:r>
        <w:t xml:space="preserve">NSPCC Learning (2023). </w:t>
      </w:r>
      <w:r>
        <w:rPr>
          <w:i/>
          <w:iCs/>
        </w:rPr>
        <w:t>Protecting children from domestic abuse</w:t>
      </w:r>
      <w:r>
        <w:t>. [online] NSPCC Learning. Available at: https://learning.nspcc.org.uk/child-abuse-and-neglect/domestic-abuse#:~:text=In%20England%2C%20the%20Domestic%20Abuse [Accessed 26 Oct. 2023].</w:t>
      </w:r>
    </w:p>
    <w:p w14:paraId="0D1E6443" w14:textId="77777777" w:rsidR="00300A8F" w:rsidRDefault="00300A8F" w:rsidP="00300A8F">
      <w:pPr>
        <w:pStyle w:val="NormalWeb"/>
        <w:spacing w:before="0" w:beforeAutospacing="0" w:after="240" w:afterAutospacing="0" w:line="360" w:lineRule="auto"/>
      </w:pPr>
      <w:r>
        <w:t xml:space="preserve">Office for National Statistics (2022). </w:t>
      </w:r>
      <w:r>
        <w:rPr>
          <w:i/>
          <w:iCs/>
        </w:rPr>
        <w:t>Domestic abuse in England and Wales overview - Office for National Statistics</w:t>
      </w:r>
      <w:r>
        <w:t>. [online] www.ons.gov.uk. Available at: https://www.ons.gov.uk/peoplepopulationandcommunity/crimeandjustice/bulletins/domesticabuseinenglandandwalesoverview/november2022#police-recorded-crime.</w:t>
      </w:r>
    </w:p>
    <w:p w14:paraId="61F904DA" w14:textId="77777777" w:rsidR="00300A8F" w:rsidRDefault="00300A8F" w:rsidP="00300A8F">
      <w:pPr>
        <w:pStyle w:val="NormalWeb"/>
        <w:spacing w:before="0" w:beforeAutospacing="0" w:after="240" w:afterAutospacing="0" w:line="360" w:lineRule="auto"/>
      </w:pPr>
      <w:r>
        <w:t xml:space="preserve">UK Government (2015). </w:t>
      </w:r>
      <w:r>
        <w:rPr>
          <w:i/>
          <w:iCs/>
        </w:rPr>
        <w:t>Serious Crime Act 2015</w:t>
      </w:r>
      <w:r>
        <w:t>. [online] Legislation.gov.uk. Available at: https://www.legislation.gov.uk/ukpga/2015/9/contents/enacted [Accessed 26 Oct. 2023].</w:t>
      </w:r>
    </w:p>
    <w:p w14:paraId="293C06F9" w14:textId="77777777" w:rsidR="00300A8F" w:rsidRDefault="00300A8F" w:rsidP="00300A8F">
      <w:pPr>
        <w:pStyle w:val="NormalWeb"/>
        <w:spacing w:before="0" w:beforeAutospacing="0" w:after="240" w:afterAutospacing="0" w:line="360" w:lineRule="auto"/>
      </w:pPr>
      <w:r>
        <w:t xml:space="preserve">Wellock, V.K. (2010). </w:t>
      </w:r>
      <w:r>
        <w:rPr>
          <w:i/>
          <w:iCs/>
        </w:rPr>
        <w:t>Domestic abuse: Black and minority-ethnic women’s Perspectives</w:t>
      </w:r>
      <w:r>
        <w:t>. [online] Uwtsd.ac.uk. Available at: https://www-sciencedirect-com.ezproxy.uwtsd.ac.uk/science/article/pii/S0266613808000466?via%3Dihub [Accessed 26 Oct. 2023].</w:t>
      </w:r>
    </w:p>
    <w:p w14:paraId="440C1242" w14:textId="1DEA1B29" w:rsidR="00025650" w:rsidRPr="00E676F7" w:rsidRDefault="16967356" w:rsidP="00A31CAD">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34741CAD" w14:textId="77777777" w:rsidR="00A31CAD" w:rsidRDefault="00A31CAD" w:rsidP="5CE196A1">
      <w:pPr>
        <w:ind w:left="2880" w:right="237"/>
        <w:rPr>
          <w:rFonts w:eastAsia="Arial"/>
          <w:b/>
          <w:bCs/>
          <w:color w:val="000000" w:themeColor="text1"/>
          <w:sz w:val="28"/>
          <w:szCs w:val="28"/>
          <w:u w:val="single"/>
        </w:rPr>
      </w:pPr>
    </w:p>
    <w:p w14:paraId="04D342FC" w14:textId="77777777" w:rsidR="00A31CAD" w:rsidRDefault="00A31CAD" w:rsidP="5CE196A1">
      <w:pPr>
        <w:ind w:left="2880" w:right="237"/>
        <w:rPr>
          <w:rFonts w:eastAsia="Arial"/>
          <w:b/>
          <w:bCs/>
          <w:color w:val="000000" w:themeColor="text1"/>
          <w:sz w:val="28"/>
          <w:szCs w:val="28"/>
          <w:u w:val="single"/>
        </w:rPr>
      </w:pPr>
    </w:p>
    <w:p w14:paraId="43EC7FA9" w14:textId="657CEE6A"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C20C697" w:rsidR="0FF883D4" w:rsidRPr="00A31CAD" w:rsidRDefault="5CE196A1" w:rsidP="5CE196A1">
      <w:pPr>
        <w:rPr>
          <w:rFonts w:ascii="Brush Script MT" w:hAnsi="Brush Script MT"/>
        </w:rPr>
      </w:pPr>
      <w:r w:rsidRPr="5CE196A1">
        <w:rPr>
          <w:rFonts w:eastAsia="Arial"/>
          <w:b/>
          <w:bCs/>
          <w:color w:val="000000" w:themeColor="text1"/>
          <w:sz w:val="24"/>
          <w:szCs w:val="24"/>
        </w:rPr>
        <w:t xml:space="preserve">Signed: </w:t>
      </w:r>
      <w:r w:rsidR="00587C3B" w:rsidRPr="00587C3B">
        <w:rPr>
          <w:rFonts w:ascii="Brush Script MT" w:eastAsia="Arial" w:hAnsi="Brush Script MT"/>
          <w:b/>
          <w:bCs/>
          <w:color w:val="000000" w:themeColor="text1"/>
          <w:sz w:val="28"/>
          <w:szCs w:val="28"/>
        </w:rPr>
        <w:t>Elzbieta Przeklasa</w:t>
      </w:r>
    </w:p>
    <w:p w14:paraId="563192E7" w14:textId="7A83C86F" w:rsidR="0FF883D4" w:rsidRDefault="5CE196A1" w:rsidP="5CE196A1">
      <w:r w:rsidRPr="5CE196A1">
        <w:rPr>
          <w:rFonts w:eastAsia="Arial"/>
          <w:b/>
          <w:bCs/>
          <w:color w:val="000000" w:themeColor="text1"/>
          <w:sz w:val="24"/>
          <w:szCs w:val="24"/>
        </w:rPr>
        <w:t xml:space="preserve"> </w:t>
      </w:r>
    </w:p>
    <w:p w14:paraId="482B2B3A" w14:textId="0587F857" w:rsidR="0FF883D4" w:rsidRPr="00587C3B" w:rsidRDefault="5CE196A1" w:rsidP="00771E31">
      <w:pPr>
        <w:rPr>
          <w:sz w:val="24"/>
          <w:szCs w:val="24"/>
          <w:lang w:eastAsia="zh-TW"/>
        </w:rPr>
        <w:sectPr w:rsidR="0FF883D4" w:rsidRPr="00587C3B" w:rsidSect="0022001B">
          <w:footerReference w:type="default" r:id="rId16"/>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771E31">
        <w:rPr>
          <w:rFonts w:eastAsia="Arial"/>
          <w:b/>
          <w:bCs/>
          <w:color w:val="000000" w:themeColor="text1"/>
          <w:sz w:val="24"/>
          <w:szCs w:val="24"/>
        </w:rPr>
        <w:t xml:space="preserve"> </w:t>
      </w:r>
      <w:r w:rsidR="00587C3B" w:rsidRPr="00771E31">
        <w:rPr>
          <w:b/>
          <w:bCs/>
          <w:sz w:val="22"/>
          <w:szCs w:val="22"/>
          <w:lang w:eastAsia="zh-TW"/>
        </w:rPr>
        <w:t>30</w:t>
      </w:r>
      <w:r w:rsidR="00587C3B" w:rsidRPr="00771E31">
        <w:rPr>
          <w:b/>
          <w:bCs/>
          <w:sz w:val="22"/>
          <w:szCs w:val="22"/>
          <w:vertAlign w:val="superscript"/>
          <w:lang w:eastAsia="zh-TW"/>
        </w:rPr>
        <w:t>th</w:t>
      </w:r>
      <w:r w:rsidR="00587C3B" w:rsidRPr="00771E31">
        <w:rPr>
          <w:b/>
          <w:bCs/>
          <w:sz w:val="22"/>
          <w:szCs w:val="22"/>
          <w:lang w:eastAsia="zh-TW"/>
        </w:rPr>
        <w:t xml:space="preserve"> October 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6C25E" w14:textId="77777777" w:rsidR="00327FA3" w:rsidRDefault="00327FA3">
      <w:r>
        <w:separator/>
      </w:r>
    </w:p>
  </w:endnote>
  <w:endnote w:type="continuationSeparator" w:id="0">
    <w:p w14:paraId="75B2CCEC" w14:textId="77777777" w:rsidR="00327FA3" w:rsidRDefault="00327F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Brush Script MT">
    <w:panose1 w:val="03060802040406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CEDAB" w14:textId="77777777" w:rsidR="00327FA3" w:rsidRDefault="00327FA3">
      <w:r>
        <w:separator/>
      </w:r>
    </w:p>
  </w:footnote>
  <w:footnote w:type="continuationSeparator" w:id="0">
    <w:p w14:paraId="1B3A1559" w14:textId="77777777" w:rsidR="00327FA3" w:rsidRDefault="00327FA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549694C2"/>
    <w:lvl w:ilvl="0" w:tplc="55A04668">
      <w:start w:val="1"/>
      <w:numFmt w:val="decimal"/>
      <w:lvlText w:val="%1."/>
      <w:lvlJc w:val="left"/>
      <w:pPr>
        <w:ind w:left="720" w:hanging="360"/>
      </w:pPr>
    </w:lvl>
    <w:lvl w:ilvl="1" w:tplc="8578C102">
      <w:start w:val="1"/>
      <w:numFmt w:val="lowerLetter"/>
      <w:lvlText w:val="%2."/>
      <w:lvlJc w:val="left"/>
      <w:pPr>
        <w:ind w:left="1440" w:hanging="360"/>
      </w:pPr>
    </w:lvl>
    <w:lvl w:ilvl="2" w:tplc="1924F104">
      <w:start w:val="1"/>
      <w:numFmt w:val="lowerRoman"/>
      <w:lvlText w:val="%3."/>
      <w:lvlJc w:val="right"/>
      <w:pPr>
        <w:ind w:left="2160" w:hanging="180"/>
      </w:pPr>
    </w:lvl>
    <w:lvl w:ilvl="3" w:tplc="AB1CD8A0">
      <w:start w:val="1"/>
      <w:numFmt w:val="decimal"/>
      <w:lvlText w:val="%4."/>
      <w:lvlJc w:val="left"/>
      <w:pPr>
        <w:ind w:left="2880" w:hanging="360"/>
      </w:pPr>
    </w:lvl>
    <w:lvl w:ilvl="4" w:tplc="3062900E">
      <w:start w:val="1"/>
      <w:numFmt w:val="lowerLetter"/>
      <w:lvlText w:val="%5."/>
      <w:lvlJc w:val="left"/>
      <w:pPr>
        <w:ind w:left="3600" w:hanging="360"/>
      </w:pPr>
    </w:lvl>
    <w:lvl w:ilvl="5" w:tplc="0156988C">
      <w:start w:val="1"/>
      <w:numFmt w:val="lowerRoman"/>
      <w:lvlText w:val="%6."/>
      <w:lvlJc w:val="right"/>
      <w:pPr>
        <w:ind w:left="4320" w:hanging="180"/>
      </w:pPr>
    </w:lvl>
    <w:lvl w:ilvl="6" w:tplc="CBDC4B6C">
      <w:start w:val="1"/>
      <w:numFmt w:val="decimal"/>
      <w:lvlText w:val="%7."/>
      <w:lvlJc w:val="left"/>
      <w:pPr>
        <w:ind w:left="5040" w:hanging="360"/>
      </w:pPr>
    </w:lvl>
    <w:lvl w:ilvl="7" w:tplc="F3AE0380">
      <w:start w:val="1"/>
      <w:numFmt w:val="lowerLetter"/>
      <w:lvlText w:val="%8."/>
      <w:lvlJc w:val="left"/>
      <w:pPr>
        <w:ind w:left="5760" w:hanging="360"/>
      </w:pPr>
    </w:lvl>
    <w:lvl w:ilvl="8" w:tplc="B9FC68F6">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4F68B582"/>
    <w:lvl w:ilvl="0" w:tplc="CB5C2DD2">
      <w:start w:val="1"/>
      <w:numFmt w:val="decimal"/>
      <w:lvlText w:val="%1."/>
      <w:lvlJc w:val="left"/>
      <w:pPr>
        <w:ind w:left="720" w:hanging="360"/>
      </w:pPr>
    </w:lvl>
    <w:lvl w:ilvl="1" w:tplc="1DC2EAEA">
      <w:start w:val="1"/>
      <w:numFmt w:val="decimal"/>
      <w:lvlText w:val="%2."/>
      <w:lvlJc w:val="left"/>
      <w:pPr>
        <w:ind w:left="1440" w:hanging="360"/>
      </w:pPr>
    </w:lvl>
    <w:lvl w:ilvl="2" w:tplc="DA5806C2">
      <w:start w:val="1"/>
      <w:numFmt w:val="lowerRoman"/>
      <w:lvlText w:val="%3."/>
      <w:lvlJc w:val="right"/>
      <w:pPr>
        <w:ind w:left="2160" w:hanging="180"/>
      </w:pPr>
    </w:lvl>
    <w:lvl w:ilvl="3" w:tplc="C2F2403C">
      <w:start w:val="1"/>
      <w:numFmt w:val="decimal"/>
      <w:lvlText w:val="%4."/>
      <w:lvlJc w:val="left"/>
      <w:pPr>
        <w:ind w:left="2880" w:hanging="360"/>
      </w:pPr>
    </w:lvl>
    <w:lvl w:ilvl="4" w:tplc="B0CE7C68">
      <w:start w:val="1"/>
      <w:numFmt w:val="lowerLetter"/>
      <w:lvlText w:val="%5."/>
      <w:lvlJc w:val="left"/>
      <w:pPr>
        <w:ind w:left="3600" w:hanging="360"/>
      </w:pPr>
    </w:lvl>
    <w:lvl w:ilvl="5" w:tplc="3CD4DDDE">
      <w:start w:val="1"/>
      <w:numFmt w:val="lowerRoman"/>
      <w:lvlText w:val="%6."/>
      <w:lvlJc w:val="right"/>
      <w:pPr>
        <w:ind w:left="4320" w:hanging="180"/>
      </w:pPr>
    </w:lvl>
    <w:lvl w:ilvl="6" w:tplc="38044FC0">
      <w:start w:val="1"/>
      <w:numFmt w:val="decimal"/>
      <w:lvlText w:val="%7."/>
      <w:lvlJc w:val="left"/>
      <w:pPr>
        <w:ind w:left="5040" w:hanging="360"/>
      </w:pPr>
    </w:lvl>
    <w:lvl w:ilvl="7" w:tplc="0AA6E2BE">
      <w:start w:val="1"/>
      <w:numFmt w:val="lowerLetter"/>
      <w:lvlText w:val="%8."/>
      <w:lvlJc w:val="left"/>
      <w:pPr>
        <w:ind w:left="5760" w:hanging="360"/>
      </w:pPr>
    </w:lvl>
    <w:lvl w:ilvl="8" w:tplc="1CC885E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3893757">
    <w:abstractNumId w:val="47"/>
  </w:num>
  <w:num w:numId="2" w16cid:durableId="802042257">
    <w:abstractNumId w:val="10"/>
  </w:num>
  <w:num w:numId="3" w16cid:durableId="800534715">
    <w:abstractNumId w:val="1"/>
    <w:lvlOverride w:ilvl="0">
      <w:lvl w:ilvl="0">
        <w:start w:val="1"/>
        <w:numFmt w:val="bullet"/>
        <w:lvlText w:val=""/>
        <w:lvlJc w:val="left"/>
        <w:pPr>
          <w:ind w:left="720" w:hanging="360"/>
        </w:pPr>
        <w:rPr>
          <w:rFonts w:ascii="Symbol" w:hAnsi="Symbol" w:hint="default"/>
        </w:rPr>
      </w:lvl>
    </w:lvlOverride>
  </w:num>
  <w:num w:numId="4" w16cid:durableId="263998788">
    <w:abstractNumId w:val="22"/>
  </w:num>
  <w:num w:numId="5" w16cid:durableId="460540636">
    <w:abstractNumId w:val="44"/>
  </w:num>
  <w:num w:numId="6" w16cid:durableId="1600217164">
    <w:abstractNumId w:val="46"/>
  </w:num>
  <w:num w:numId="7" w16cid:durableId="175048819">
    <w:abstractNumId w:val="34"/>
  </w:num>
  <w:num w:numId="8" w16cid:durableId="1336422385">
    <w:abstractNumId w:val="32"/>
  </w:num>
  <w:num w:numId="9" w16cid:durableId="940836485">
    <w:abstractNumId w:val="29"/>
  </w:num>
  <w:num w:numId="10" w16cid:durableId="338892327">
    <w:abstractNumId w:val="30"/>
  </w:num>
  <w:num w:numId="11" w16cid:durableId="474760267">
    <w:abstractNumId w:val="9"/>
  </w:num>
  <w:num w:numId="12" w16cid:durableId="381366531">
    <w:abstractNumId w:val="33"/>
  </w:num>
  <w:num w:numId="13" w16cid:durableId="831799462">
    <w:abstractNumId w:val="17"/>
  </w:num>
  <w:num w:numId="14" w16cid:durableId="466704555">
    <w:abstractNumId w:val="16"/>
  </w:num>
  <w:num w:numId="15" w16cid:durableId="395709928">
    <w:abstractNumId w:val="26"/>
  </w:num>
  <w:num w:numId="16" w16cid:durableId="1060372675">
    <w:abstractNumId w:val="7"/>
  </w:num>
  <w:num w:numId="17" w16cid:durableId="990476596">
    <w:abstractNumId w:val="25"/>
  </w:num>
  <w:num w:numId="18" w16cid:durableId="1787460609">
    <w:abstractNumId w:val="15"/>
  </w:num>
  <w:num w:numId="19" w16cid:durableId="107086334">
    <w:abstractNumId w:val="13"/>
  </w:num>
  <w:num w:numId="20" w16cid:durableId="200870510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82030669">
    <w:abstractNumId w:val="23"/>
  </w:num>
  <w:num w:numId="22" w16cid:durableId="1134759487">
    <w:abstractNumId w:val="18"/>
  </w:num>
  <w:num w:numId="23" w16cid:durableId="266041568">
    <w:abstractNumId w:val="14"/>
  </w:num>
  <w:num w:numId="24" w16cid:durableId="930361105">
    <w:abstractNumId w:val="11"/>
  </w:num>
  <w:num w:numId="25" w16cid:durableId="1750810770">
    <w:abstractNumId w:val="27"/>
  </w:num>
  <w:num w:numId="26" w16cid:durableId="1789397126">
    <w:abstractNumId w:val="19"/>
  </w:num>
  <w:num w:numId="27" w16cid:durableId="1227764778">
    <w:abstractNumId w:val="40"/>
  </w:num>
  <w:num w:numId="28" w16cid:durableId="1091926992">
    <w:abstractNumId w:val="35"/>
  </w:num>
  <w:num w:numId="29" w16cid:durableId="1691949517">
    <w:abstractNumId w:val="39"/>
  </w:num>
  <w:num w:numId="30" w16cid:durableId="713118139">
    <w:abstractNumId w:val="20"/>
  </w:num>
  <w:num w:numId="31" w16cid:durableId="442305609">
    <w:abstractNumId w:val="42"/>
  </w:num>
  <w:num w:numId="32" w16cid:durableId="519589463">
    <w:abstractNumId w:val="31"/>
  </w:num>
  <w:num w:numId="33" w16cid:durableId="1495758425">
    <w:abstractNumId w:val="12"/>
  </w:num>
  <w:num w:numId="34" w16cid:durableId="467092367">
    <w:abstractNumId w:val="43"/>
  </w:num>
  <w:num w:numId="35" w16cid:durableId="1313213840">
    <w:abstractNumId w:val="38"/>
  </w:num>
  <w:num w:numId="36" w16cid:durableId="212468407">
    <w:abstractNumId w:val="4"/>
  </w:num>
  <w:num w:numId="37" w16cid:durableId="322247564">
    <w:abstractNumId w:val="45"/>
  </w:num>
  <w:num w:numId="38" w16cid:durableId="1179848746">
    <w:abstractNumId w:val="41"/>
  </w:num>
  <w:num w:numId="39" w16cid:durableId="772212191">
    <w:abstractNumId w:val="36"/>
  </w:num>
  <w:num w:numId="40" w16cid:durableId="919216774">
    <w:abstractNumId w:val="37"/>
  </w:num>
  <w:num w:numId="41" w16cid:durableId="1164011406">
    <w:abstractNumId w:val="3"/>
  </w:num>
  <w:num w:numId="42" w16cid:durableId="1526216107">
    <w:abstractNumId w:val="5"/>
  </w:num>
  <w:num w:numId="43" w16cid:durableId="1855217811">
    <w:abstractNumId w:val="24"/>
  </w:num>
  <w:num w:numId="44" w16cid:durableId="2000696501">
    <w:abstractNumId w:val="6"/>
  </w:num>
  <w:num w:numId="45" w16cid:durableId="2027946818">
    <w:abstractNumId w:val="2"/>
  </w:num>
  <w:num w:numId="46" w16cid:durableId="1978604105">
    <w:abstractNumId w:val="0"/>
  </w:num>
  <w:num w:numId="47" w16cid:durableId="952396359">
    <w:abstractNumId w:val="21"/>
  </w:num>
  <w:num w:numId="48" w16cid:durableId="187649584">
    <w:abstractNumId w:val="28"/>
  </w:num>
  <w:num w:numId="49" w16cid:durableId="704524468">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0CC2"/>
    <w:rsid w:val="000325D9"/>
    <w:rsid w:val="00034F84"/>
    <w:rsid w:val="000372B2"/>
    <w:rsid w:val="0004079F"/>
    <w:rsid w:val="000438C4"/>
    <w:rsid w:val="00045B87"/>
    <w:rsid w:val="00045C07"/>
    <w:rsid w:val="00055D43"/>
    <w:rsid w:val="0005685C"/>
    <w:rsid w:val="00056FAC"/>
    <w:rsid w:val="00057751"/>
    <w:rsid w:val="00062E39"/>
    <w:rsid w:val="00063289"/>
    <w:rsid w:val="0006580E"/>
    <w:rsid w:val="00074BDE"/>
    <w:rsid w:val="00080E58"/>
    <w:rsid w:val="00083D99"/>
    <w:rsid w:val="00084EA6"/>
    <w:rsid w:val="00085699"/>
    <w:rsid w:val="00085A15"/>
    <w:rsid w:val="00087891"/>
    <w:rsid w:val="00091F52"/>
    <w:rsid w:val="00092970"/>
    <w:rsid w:val="00092BC7"/>
    <w:rsid w:val="00093720"/>
    <w:rsid w:val="000938E6"/>
    <w:rsid w:val="00093B3C"/>
    <w:rsid w:val="00094341"/>
    <w:rsid w:val="0009488C"/>
    <w:rsid w:val="00095C1B"/>
    <w:rsid w:val="00096DEA"/>
    <w:rsid w:val="000A4240"/>
    <w:rsid w:val="000A469A"/>
    <w:rsid w:val="000B02C8"/>
    <w:rsid w:val="000B1E96"/>
    <w:rsid w:val="000C378F"/>
    <w:rsid w:val="000C5013"/>
    <w:rsid w:val="000C6892"/>
    <w:rsid w:val="000C6FFE"/>
    <w:rsid w:val="000D0BB6"/>
    <w:rsid w:val="000D4BE8"/>
    <w:rsid w:val="000D5DAE"/>
    <w:rsid w:val="000E227C"/>
    <w:rsid w:val="000E26B0"/>
    <w:rsid w:val="000F1599"/>
    <w:rsid w:val="000F1769"/>
    <w:rsid w:val="000F6196"/>
    <w:rsid w:val="000F7ECD"/>
    <w:rsid w:val="00102E64"/>
    <w:rsid w:val="0010312C"/>
    <w:rsid w:val="00106DC7"/>
    <w:rsid w:val="00107812"/>
    <w:rsid w:val="00112391"/>
    <w:rsid w:val="00114F52"/>
    <w:rsid w:val="0012135C"/>
    <w:rsid w:val="00130DA6"/>
    <w:rsid w:val="00130E83"/>
    <w:rsid w:val="001347F8"/>
    <w:rsid w:val="00137BB5"/>
    <w:rsid w:val="00137E05"/>
    <w:rsid w:val="001447F6"/>
    <w:rsid w:val="00144EA7"/>
    <w:rsid w:val="00147DE3"/>
    <w:rsid w:val="00150794"/>
    <w:rsid w:val="001608C4"/>
    <w:rsid w:val="00171418"/>
    <w:rsid w:val="001836DB"/>
    <w:rsid w:val="00183B3F"/>
    <w:rsid w:val="001851F0"/>
    <w:rsid w:val="00190913"/>
    <w:rsid w:val="001961CF"/>
    <w:rsid w:val="001A2A01"/>
    <w:rsid w:val="001A59BB"/>
    <w:rsid w:val="001A61F4"/>
    <w:rsid w:val="001A6A51"/>
    <w:rsid w:val="001A79C4"/>
    <w:rsid w:val="001B331A"/>
    <w:rsid w:val="001C0E74"/>
    <w:rsid w:val="001C6CEC"/>
    <w:rsid w:val="001D05BF"/>
    <w:rsid w:val="001D229F"/>
    <w:rsid w:val="001D6162"/>
    <w:rsid w:val="001E6FAD"/>
    <w:rsid w:val="001E7592"/>
    <w:rsid w:val="001F3878"/>
    <w:rsid w:val="001F4552"/>
    <w:rsid w:val="002019EB"/>
    <w:rsid w:val="002030F2"/>
    <w:rsid w:val="00205051"/>
    <w:rsid w:val="0021082A"/>
    <w:rsid w:val="00211F65"/>
    <w:rsid w:val="00213A97"/>
    <w:rsid w:val="0022001B"/>
    <w:rsid w:val="00220D06"/>
    <w:rsid w:val="002219BA"/>
    <w:rsid w:val="002246A0"/>
    <w:rsid w:val="00224AF9"/>
    <w:rsid w:val="00230439"/>
    <w:rsid w:val="00235176"/>
    <w:rsid w:val="00235A78"/>
    <w:rsid w:val="00236061"/>
    <w:rsid w:val="0024100E"/>
    <w:rsid w:val="00241C1B"/>
    <w:rsid w:val="002423B2"/>
    <w:rsid w:val="0024288B"/>
    <w:rsid w:val="00255D8E"/>
    <w:rsid w:val="002657E9"/>
    <w:rsid w:val="0026665E"/>
    <w:rsid w:val="00270EEB"/>
    <w:rsid w:val="0027147E"/>
    <w:rsid w:val="00271A02"/>
    <w:rsid w:val="00274DE8"/>
    <w:rsid w:val="002761F4"/>
    <w:rsid w:val="002775E1"/>
    <w:rsid w:val="00277979"/>
    <w:rsid w:val="002808EB"/>
    <w:rsid w:val="0028095D"/>
    <w:rsid w:val="002873FE"/>
    <w:rsid w:val="00291ADD"/>
    <w:rsid w:val="00291FDB"/>
    <w:rsid w:val="00294868"/>
    <w:rsid w:val="00295656"/>
    <w:rsid w:val="00295CA1"/>
    <w:rsid w:val="002A291A"/>
    <w:rsid w:val="002A5604"/>
    <w:rsid w:val="002B1701"/>
    <w:rsid w:val="002B23C3"/>
    <w:rsid w:val="002B443A"/>
    <w:rsid w:val="002B5B35"/>
    <w:rsid w:val="002C1A75"/>
    <w:rsid w:val="002C256A"/>
    <w:rsid w:val="002C496D"/>
    <w:rsid w:val="002D05EB"/>
    <w:rsid w:val="002D2F29"/>
    <w:rsid w:val="002D2FD3"/>
    <w:rsid w:val="002D3BE7"/>
    <w:rsid w:val="002D58EA"/>
    <w:rsid w:val="002E7017"/>
    <w:rsid w:val="002F4F6E"/>
    <w:rsid w:val="00300A8F"/>
    <w:rsid w:val="003015C3"/>
    <w:rsid w:val="0030698D"/>
    <w:rsid w:val="00307FE3"/>
    <w:rsid w:val="0031350A"/>
    <w:rsid w:val="00316815"/>
    <w:rsid w:val="003168CA"/>
    <w:rsid w:val="003168E2"/>
    <w:rsid w:val="00321255"/>
    <w:rsid w:val="0032230D"/>
    <w:rsid w:val="00322A0B"/>
    <w:rsid w:val="00327FA3"/>
    <w:rsid w:val="00332632"/>
    <w:rsid w:val="00332F54"/>
    <w:rsid w:val="00335FC5"/>
    <w:rsid w:val="00337FD2"/>
    <w:rsid w:val="00340E9A"/>
    <w:rsid w:val="003516C0"/>
    <w:rsid w:val="00352E59"/>
    <w:rsid w:val="00354CA0"/>
    <w:rsid w:val="00354DBE"/>
    <w:rsid w:val="0035516E"/>
    <w:rsid w:val="00355210"/>
    <w:rsid w:val="003555D5"/>
    <w:rsid w:val="00361603"/>
    <w:rsid w:val="00362560"/>
    <w:rsid w:val="003633C8"/>
    <w:rsid w:val="0036594F"/>
    <w:rsid w:val="00365DF9"/>
    <w:rsid w:val="0036668D"/>
    <w:rsid w:val="00372DB4"/>
    <w:rsid w:val="0037490C"/>
    <w:rsid w:val="00375AF5"/>
    <w:rsid w:val="003761BD"/>
    <w:rsid w:val="003769F6"/>
    <w:rsid w:val="00384D94"/>
    <w:rsid w:val="00385414"/>
    <w:rsid w:val="00387045"/>
    <w:rsid w:val="00390074"/>
    <w:rsid w:val="00394EC2"/>
    <w:rsid w:val="00394EF2"/>
    <w:rsid w:val="0039762B"/>
    <w:rsid w:val="003A0C37"/>
    <w:rsid w:val="003A1B6B"/>
    <w:rsid w:val="003A2F82"/>
    <w:rsid w:val="003A46C0"/>
    <w:rsid w:val="003A600E"/>
    <w:rsid w:val="003A6513"/>
    <w:rsid w:val="003B0773"/>
    <w:rsid w:val="003B16C7"/>
    <w:rsid w:val="003B4F13"/>
    <w:rsid w:val="003B6F2A"/>
    <w:rsid w:val="003C19F1"/>
    <w:rsid w:val="003C4186"/>
    <w:rsid w:val="003C458C"/>
    <w:rsid w:val="003C6185"/>
    <w:rsid w:val="003D0D2D"/>
    <w:rsid w:val="003D3997"/>
    <w:rsid w:val="003D4710"/>
    <w:rsid w:val="003D50F9"/>
    <w:rsid w:val="003E16D7"/>
    <w:rsid w:val="003E197E"/>
    <w:rsid w:val="004046F0"/>
    <w:rsid w:val="0040668F"/>
    <w:rsid w:val="00412677"/>
    <w:rsid w:val="00417925"/>
    <w:rsid w:val="004348AE"/>
    <w:rsid w:val="00435E9A"/>
    <w:rsid w:val="004376C0"/>
    <w:rsid w:val="0044115F"/>
    <w:rsid w:val="0044223A"/>
    <w:rsid w:val="004428E8"/>
    <w:rsid w:val="00446792"/>
    <w:rsid w:val="00446F80"/>
    <w:rsid w:val="00450C83"/>
    <w:rsid w:val="00451851"/>
    <w:rsid w:val="0045303E"/>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6427"/>
    <w:rsid w:val="004B376C"/>
    <w:rsid w:val="004B600B"/>
    <w:rsid w:val="004B6822"/>
    <w:rsid w:val="004B69F6"/>
    <w:rsid w:val="004C2D3A"/>
    <w:rsid w:val="004D03C4"/>
    <w:rsid w:val="004D0BF1"/>
    <w:rsid w:val="004D24D2"/>
    <w:rsid w:val="004D35A4"/>
    <w:rsid w:val="004D445F"/>
    <w:rsid w:val="004E087B"/>
    <w:rsid w:val="004E44A4"/>
    <w:rsid w:val="004E7B8B"/>
    <w:rsid w:val="004E7BDD"/>
    <w:rsid w:val="004F17E4"/>
    <w:rsid w:val="004F1E21"/>
    <w:rsid w:val="004F740D"/>
    <w:rsid w:val="004F7B8F"/>
    <w:rsid w:val="00500748"/>
    <w:rsid w:val="005011D6"/>
    <w:rsid w:val="0050167A"/>
    <w:rsid w:val="00503923"/>
    <w:rsid w:val="005042F1"/>
    <w:rsid w:val="00510D6A"/>
    <w:rsid w:val="005135BF"/>
    <w:rsid w:val="00513C7D"/>
    <w:rsid w:val="005169D1"/>
    <w:rsid w:val="00521123"/>
    <w:rsid w:val="00521221"/>
    <w:rsid w:val="00536FA9"/>
    <w:rsid w:val="005414F4"/>
    <w:rsid w:val="00546187"/>
    <w:rsid w:val="005463F1"/>
    <w:rsid w:val="00547704"/>
    <w:rsid w:val="005505A8"/>
    <w:rsid w:val="00557D77"/>
    <w:rsid w:val="00562EAA"/>
    <w:rsid w:val="00563B58"/>
    <w:rsid w:val="005640C4"/>
    <w:rsid w:val="00564C53"/>
    <w:rsid w:val="0056684C"/>
    <w:rsid w:val="00574A0C"/>
    <w:rsid w:val="00576E4C"/>
    <w:rsid w:val="0057780F"/>
    <w:rsid w:val="00581E0A"/>
    <w:rsid w:val="00582870"/>
    <w:rsid w:val="00586D89"/>
    <w:rsid w:val="00587C3B"/>
    <w:rsid w:val="005916B8"/>
    <w:rsid w:val="00593D00"/>
    <w:rsid w:val="00597CBD"/>
    <w:rsid w:val="005A0401"/>
    <w:rsid w:val="005A1B4C"/>
    <w:rsid w:val="005A1BA3"/>
    <w:rsid w:val="005A545C"/>
    <w:rsid w:val="005A783B"/>
    <w:rsid w:val="005C1567"/>
    <w:rsid w:val="005C6CE5"/>
    <w:rsid w:val="005C76DE"/>
    <w:rsid w:val="005D3F07"/>
    <w:rsid w:val="005D583E"/>
    <w:rsid w:val="005E13EA"/>
    <w:rsid w:val="005E53BD"/>
    <w:rsid w:val="00606E27"/>
    <w:rsid w:val="0060701E"/>
    <w:rsid w:val="006108C9"/>
    <w:rsid w:val="00615C7E"/>
    <w:rsid w:val="0062158D"/>
    <w:rsid w:val="00630F39"/>
    <w:rsid w:val="006326D1"/>
    <w:rsid w:val="00632E0A"/>
    <w:rsid w:val="00633165"/>
    <w:rsid w:val="00636B6C"/>
    <w:rsid w:val="006447DE"/>
    <w:rsid w:val="0065276E"/>
    <w:rsid w:val="00654329"/>
    <w:rsid w:val="00654CEC"/>
    <w:rsid w:val="00655507"/>
    <w:rsid w:val="00664498"/>
    <w:rsid w:val="006712A7"/>
    <w:rsid w:val="006733CC"/>
    <w:rsid w:val="00674FC2"/>
    <w:rsid w:val="00677E42"/>
    <w:rsid w:val="00681EDC"/>
    <w:rsid w:val="00682334"/>
    <w:rsid w:val="00684B16"/>
    <w:rsid w:val="00694C00"/>
    <w:rsid w:val="00696F65"/>
    <w:rsid w:val="006A498F"/>
    <w:rsid w:val="006A7A6D"/>
    <w:rsid w:val="006B5E67"/>
    <w:rsid w:val="006C2EB5"/>
    <w:rsid w:val="006D18A3"/>
    <w:rsid w:val="006D5970"/>
    <w:rsid w:val="006E481E"/>
    <w:rsid w:val="006E795F"/>
    <w:rsid w:val="00700249"/>
    <w:rsid w:val="00702667"/>
    <w:rsid w:val="0070604C"/>
    <w:rsid w:val="007069CD"/>
    <w:rsid w:val="00710D69"/>
    <w:rsid w:val="00710E17"/>
    <w:rsid w:val="007110E6"/>
    <w:rsid w:val="00711A70"/>
    <w:rsid w:val="00712214"/>
    <w:rsid w:val="00712E6F"/>
    <w:rsid w:val="00712E90"/>
    <w:rsid w:val="00713B7E"/>
    <w:rsid w:val="0071499F"/>
    <w:rsid w:val="0071532A"/>
    <w:rsid w:val="007203DA"/>
    <w:rsid w:val="007204AE"/>
    <w:rsid w:val="007240FE"/>
    <w:rsid w:val="00724906"/>
    <w:rsid w:val="0072678F"/>
    <w:rsid w:val="00727C4C"/>
    <w:rsid w:val="00734809"/>
    <w:rsid w:val="0073644B"/>
    <w:rsid w:val="007406E1"/>
    <w:rsid w:val="00743E40"/>
    <w:rsid w:val="00751263"/>
    <w:rsid w:val="00752A8B"/>
    <w:rsid w:val="0075506F"/>
    <w:rsid w:val="0075704F"/>
    <w:rsid w:val="007613B6"/>
    <w:rsid w:val="00763B2D"/>
    <w:rsid w:val="00770E8C"/>
    <w:rsid w:val="00771E31"/>
    <w:rsid w:val="00772924"/>
    <w:rsid w:val="007744CB"/>
    <w:rsid w:val="00774E63"/>
    <w:rsid w:val="00784EC4"/>
    <w:rsid w:val="007872F2"/>
    <w:rsid w:val="007874BC"/>
    <w:rsid w:val="007908E0"/>
    <w:rsid w:val="00793EB3"/>
    <w:rsid w:val="00794205"/>
    <w:rsid w:val="00797012"/>
    <w:rsid w:val="007A1F6A"/>
    <w:rsid w:val="007A2445"/>
    <w:rsid w:val="007A4363"/>
    <w:rsid w:val="007B0DE3"/>
    <w:rsid w:val="007B491F"/>
    <w:rsid w:val="007B5CB2"/>
    <w:rsid w:val="007B7191"/>
    <w:rsid w:val="007C1634"/>
    <w:rsid w:val="007C1D94"/>
    <w:rsid w:val="007C2879"/>
    <w:rsid w:val="007C6A87"/>
    <w:rsid w:val="007C705D"/>
    <w:rsid w:val="007C7B9D"/>
    <w:rsid w:val="007D0A07"/>
    <w:rsid w:val="007D0C96"/>
    <w:rsid w:val="007D133D"/>
    <w:rsid w:val="007D3EB4"/>
    <w:rsid w:val="007D3F16"/>
    <w:rsid w:val="007D78CC"/>
    <w:rsid w:val="007E40D1"/>
    <w:rsid w:val="007F3F7E"/>
    <w:rsid w:val="007F5497"/>
    <w:rsid w:val="008015CA"/>
    <w:rsid w:val="00810FC2"/>
    <w:rsid w:val="008137AD"/>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2866"/>
    <w:rsid w:val="00842D12"/>
    <w:rsid w:val="00843D58"/>
    <w:rsid w:val="00843EBA"/>
    <w:rsid w:val="00844D98"/>
    <w:rsid w:val="00846D84"/>
    <w:rsid w:val="00850FEB"/>
    <w:rsid w:val="0085230E"/>
    <w:rsid w:val="0085355E"/>
    <w:rsid w:val="008550A1"/>
    <w:rsid w:val="00861035"/>
    <w:rsid w:val="00861038"/>
    <w:rsid w:val="00865008"/>
    <w:rsid w:val="00866B50"/>
    <w:rsid w:val="008708F1"/>
    <w:rsid w:val="00871610"/>
    <w:rsid w:val="00872466"/>
    <w:rsid w:val="008745A4"/>
    <w:rsid w:val="00876AC9"/>
    <w:rsid w:val="00880539"/>
    <w:rsid w:val="008814CB"/>
    <w:rsid w:val="008859E8"/>
    <w:rsid w:val="0088737B"/>
    <w:rsid w:val="00892716"/>
    <w:rsid w:val="0089285D"/>
    <w:rsid w:val="00893067"/>
    <w:rsid w:val="008933DE"/>
    <w:rsid w:val="00895FCE"/>
    <w:rsid w:val="00897F3E"/>
    <w:rsid w:val="008A1BA8"/>
    <w:rsid w:val="008A21B4"/>
    <w:rsid w:val="008A4576"/>
    <w:rsid w:val="008B07DE"/>
    <w:rsid w:val="008B12E8"/>
    <w:rsid w:val="008B244E"/>
    <w:rsid w:val="008B28E7"/>
    <w:rsid w:val="008B4944"/>
    <w:rsid w:val="008C14C7"/>
    <w:rsid w:val="008C256D"/>
    <w:rsid w:val="008C2FFB"/>
    <w:rsid w:val="008C6EEA"/>
    <w:rsid w:val="008D5813"/>
    <w:rsid w:val="008D634E"/>
    <w:rsid w:val="008D778A"/>
    <w:rsid w:val="008F22BD"/>
    <w:rsid w:val="009079BD"/>
    <w:rsid w:val="00912BD9"/>
    <w:rsid w:val="00915BD5"/>
    <w:rsid w:val="00916CFB"/>
    <w:rsid w:val="00920E5B"/>
    <w:rsid w:val="009249F8"/>
    <w:rsid w:val="00926436"/>
    <w:rsid w:val="009278D2"/>
    <w:rsid w:val="0093018C"/>
    <w:rsid w:val="00932CCA"/>
    <w:rsid w:val="009544C0"/>
    <w:rsid w:val="00954FA4"/>
    <w:rsid w:val="00956AE9"/>
    <w:rsid w:val="00960BF4"/>
    <w:rsid w:val="00962C58"/>
    <w:rsid w:val="00964CC6"/>
    <w:rsid w:val="00991FDA"/>
    <w:rsid w:val="009927A1"/>
    <w:rsid w:val="009944EA"/>
    <w:rsid w:val="0099774D"/>
    <w:rsid w:val="009A310E"/>
    <w:rsid w:val="009A5F3B"/>
    <w:rsid w:val="009B0B61"/>
    <w:rsid w:val="009B28C0"/>
    <w:rsid w:val="009B395A"/>
    <w:rsid w:val="009B7136"/>
    <w:rsid w:val="009B7806"/>
    <w:rsid w:val="009C3AC2"/>
    <w:rsid w:val="009D4365"/>
    <w:rsid w:val="009D4E3B"/>
    <w:rsid w:val="009D5F4E"/>
    <w:rsid w:val="009D7BC9"/>
    <w:rsid w:val="009E0C5A"/>
    <w:rsid w:val="009E1982"/>
    <w:rsid w:val="009E3A08"/>
    <w:rsid w:val="009E4D2C"/>
    <w:rsid w:val="009F0978"/>
    <w:rsid w:val="009F3AEC"/>
    <w:rsid w:val="009F7436"/>
    <w:rsid w:val="00A00081"/>
    <w:rsid w:val="00A015F7"/>
    <w:rsid w:val="00A10D56"/>
    <w:rsid w:val="00A12AAE"/>
    <w:rsid w:val="00A16DD1"/>
    <w:rsid w:val="00A221AB"/>
    <w:rsid w:val="00A22441"/>
    <w:rsid w:val="00A23F3B"/>
    <w:rsid w:val="00A24406"/>
    <w:rsid w:val="00A25F64"/>
    <w:rsid w:val="00A27CC2"/>
    <w:rsid w:val="00A31CAD"/>
    <w:rsid w:val="00A3273B"/>
    <w:rsid w:val="00A40ED6"/>
    <w:rsid w:val="00A470EE"/>
    <w:rsid w:val="00A47621"/>
    <w:rsid w:val="00A479CD"/>
    <w:rsid w:val="00A50CFC"/>
    <w:rsid w:val="00A54035"/>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2A16"/>
    <w:rsid w:val="00AD314E"/>
    <w:rsid w:val="00AD336F"/>
    <w:rsid w:val="00AD3550"/>
    <w:rsid w:val="00AE2564"/>
    <w:rsid w:val="00AE301F"/>
    <w:rsid w:val="00AE3302"/>
    <w:rsid w:val="00AE7077"/>
    <w:rsid w:val="00AF61C2"/>
    <w:rsid w:val="00AF6CC6"/>
    <w:rsid w:val="00AF78B2"/>
    <w:rsid w:val="00B011CD"/>
    <w:rsid w:val="00B0296A"/>
    <w:rsid w:val="00B10529"/>
    <w:rsid w:val="00B12295"/>
    <w:rsid w:val="00B137BE"/>
    <w:rsid w:val="00B152E5"/>
    <w:rsid w:val="00B15A37"/>
    <w:rsid w:val="00B1722E"/>
    <w:rsid w:val="00B17FA0"/>
    <w:rsid w:val="00B24344"/>
    <w:rsid w:val="00B26769"/>
    <w:rsid w:val="00B31C91"/>
    <w:rsid w:val="00B3747F"/>
    <w:rsid w:val="00B41E15"/>
    <w:rsid w:val="00B43194"/>
    <w:rsid w:val="00B47734"/>
    <w:rsid w:val="00B479D6"/>
    <w:rsid w:val="00B50FBA"/>
    <w:rsid w:val="00B558EB"/>
    <w:rsid w:val="00B56F8A"/>
    <w:rsid w:val="00B577D3"/>
    <w:rsid w:val="00B60466"/>
    <w:rsid w:val="00B6548F"/>
    <w:rsid w:val="00B73852"/>
    <w:rsid w:val="00B7502A"/>
    <w:rsid w:val="00B77305"/>
    <w:rsid w:val="00B82CC2"/>
    <w:rsid w:val="00B84A89"/>
    <w:rsid w:val="00B90DFA"/>
    <w:rsid w:val="00B92BEF"/>
    <w:rsid w:val="00B9689A"/>
    <w:rsid w:val="00BA074B"/>
    <w:rsid w:val="00BA1FFA"/>
    <w:rsid w:val="00BA2666"/>
    <w:rsid w:val="00BA75CB"/>
    <w:rsid w:val="00BA7FF1"/>
    <w:rsid w:val="00BB06CB"/>
    <w:rsid w:val="00BB261F"/>
    <w:rsid w:val="00BB2887"/>
    <w:rsid w:val="00BB5EAA"/>
    <w:rsid w:val="00BB5F11"/>
    <w:rsid w:val="00BC0401"/>
    <w:rsid w:val="00BC04FA"/>
    <w:rsid w:val="00BC1C22"/>
    <w:rsid w:val="00BC4289"/>
    <w:rsid w:val="00BC460B"/>
    <w:rsid w:val="00BC5725"/>
    <w:rsid w:val="00BD2642"/>
    <w:rsid w:val="00BD30B1"/>
    <w:rsid w:val="00BE0F7B"/>
    <w:rsid w:val="00BE10C2"/>
    <w:rsid w:val="00C00C18"/>
    <w:rsid w:val="00C01D14"/>
    <w:rsid w:val="00C025B4"/>
    <w:rsid w:val="00C0275F"/>
    <w:rsid w:val="00C11F61"/>
    <w:rsid w:val="00C14F40"/>
    <w:rsid w:val="00C161FD"/>
    <w:rsid w:val="00C1631A"/>
    <w:rsid w:val="00C23F17"/>
    <w:rsid w:val="00C26A95"/>
    <w:rsid w:val="00C26D0D"/>
    <w:rsid w:val="00C27C95"/>
    <w:rsid w:val="00C300D2"/>
    <w:rsid w:val="00C3270F"/>
    <w:rsid w:val="00C3278B"/>
    <w:rsid w:val="00C332F3"/>
    <w:rsid w:val="00C33375"/>
    <w:rsid w:val="00C34C23"/>
    <w:rsid w:val="00C411F7"/>
    <w:rsid w:val="00C42005"/>
    <w:rsid w:val="00C44446"/>
    <w:rsid w:val="00C4664D"/>
    <w:rsid w:val="00C472AA"/>
    <w:rsid w:val="00C50A05"/>
    <w:rsid w:val="00C54AED"/>
    <w:rsid w:val="00C55B2F"/>
    <w:rsid w:val="00C63D00"/>
    <w:rsid w:val="00C6441B"/>
    <w:rsid w:val="00C7108B"/>
    <w:rsid w:val="00C8089F"/>
    <w:rsid w:val="00C836CC"/>
    <w:rsid w:val="00C84FA4"/>
    <w:rsid w:val="00C87A74"/>
    <w:rsid w:val="00C90A71"/>
    <w:rsid w:val="00C91574"/>
    <w:rsid w:val="00C91BC2"/>
    <w:rsid w:val="00C92C71"/>
    <w:rsid w:val="00C93F8F"/>
    <w:rsid w:val="00C94BF2"/>
    <w:rsid w:val="00C9652B"/>
    <w:rsid w:val="00C97DFB"/>
    <w:rsid w:val="00CA2745"/>
    <w:rsid w:val="00CA3593"/>
    <w:rsid w:val="00CA72CA"/>
    <w:rsid w:val="00CA7F4F"/>
    <w:rsid w:val="00CB258E"/>
    <w:rsid w:val="00CB3C8F"/>
    <w:rsid w:val="00CB3F5B"/>
    <w:rsid w:val="00CB75CE"/>
    <w:rsid w:val="00CC02F1"/>
    <w:rsid w:val="00CC11A6"/>
    <w:rsid w:val="00CC135E"/>
    <w:rsid w:val="00CC24C5"/>
    <w:rsid w:val="00CD5707"/>
    <w:rsid w:val="00CD5D3F"/>
    <w:rsid w:val="00CF1E90"/>
    <w:rsid w:val="00CF2076"/>
    <w:rsid w:val="00CF3DB3"/>
    <w:rsid w:val="00D052BC"/>
    <w:rsid w:val="00D07026"/>
    <w:rsid w:val="00D07BAB"/>
    <w:rsid w:val="00D11C62"/>
    <w:rsid w:val="00D16774"/>
    <w:rsid w:val="00D22C8F"/>
    <w:rsid w:val="00D33491"/>
    <w:rsid w:val="00D34E8D"/>
    <w:rsid w:val="00D40929"/>
    <w:rsid w:val="00D44F8E"/>
    <w:rsid w:val="00D44FD0"/>
    <w:rsid w:val="00D5733C"/>
    <w:rsid w:val="00D607EF"/>
    <w:rsid w:val="00D60F88"/>
    <w:rsid w:val="00D625E7"/>
    <w:rsid w:val="00D646BD"/>
    <w:rsid w:val="00D70239"/>
    <w:rsid w:val="00D71201"/>
    <w:rsid w:val="00D720C7"/>
    <w:rsid w:val="00D77A04"/>
    <w:rsid w:val="00D81D06"/>
    <w:rsid w:val="00D82936"/>
    <w:rsid w:val="00D863B5"/>
    <w:rsid w:val="00D8652C"/>
    <w:rsid w:val="00D87072"/>
    <w:rsid w:val="00D876E6"/>
    <w:rsid w:val="00DA1025"/>
    <w:rsid w:val="00DA22EC"/>
    <w:rsid w:val="00DA5860"/>
    <w:rsid w:val="00DB07DC"/>
    <w:rsid w:val="00DB2767"/>
    <w:rsid w:val="00DC4729"/>
    <w:rsid w:val="00DE2ADA"/>
    <w:rsid w:val="00DE556F"/>
    <w:rsid w:val="00DE5A54"/>
    <w:rsid w:val="00E03B6D"/>
    <w:rsid w:val="00E0454E"/>
    <w:rsid w:val="00E0649E"/>
    <w:rsid w:val="00E1035C"/>
    <w:rsid w:val="00E17160"/>
    <w:rsid w:val="00E35BEC"/>
    <w:rsid w:val="00E50821"/>
    <w:rsid w:val="00E50EF8"/>
    <w:rsid w:val="00E51ED6"/>
    <w:rsid w:val="00E51F91"/>
    <w:rsid w:val="00E535F1"/>
    <w:rsid w:val="00E675C1"/>
    <w:rsid w:val="00E676F7"/>
    <w:rsid w:val="00E7086E"/>
    <w:rsid w:val="00E7374A"/>
    <w:rsid w:val="00E73C41"/>
    <w:rsid w:val="00E7598F"/>
    <w:rsid w:val="00E76F60"/>
    <w:rsid w:val="00E821E9"/>
    <w:rsid w:val="00E83D90"/>
    <w:rsid w:val="00E83F28"/>
    <w:rsid w:val="00E83F91"/>
    <w:rsid w:val="00E9107A"/>
    <w:rsid w:val="00E913B5"/>
    <w:rsid w:val="00E91F62"/>
    <w:rsid w:val="00E929FD"/>
    <w:rsid w:val="00E93240"/>
    <w:rsid w:val="00E9479B"/>
    <w:rsid w:val="00E94DCC"/>
    <w:rsid w:val="00EA197A"/>
    <w:rsid w:val="00EA28F1"/>
    <w:rsid w:val="00EA4D48"/>
    <w:rsid w:val="00EB2173"/>
    <w:rsid w:val="00EB62E6"/>
    <w:rsid w:val="00ED1B30"/>
    <w:rsid w:val="00ED250E"/>
    <w:rsid w:val="00ED6535"/>
    <w:rsid w:val="00EE1AC1"/>
    <w:rsid w:val="00EE1E6F"/>
    <w:rsid w:val="00EE39D6"/>
    <w:rsid w:val="00EE413C"/>
    <w:rsid w:val="00EE52AD"/>
    <w:rsid w:val="00EE6E21"/>
    <w:rsid w:val="00EF19C8"/>
    <w:rsid w:val="00EF3E93"/>
    <w:rsid w:val="00EF7620"/>
    <w:rsid w:val="00F01F92"/>
    <w:rsid w:val="00F04F71"/>
    <w:rsid w:val="00F10A08"/>
    <w:rsid w:val="00F132EC"/>
    <w:rsid w:val="00F139CF"/>
    <w:rsid w:val="00F22AC5"/>
    <w:rsid w:val="00F23580"/>
    <w:rsid w:val="00F254D1"/>
    <w:rsid w:val="00F32B82"/>
    <w:rsid w:val="00F4043E"/>
    <w:rsid w:val="00F40CB5"/>
    <w:rsid w:val="00F41BBC"/>
    <w:rsid w:val="00F43B9D"/>
    <w:rsid w:val="00F444F0"/>
    <w:rsid w:val="00F47EF9"/>
    <w:rsid w:val="00F50847"/>
    <w:rsid w:val="00F53F27"/>
    <w:rsid w:val="00F546D1"/>
    <w:rsid w:val="00F577A7"/>
    <w:rsid w:val="00F6513F"/>
    <w:rsid w:val="00F66272"/>
    <w:rsid w:val="00F6ACA0"/>
    <w:rsid w:val="00F709C0"/>
    <w:rsid w:val="00F8610A"/>
    <w:rsid w:val="00F927A1"/>
    <w:rsid w:val="00F92E4D"/>
    <w:rsid w:val="00F94392"/>
    <w:rsid w:val="00FA3764"/>
    <w:rsid w:val="00FA56ED"/>
    <w:rsid w:val="00FB10BA"/>
    <w:rsid w:val="00FB5FA6"/>
    <w:rsid w:val="00FC0780"/>
    <w:rsid w:val="00FC0AC2"/>
    <w:rsid w:val="00FC1310"/>
    <w:rsid w:val="00FC1328"/>
    <w:rsid w:val="00FC2FF3"/>
    <w:rsid w:val="00FC3263"/>
    <w:rsid w:val="00FC50C8"/>
    <w:rsid w:val="00FC51F9"/>
    <w:rsid w:val="00FC5B40"/>
    <w:rsid w:val="00FC5FF8"/>
    <w:rsid w:val="00FC702B"/>
    <w:rsid w:val="00FD1086"/>
    <w:rsid w:val="00FD3D7C"/>
    <w:rsid w:val="00FD4F8F"/>
    <w:rsid w:val="00FD4FF1"/>
    <w:rsid w:val="00FE0C16"/>
    <w:rsid w:val="00FE14AD"/>
    <w:rsid w:val="00FE14B1"/>
    <w:rsid w:val="00FE1F6A"/>
    <w:rsid w:val="00FE4BD7"/>
    <w:rsid w:val="00FE75AE"/>
    <w:rsid w:val="00FF0070"/>
    <w:rsid w:val="00FF31EC"/>
    <w:rsid w:val="00FF3EE8"/>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0B02C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5378050">
      <w:bodyDiv w:val="1"/>
      <w:marLeft w:val="0"/>
      <w:marRight w:val="0"/>
      <w:marTop w:val="0"/>
      <w:marBottom w:val="0"/>
      <w:divBdr>
        <w:top w:val="none" w:sz="0" w:space="0" w:color="auto"/>
        <w:left w:val="none" w:sz="0" w:space="0" w:color="auto"/>
        <w:bottom w:val="none" w:sz="0" w:space="0" w:color="auto"/>
        <w:right w:val="none" w:sz="0" w:space="0" w:color="auto"/>
      </w:divBdr>
      <w:divsChild>
        <w:div w:id="873080636">
          <w:marLeft w:val="0"/>
          <w:marRight w:val="0"/>
          <w:marTop w:val="0"/>
          <w:marBottom w:val="0"/>
          <w:divBdr>
            <w:top w:val="none" w:sz="0" w:space="0" w:color="auto"/>
            <w:left w:val="none" w:sz="0" w:space="0" w:color="auto"/>
            <w:bottom w:val="none" w:sz="0" w:space="0" w:color="auto"/>
            <w:right w:val="none" w:sz="0" w:space="0" w:color="auto"/>
          </w:divBdr>
        </w:div>
      </w:divsChild>
    </w:div>
    <w:div w:id="1342856871">
      <w:bodyDiv w:val="1"/>
      <w:marLeft w:val="0"/>
      <w:marRight w:val="0"/>
      <w:marTop w:val="0"/>
      <w:marBottom w:val="0"/>
      <w:divBdr>
        <w:top w:val="none" w:sz="0" w:space="0" w:color="auto"/>
        <w:left w:val="none" w:sz="0" w:space="0" w:color="auto"/>
        <w:bottom w:val="none" w:sz="0" w:space="0" w:color="auto"/>
        <w:right w:val="none" w:sz="0" w:space="0" w:color="auto"/>
      </w:divBdr>
      <w:divsChild>
        <w:div w:id="540480479">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link.springer.com/article/10.1007/s41887-022-00072-z" TargetMode="Externa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E549C984-C0EC-4FE7-8D06-8226E6C9E8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779</TotalTime>
  <Pages>26</Pages>
  <Words>6558</Words>
  <Characters>37387</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Przeklasa,Elzbieta swp8276</cp:lastModifiedBy>
  <cp:revision>181</cp:revision>
  <cp:lastPrinted>2014-08-26T08:55:00Z</cp:lastPrinted>
  <dcterms:created xsi:type="dcterms:W3CDTF">2019-02-14T13:20:00Z</dcterms:created>
  <dcterms:modified xsi:type="dcterms:W3CDTF">2023-10-30T11:21:00Z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2023-09-14T18:25:45Z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59d1a43e-831b-4e52-a85d-379e945cb4ce</vt:lpwstr>
  </property>
  <property fmtid="{D5CDD505-2E9C-101B-9397-08002B2CF9AE}" pid="9" name="MSIP_Label_66cf8fe5-b7b7-4df7-b38d-1c61ac2f6639_ContentBits">
    <vt:lpwstr>0</vt:lpwstr>
  </property>
</Properties>
</file>