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7170354"/>
        <w:docPartObj>
          <w:docPartGallery w:val="Cover Pages"/>
          <w:docPartUnique/>
        </w:docPartObj>
      </w:sdtPr>
      <w:sdtEndPr>
        <w:rPr>
          <w:rFonts w:ascii="Arial" w:hAnsi="Arial" w:cs="Arial"/>
          <w:sz w:val="44"/>
          <w:szCs w:val="44"/>
          <w:u w:val="single"/>
        </w:rPr>
      </w:sdtEndPr>
      <w:sdtContent>
        <w:p w14:paraId="2379481C" w14:textId="455964E2" w:rsidR="00540CC3" w:rsidRDefault="00B539D9">
          <w:r>
            <w:rPr>
              <w:noProof/>
            </w:rPr>
            <mc:AlternateContent>
              <mc:Choice Requires="wps">
                <w:drawing>
                  <wp:anchor distT="0" distB="0" distL="114300" distR="114300" simplePos="0" relativeHeight="251662336" behindDoc="0" locked="0" layoutInCell="1" allowOverlap="1" wp14:anchorId="1180190E" wp14:editId="2C33A3B2">
                    <wp:simplePos x="0" y="0"/>
                    <wp:positionH relativeFrom="column">
                      <wp:posOffset>4239491</wp:posOffset>
                    </wp:positionH>
                    <wp:positionV relativeFrom="paragraph">
                      <wp:posOffset>-152514</wp:posOffset>
                    </wp:positionV>
                    <wp:extent cx="1485900" cy="474632"/>
                    <wp:effectExtent l="0" t="0" r="0" b="0"/>
                    <wp:wrapNone/>
                    <wp:docPr id="1" name="Text Box 1"/>
                    <wp:cNvGraphicFramePr/>
                    <a:graphic xmlns:a="http://schemas.openxmlformats.org/drawingml/2006/main">
                      <a:graphicData uri="http://schemas.microsoft.com/office/word/2010/wordprocessingShape">
                        <wps:wsp>
                          <wps:cNvSpPr txBox="1"/>
                          <wps:spPr>
                            <a:xfrm>
                              <a:off x="0" y="0"/>
                              <a:ext cx="1485900" cy="474632"/>
                            </a:xfrm>
                            <a:prstGeom prst="rect">
                              <a:avLst/>
                            </a:prstGeom>
                            <a:noFill/>
                            <a:ln w="6350">
                              <a:noFill/>
                            </a:ln>
                          </wps:spPr>
                          <wps:txbx>
                            <w:txbxContent>
                              <w:p w14:paraId="6EED9BD8" w14:textId="335A42AC" w:rsidR="00B539D9" w:rsidRDefault="00B539D9">
                                <w:r>
                                  <w:t xml:space="preserve">Laura Knight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80190E" id="_x0000_t202" coordsize="21600,21600" o:spt="202" path="m,l,21600r21600,l21600,xe">
                    <v:stroke joinstyle="miter"/>
                    <v:path gradientshapeok="t" o:connecttype="rect"/>
                  </v:shapetype>
                  <v:shape id="Text Box 1" o:spid="_x0000_s1026" type="#_x0000_t202" style="position:absolute;margin-left:333.8pt;margin-top:-12pt;width:117pt;height:37.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" filled="f" stroked="f" strokeweight=".5pt">
                    <v:textbox>
                      <w:txbxContent>
                        <w:p w14:paraId="6EED9BD8" w14:textId="335A42AC" w:rsidR="00B539D9" w:rsidRDefault="00B539D9">
                          <w:r>
                            <w:t xml:space="preserve">Laura Knight </w:t>
                          </w:r>
                        </w:p>
                      </w:txbxContent>
                    </v:textbox>
                  </v:shape>
                </w:pict>
              </mc:Fallback>
            </mc:AlternateContent>
          </w:r>
          <w:r w:rsidR="00540CC3">
            <w:rPr>
              <w:noProof/>
            </w:rPr>
            <mc:AlternateContent>
              <mc:Choice Requires="wpg">
                <w:drawing>
                  <wp:anchor distT="0" distB="0" distL="114300" distR="114300" simplePos="0" relativeHeight="251661312" behindDoc="0" locked="0" layoutInCell="1" allowOverlap="1" wp14:anchorId="7ED02D0A" wp14:editId="135CD4CB">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6BD99DE" w14:textId="4D91B6BF" w:rsidR="00540CC3" w:rsidRDefault="00540CC3">
                                      <w:pPr>
                                        <w:pStyle w:val="NoSpacing"/>
                                        <w:spacing w:after="240"/>
                                        <w:jc w:val="right"/>
                                        <w:rPr>
                                          <w:color w:val="44546A" w:themeColor="text2"/>
                                          <w:spacing w:val="10"/>
                                          <w:sz w:val="36"/>
                                          <w:szCs w:val="36"/>
                                        </w:rPr>
                                      </w:pPr>
                                      <w:r>
                                        <w:rPr>
                                          <w:color w:val="44546A" w:themeColor="text2"/>
                                          <w:spacing w:val="10"/>
                                          <w:sz w:val="36"/>
                                          <w:szCs w:val="36"/>
                                        </w:rPr>
                                        <w:t>Saffron Simon</w:t>
                                      </w:r>
                                    </w:p>
                                  </w:sdtContent>
                                </w:sdt>
                                <w:p w14:paraId="12C4C9AB" w14:textId="44072907" w:rsidR="00540CC3" w:rsidRDefault="00B539D9">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B539D9">
                                        <w:rPr>
                                          <w:color w:val="44546A" w:themeColor="text2"/>
                                          <w:spacing w:val="10"/>
                                          <w:sz w:val="28"/>
                                          <w:szCs w:val="28"/>
                                        </w:rPr>
                                        <w:t>2204730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D02D0A" id="Group 454" o:spid="_x0000_s1027"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28"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9"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0"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1"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6BD99DE" w14:textId="4D91B6BF" w:rsidR="00540CC3" w:rsidRDefault="00540CC3">
                                <w:pPr>
                                  <w:pStyle w:val="NoSpacing"/>
                                  <w:spacing w:after="240"/>
                                  <w:jc w:val="right"/>
                                  <w:rPr>
                                    <w:color w:val="44546A" w:themeColor="text2"/>
                                    <w:spacing w:val="10"/>
                                    <w:sz w:val="36"/>
                                    <w:szCs w:val="36"/>
                                  </w:rPr>
                                </w:pPr>
                                <w:r>
                                  <w:rPr>
                                    <w:color w:val="44546A" w:themeColor="text2"/>
                                    <w:spacing w:val="10"/>
                                    <w:sz w:val="36"/>
                                    <w:szCs w:val="36"/>
                                  </w:rPr>
                                  <w:t>Saffron Simon</w:t>
                                </w:r>
                              </w:p>
                            </w:sdtContent>
                          </w:sdt>
                          <w:p w14:paraId="12C4C9AB" w14:textId="44072907" w:rsidR="00540CC3" w:rsidRDefault="00B539D9">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B539D9">
                                  <w:rPr>
                                    <w:color w:val="44546A" w:themeColor="text2"/>
                                    <w:spacing w:val="10"/>
                                    <w:sz w:val="28"/>
                                    <w:szCs w:val="28"/>
                                  </w:rPr>
                                  <w:t>2204730</w:t>
                                </w:r>
                              </w:sdtContent>
                            </w:sdt>
                          </w:p>
                        </w:txbxContent>
                      </v:textbox>
                    </v:shape>
                    <w10:wrap anchorx="page" anchory="page"/>
                  </v:group>
                </w:pict>
              </mc:Fallback>
            </mc:AlternateContent>
          </w:r>
          <w:r w:rsidR="00540CC3">
            <w:rPr>
              <w:noProof/>
            </w:rPr>
            <mc:AlternateContent>
              <mc:Choice Requires="wpg">
                <w:drawing>
                  <wp:anchor distT="0" distB="0" distL="114300" distR="114300" simplePos="0" relativeHeight="251660288" behindDoc="0" locked="0" layoutInCell="1" allowOverlap="1" wp14:anchorId="6B5C2278" wp14:editId="48A354AC">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77632A8" w14:textId="076054A4" w:rsidR="00540CC3" w:rsidRDefault="00770E53">
                                      <w:pPr>
                                        <w:pStyle w:val="NoSpacing"/>
                                        <w:spacing w:after="240" w:line="216" w:lineRule="auto"/>
                                        <w:rPr>
                                          <w:rFonts w:asciiTheme="majorHAnsi" w:hAnsiTheme="majorHAnsi"/>
                                          <w:color w:val="44546A" w:themeColor="text2"/>
                                          <w:spacing w:val="10"/>
                                          <w:sz w:val="36"/>
                                          <w:szCs w:val="36"/>
                                        </w:rPr>
                                      </w:pPr>
                                      <w:r w:rsidRPr="00770E53">
                                        <w:rPr>
                                          <w:rFonts w:asciiTheme="majorHAnsi" w:hAnsiTheme="majorHAnsi"/>
                                          <w:color w:val="44546A" w:themeColor="text2"/>
                                          <w:spacing w:val="10"/>
                                          <w:sz w:val="36"/>
                                          <w:szCs w:val="36"/>
                                        </w:rPr>
                                        <w:t>BMPL4009</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C82210F" w14:textId="4DB91EFA" w:rsidR="00540CC3" w:rsidRDefault="00B04C3E">
                                      <w:pPr>
                                        <w:pStyle w:val="NoSpacing"/>
                                        <w:spacing w:line="216" w:lineRule="auto"/>
                                        <w:rPr>
                                          <w:rFonts w:asciiTheme="majorHAnsi" w:hAnsiTheme="majorHAnsi"/>
                                          <w:caps/>
                                          <w:color w:val="44546A" w:themeColor="text2"/>
                                          <w:sz w:val="96"/>
                                          <w:szCs w:val="96"/>
                                        </w:rPr>
                                      </w:pPr>
                                      <w:r w:rsidRPr="00B04C3E">
                                        <w:rPr>
                                          <w:rFonts w:asciiTheme="majorHAnsi" w:hAnsiTheme="majorHAnsi"/>
                                          <w:caps/>
                                          <w:color w:val="44546A" w:themeColor="text2"/>
                                          <w:sz w:val="96"/>
                                          <w:szCs w:val="96"/>
                                        </w:rPr>
                                        <w:t>Diminished responsibility</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5C2278" id="Group 459" o:spid="_x0000_s1032"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K13+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PoM5yvId+W/rUAg6qAeEaNt&#13;&#10;DULDFSM0BoXo3zF/9b/jPf5jYFOnf/nSvySGfRs0h//BXP4D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D8K13+YgUA&#13;&#10;AMsRAAAOAAAAAAAAAAAAAAAAAC4CAABkcnMvZTJvRG9jLnhtbFBLAQItABQABgAIAAAAIQBufFpX&#13;&#10;4AAAAAsBAAAPAAAAAAAAAAAAAAAAALwHAABkcnMvZG93bnJldi54bWxQSwUGAAAAAAQABADzAAAA&#13;&#10;yQgAAAAA&#13;&#10;">
                    <v:group id="Group 460" o:spid="_x0000_s1033"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4"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5"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6"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77632A8" w14:textId="076054A4" w:rsidR="00540CC3" w:rsidRDefault="00770E53">
                                <w:pPr>
                                  <w:pStyle w:val="NoSpacing"/>
                                  <w:spacing w:after="240" w:line="216" w:lineRule="auto"/>
                                  <w:rPr>
                                    <w:rFonts w:asciiTheme="majorHAnsi" w:hAnsiTheme="majorHAnsi"/>
                                    <w:color w:val="44546A" w:themeColor="text2"/>
                                    <w:spacing w:val="10"/>
                                    <w:sz w:val="36"/>
                                    <w:szCs w:val="36"/>
                                  </w:rPr>
                                </w:pPr>
                                <w:r w:rsidRPr="00770E53">
                                  <w:rPr>
                                    <w:rFonts w:asciiTheme="majorHAnsi" w:hAnsiTheme="majorHAnsi"/>
                                    <w:color w:val="44546A" w:themeColor="text2"/>
                                    <w:spacing w:val="10"/>
                                    <w:sz w:val="36"/>
                                    <w:szCs w:val="36"/>
                                  </w:rPr>
                                  <w:t>BMPL4009</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7C82210F" w14:textId="4DB91EFA" w:rsidR="00540CC3" w:rsidRDefault="00B04C3E">
                                <w:pPr>
                                  <w:pStyle w:val="NoSpacing"/>
                                  <w:spacing w:line="216" w:lineRule="auto"/>
                                  <w:rPr>
                                    <w:rFonts w:asciiTheme="majorHAnsi" w:hAnsiTheme="majorHAnsi"/>
                                    <w:caps/>
                                    <w:color w:val="44546A" w:themeColor="text2"/>
                                    <w:sz w:val="96"/>
                                    <w:szCs w:val="96"/>
                                  </w:rPr>
                                </w:pPr>
                                <w:r w:rsidRPr="00B04C3E">
                                  <w:rPr>
                                    <w:rFonts w:asciiTheme="majorHAnsi" w:hAnsiTheme="majorHAnsi"/>
                                    <w:caps/>
                                    <w:color w:val="44546A" w:themeColor="text2"/>
                                    <w:sz w:val="96"/>
                                    <w:szCs w:val="96"/>
                                  </w:rPr>
                                  <w:t>Diminished responsibility</w:t>
                                </w:r>
                              </w:p>
                            </w:sdtContent>
                          </w:sdt>
                          <w:bookmarkEnd w:id="1" w:displacedByCustomXml="prev"/>
                        </w:txbxContent>
                      </v:textbox>
                    </v:shape>
                    <w10:wrap anchorx="page" anchory="page"/>
                  </v:group>
                </w:pict>
              </mc:Fallback>
            </mc:AlternateContent>
          </w:r>
          <w:r w:rsidR="00540CC3">
            <w:rPr>
              <w:noProof/>
            </w:rPr>
            <mc:AlternateContent>
              <mc:Choice Requires="wps">
                <w:drawing>
                  <wp:anchor distT="0" distB="0" distL="114300" distR="114300" simplePos="0" relativeHeight="251659264" behindDoc="1" locked="0" layoutInCell="1" allowOverlap="1" wp14:anchorId="3CF426B9" wp14:editId="7D7E51AF">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B09AA8F"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2CA0F643" w14:textId="6A12CA8E" w:rsidR="00540CC3" w:rsidRDefault="00540CC3">
          <w:pPr>
            <w:rPr>
              <w:rFonts w:ascii="Arial" w:hAnsi="Arial" w:cs="Arial"/>
              <w:sz w:val="44"/>
              <w:szCs w:val="44"/>
              <w:u w:val="single"/>
            </w:rPr>
          </w:pPr>
          <w:r>
            <w:rPr>
              <w:rFonts w:ascii="Arial" w:hAnsi="Arial" w:cs="Arial"/>
              <w:sz w:val="44"/>
              <w:szCs w:val="44"/>
              <w:u w:val="single"/>
            </w:rPr>
            <w:br w:type="page"/>
          </w:r>
        </w:p>
      </w:sdtContent>
    </w:sdt>
    <w:p w14:paraId="785E0522" w14:textId="77777777" w:rsidR="00F86D7F" w:rsidRPr="00F86D7F" w:rsidRDefault="00F86D7F" w:rsidP="00F86D7F">
      <w:pPr>
        <w:rPr>
          <w:rFonts w:ascii="Arial" w:hAnsi="Arial" w:cs="Arial"/>
        </w:rPr>
      </w:pPr>
      <w:r w:rsidRPr="00F86D7F">
        <w:rPr>
          <w:rFonts w:ascii="Arial" w:hAnsi="Arial" w:cs="Arial"/>
        </w:rPr>
        <w:t>This essay will discuss the changes that the Coroners and Justice Act (2009) made to diminish defence responsibility. The assignment will also look at if the amendments change the law in this area for the better, was there a need for the change? And will also explore others' opinions on the change.</w:t>
      </w:r>
    </w:p>
    <w:p w14:paraId="49F7F1CC" w14:textId="77777777" w:rsidR="00F86D7F" w:rsidRPr="00F86D7F" w:rsidRDefault="00F86D7F" w:rsidP="00F86D7F">
      <w:pPr>
        <w:rPr>
          <w:rFonts w:ascii="Arial" w:hAnsi="Arial" w:cs="Arial"/>
        </w:rPr>
      </w:pPr>
    </w:p>
    <w:p w14:paraId="4803F01B" w14:textId="37C893F3" w:rsidR="00F86D7F" w:rsidRPr="00F86D7F" w:rsidRDefault="00F86D7F" w:rsidP="00F86D7F">
      <w:pPr>
        <w:rPr>
          <w:rFonts w:ascii="Arial" w:hAnsi="Arial" w:cs="Arial"/>
        </w:rPr>
      </w:pPr>
      <w:r w:rsidRPr="00F86D7F">
        <w:rPr>
          <w:rFonts w:ascii="Arial" w:hAnsi="Arial" w:cs="Arial"/>
        </w:rPr>
        <w:t xml:space="preserve"> Diminished responsibility is one of three unique </w:t>
      </w:r>
      <w:r w:rsidR="00286265">
        <w:rPr>
          <w:rFonts w:ascii="Arial" w:hAnsi="Arial" w:cs="Arial"/>
        </w:rPr>
        <w:t xml:space="preserve">partial </w:t>
      </w:r>
      <w:r w:rsidRPr="00F86D7F">
        <w:rPr>
          <w:rFonts w:ascii="Arial" w:hAnsi="Arial" w:cs="Arial"/>
        </w:rPr>
        <w:t xml:space="preserve">defences available only for the crime of murder. The Homicide Act of 1957, as amended by the Coroners and Justice Act of 2009, contains it. In cases when the defence of diminished responsibility is successful, the </w:t>
      </w:r>
      <w:r w:rsidR="00286265">
        <w:rPr>
          <w:rFonts w:ascii="Arial" w:hAnsi="Arial" w:cs="Arial"/>
        </w:rPr>
        <w:t>conviction</w:t>
      </w:r>
      <w:r w:rsidRPr="00F86D7F">
        <w:rPr>
          <w:rFonts w:ascii="Arial" w:hAnsi="Arial" w:cs="Arial"/>
        </w:rPr>
        <w:t xml:space="preserve"> is changed from murder to manslaughter (Storey, 2017). </w:t>
      </w:r>
    </w:p>
    <w:p w14:paraId="56790CB1" w14:textId="38339605" w:rsidR="00F86D7F" w:rsidRDefault="00F86D7F" w:rsidP="00F86D7F">
      <w:pPr>
        <w:rPr>
          <w:rFonts w:ascii="Arial" w:hAnsi="Arial" w:cs="Arial"/>
        </w:rPr>
      </w:pPr>
      <w:r w:rsidRPr="00F86D7F">
        <w:rPr>
          <w:rFonts w:ascii="Arial" w:hAnsi="Arial" w:cs="Arial"/>
        </w:rPr>
        <w:t xml:space="preserve"> </w:t>
      </w:r>
      <w:r w:rsidR="00286265">
        <w:rPr>
          <w:rFonts w:ascii="Arial" w:hAnsi="Arial" w:cs="Arial"/>
        </w:rPr>
        <w:tab/>
      </w:r>
      <w:r w:rsidRPr="00F86D7F">
        <w:rPr>
          <w:rFonts w:ascii="Arial" w:hAnsi="Arial" w:cs="Arial"/>
        </w:rPr>
        <w:t>S</w:t>
      </w:r>
      <w:r w:rsidR="00E870D0">
        <w:rPr>
          <w:rFonts w:ascii="Arial" w:hAnsi="Arial" w:cs="Arial"/>
        </w:rPr>
        <w:t>ection 2</w:t>
      </w:r>
      <w:r w:rsidRPr="00F86D7F">
        <w:rPr>
          <w:rFonts w:ascii="Arial" w:hAnsi="Arial" w:cs="Arial"/>
        </w:rPr>
        <w:t xml:space="preserve"> of the </w:t>
      </w:r>
      <w:r w:rsidR="00054E14">
        <w:rPr>
          <w:rFonts w:ascii="Arial" w:hAnsi="Arial" w:cs="Arial"/>
        </w:rPr>
        <w:t>H</w:t>
      </w:r>
      <w:r w:rsidRPr="00F86D7F">
        <w:rPr>
          <w:rFonts w:ascii="Arial" w:hAnsi="Arial" w:cs="Arial"/>
        </w:rPr>
        <w:t xml:space="preserve">omicide </w:t>
      </w:r>
      <w:r w:rsidR="00054E14">
        <w:rPr>
          <w:rFonts w:ascii="Arial" w:hAnsi="Arial" w:cs="Arial"/>
        </w:rPr>
        <w:t>A</w:t>
      </w:r>
      <w:r w:rsidRPr="00F86D7F">
        <w:rPr>
          <w:rFonts w:ascii="Arial" w:hAnsi="Arial" w:cs="Arial"/>
        </w:rPr>
        <w:t xml:space="preserve">ct </w:t>
      </w:r>
      <w:r w:rsidR="00286265">
        <w:rPr>
          <w:rFonts w:ascii="Arial" w:hAnsi="Arial" w:cs="Arial"/>
        </w:rPr>
        <w:t>[</w:t>
      </w:r>
      <w:r w:rsidRPr="00F86D7F">
        <w:rPr>
          <w:rFonts w:ascii="Arial" w:hAnsi="Arial" w:cs="Arial"/>
        </w:rPr>
        <w:t>1957</w:t>
      </w:r>
      <w:r w:rsidR="00286265">
        <w:rPr>
          <w:rFonts w:ascii="Arial" w:hAnsi="Arial" w:cs="Arial"/>
        </w:rPr>
        <w:t>]</w:t>
      </w:r>
      <w:r w:rsidRPr="00F86D7F">
        <w:rPr>
          <w:rFonts w:ascii="Arial" w:hAnsi="Arial" w:cs="Arial"/>
        </w:rPr>
        <w:t xml:space="preserve"> state</w:t>
      </w:r>
      <w:r w:rsidR="00286265">
        <w:rPr>
          <w:rFonts w:ascii="Arial" w:hAnsi="Arial" w:cs="Arial"/>
        </w:rPr>
        <w:t>d</w:t>
      </w:r>
      <w:r w:rsidRPr="00F86D7F">
        <w:rPr>
          <w:rFonts w:ascii="Arial" w:hAnsi="Arial" w:cs="Arial"/>
        </w:rPr>
        <w:t xml:space="preserve"> that "if a person kills or is a party to the killing of another, he/she shall not be convicted of murder if he was suffering from such abnormality of mind (whether arising from a condition of arrested or retarded development of mind or any inherent causes or induced by disease or injury) as substantially impaired his mental responsibility for his acts and omissions in doing or being a party to the killing".</w:t>
      </w:r>
      <w:r w:rsidR="00286265">
        <w:rPr>
          <w:rFonts w:ascii="Arial" w:hAnsi="Arial" w:cs="Arial"/>
        </w:rPr>
        <w:t xml:space="preserve"> </w:t>
      </w:r>
      <w:r w:rsidR="00AE25AB" w:rsidRPr="00AE25AB">
        <w:rPr>
          <w:rFonts w:ascii="Arial" w:hAnsi="Arial" w:cs="Arial"/>
        </w:rPr>
        <w:t xml:space="preserve">Section 2 of the </w:t>
      </w:r>
      <w:r w:rsidR="00054E14">
        <w:rPr>
          <w:rFonts w:ascii="Arial" w:hAnsi="Arial" w:cs="Arial"/>
        </w:rPr>
        <w:t>Homicide</w:t>
      </w:r>
      <w:r w:rsidR="00AE25AB" w:rsidRPr="00AE25AB">
        <w:rPr>
          <w:rFonts w:ascii="Arial" w:hAnsi="Arial" w:cs="Arial"/>
        </w:rPr>
        <w:t xml:space="preserve"> Act of 1957 had to be changed in order to address issues with the murder statute's rigidity. The </w:t>
      </w:r>
      <w:r w:rsidR="00286265">
        <w:rPr>
          <w:rFonts w:ascii="Arial" w:hAnsi="Arial" w:cs="Arial"/>
        </w:rPr>
        <w:t>outdated</w:t>
      </w:r>
      <w:r w:rsidR="00AE25AB" w:rsidRPr="00AE25AB">
        <w:rPr>
          <w:rFonts w:ascii="Arial" w:hAnsi="Arial" w:cs="Arial"/>
        </w:rPr>
        <w:t xml:space="preserve"> legislation required proof of a person's intent to murder or cause great bodily harm, which might result in harsh and disproportionate punishment in some cases. The new law created by the Coroners and Justice Act 2009 provides for extra flexibility in sentencing by permitting a partial defence of loss of control in particular circumstances (</w:t>
      </w:r>
      <w:r w:rsidR="00054E14" w:rsidRPr="00AE25AB">
        <w:rPr>
          <w:rFonts w:ascii="Arial" w:hAnsi="Arial" w:cs="Arial"/>
        </w:rPr>
        <w:t>Blackley</w:t>
      </w:r>
      <w:r w:rsidR="00AE25AB" w:rsidRPr="00AE25AB">
        <w:rPr>
          <w:rFonts w:ascii="Arial" w:hAnsi="Arial" w:cs="Arial"/>
        </w:rPr>
        <w:t>, 2014).</w:t>
      </w:r>
    </w:p>
    <w:p w14:paraId="496CB639" w14:textId="77777777" w:rsidR="00AE25AB" w:rsidRPr="00F86D7F" w:rsidRDefault="00AE25AB" w:rsidP="00F86D7F">
      <w:pPr>
        <w:rPr>
          <w:rFonts w:ascii="Arial" w:hAnsi="Arial" w:cs="Arial"/>
        </w:rPr>
      </w:pPr>
    </w:p>
    <w:p w14:paraId="65961C55" w14:textId="3004E1AC" w:rsidR="0092798E" w:rsidRDefault="00954F25" w:rsidP="00F86D7F">
      <w:pPr>
        <w:rPr>
          <w:rFonts w:ascii="Arial" w:hAnsi="Arial" w:cs="Arial"/>
        </w:rPr>
      </w:pPr>
      <w:r w:rsidRPr="00CA364C">
        <w:rPr>
          <w:rFonts w:ascii="Arial" w:hAnsi="Arial" w:cs="Arial"/>
        </w:rPr>
        <w:t xml:space="preserve">In </w:t>
      </w:r>
      <w:proofErr w:type="gramStart"/>
      <w:r w:rsidRPr="00CA364C">
        <w:rPr>
          <w:rFonts w:ascii="Arial" w:hAnsi="Arial" w:cs="Arial"/>
        </w:rPr>
        <w:t>addition</w:t>
      </w:r>
      <w:proofErr w:type="gramEnd"/>
      <w:r w:rsidRPr="00CA364C">
        <w:rPr>
          <w:rFonts w:ascii="Arial" w:hAnsi="Arial" w:cs="Arial"/>
        </w:rPr>
        <w:t xml:space="preserve"> s</w:t>
      </w:r>
      <w:r w:rsidR="00F86D7F" w:rsidRPr="00CA364C">
        <w:rPr>
          <w:rFonts w:ascii="Arial" w:hAnsi="Arial" w:cs="Arial"/>
        </w:rPr>
        <w:t xml:space="preserve">ection 2 of the homicide act 1957 has now since been amended by the </w:t>
      </w:r>
      <w:r w:rsidR="00D112DE" w:rsidRPr="00CA364C">
        <w:rPr>
          <w:rFonts w:ascii="Arial" w:hAnsi="Arial" w:cs="Arial"/>
        </w:rPr>
        <w:t>C</w:t>
      </w:r>
      <w:r w:rsidR="00F86D7F" w:rsidRPr="00CA364C">
        <w:rPr>
          <w:rFonts w:ascii="Arial" w:hAnsi="Arial" w:cs="Arial"/>
        </w:rPr>
        <w:t xml:space="preserve">oroners and </w:t>
      </w:r>
      <w:r w:rsidR="00D112DE" w:rsidRPr="00CA364C">
        <w:rPr>
          <w:rFonts w:ascii="Arial" w:hAnsi="Arial" w:cs="Arial"/>
        </w:rPr>
        <w:t>J</w:t>
      </w:r>
      <w:r w:rsidR="00F86D7F" w:rsidRPr="00CA364C">
        <w:rPr>
          <w:rFonts w:ascii="Arial" w:hAnsi="Arial" w:cs="Arial"/>
        </w:rPr>
        <w:t xml:space="preserve">ustice act </w:t>
      </w:r>
      <w:r w:rsidR="002A15E8" w:rsidRPr="00CA364C">
        <w:rPr>
          <w:rFonts w:ascii="Arial" w:hAnsi="Arial" w:cs="Arial"/>
        </w:rPr>
        <w:t>[</w:t>
      </w:r>
      <w:r w:rsidR="00F86D7F" w:rsidRPr="00CA364C">
        <w:rPr>
          <w:rFonts w:ascii="Arial" w:hAnsi="Arial" w:cs="Arial"/>
        </w:rPr>
        <w:t>2009</w:t>
      </w:r>
      <w:r w:rsidR="002A15E8" w:rsidRPr="00CA364C">
        <w:rPr>
          <w:rFonts w:ascii="Arial" w:hAnsi="Arial" w:cs="Arial"/>
        </w:rPr>
        <w:t>]</w:t>
      </w:r>
      <w:r w:rsidR="00F86D7F" w:rsidRPr="00CA364C">
        <w:rPr>
          <w:rFonts w:ascii="Arial" w:hAnsi="Arial" w:cs="Arial"/>
        </w:rPr>
        <w:t>. The act now states that "the defendant must show that he/she suffered from an abnormality of mental functioning, arising from a recognised medical condition, which provides an explanation for committing the killing".</w:t>
      </w:r>
      <w:r w:rsidR="0047261A" w:rsidRPr="00CA364C">
        <w:t xml:space="preserve"> </w:t>
      </w:r>
      <w:r w:rsidR="0047261A" w:rsidRPr="00CA364C">
        <w:rPr>
          <w:rFonts w:ascii="Arial" w:hAnsi="Arial" w:cs="Arial"/>
        </w:rPr>
        <w:t>According to the Homicide Act of 1957, the defendant must demonstrate that he had a mental abnormality caused by a recognised condition, such as clinical depression, schizophrenia</w:t>
      </w:r>
      <w:r w:rsidR="0047261A" w:rsidRPr="0047261A">
        <w:rPr>
          <w:rFonts w:ascii="Arial" w:hAnsi="Arial" w:cs="Arial"/>
        </w:rPr>
        <w:t>, battered woman's syndrome, premenstrual tension and postpartum depression, paranoia, and personality disorders, which significantly affected his capacity to comprehend his actions, make an informed decision, or exercise self-</w:t>
      </w:r>
      <w:r w:rsidR="0047261A" w:rsidRPr="00CA364C">
        <w:rPr>
          <w:rFonts w:ascii="Arial" w:hAnsi="Arial" w:cs="Arial"/>
        </w:rPr>
        <w:t>control</w:t>
      </w:r>
      <w:r w:rsidR="00883BA5" w:rsidRPr="00CA364C">
        <w:rPr>
          <w:rFonts w:ascii="Arial" w:hAnsi="Arial" w:cs="Arial"/>
        </w:rPr>
        <w:t xml:space="preserve"> </w:t>
      </w:r>
      <w:r w:rsidR="00286265" w:rsidRPr="00CA364C">
        <w:rPr>
          <w:rFonts w:ascii="Arial" w:hAnsi="Arial" w:cs="Arial"/>
        </w:rPr>
        <w:t>(Brett, 2017).</w:t>
      </w:r>
      <w:r w:rsidR="00286265">
        <w:rPr>
          <w:rFonts w:ascii="Arial" w:hAnsi="Arial" w:cs="Arial"/>
        </w:rPr>
        <w:t xml:space="preserve"> </w:t>
      </w:r>
    </w:p>
    <w:p w14:paraId="7CE8CABF" w14:textId="3E645F32" w:rsidR="00F86D7F" w:rsidRPr="00F86D7F" w:rsidRDefault="0092798E" w:rsidP="00F86D7F">
      <w:pPr>
        <w:rPr>
          <w:rFonts w:ascii="Arial" w:hAnsi="Arial" w:cs="Arial"/>
        </w:rPr>
      </w:pPr>
      <w:r>
        <w:rPr>
          <w:rFonts w:ascii="Arial" w:hAnsi="Arial" w:cs="Arial"/>
        </w:rPr>
        <w:t>Furthermore</w:t>
      </w:r>
      <w:r w:rsidR="005D7B7A">
        <w:rPr>
          <w:rFonts w:ascii="Arial" w:hAnsi="Arial" w:cs="Arial"/>
        </w:rPr>
        <w:t>,</w:t>
      </w:r>
      <w:r>
        <w:rPr>
          <w:rFonts w:ascii="Arial" w:hAnsi="Arial" w:cs="Arial"/>
        </w:rPr>
        <w:t xml:space="preserve"> t</w:t>
      </w:r>
      <w:r w:rsidR="00F86D7F" w:rsidRPr="00F86D7F">
        <w:rPr>
          <w:rFonts w:ascii="Arial" w:hAnsi="Arial" w:cs="Arial"/>
        </w:rPr>
        <w:t xml:space="preserve">he legislation was changed as it received criticism for the phrase "abnormality of mind" not being a psychiatric word, </w:t>
      </w:r>
      <w:proofErr w:type="gramStart"/>
      <w:r w:rsidR="00F86D7F" w:rsidRPr="00F86D7F">
        <w:rPr>
          <w:rFonts w:ascii="Arial" w:hAnsi="Arial" w:cs="Arial"/>
        </w:rPr>
        <w:t>A large number of</w:t>
      </w:r>
      <w:proofErr w:type="gramEnd"/>
      <w:r w:rsidR="00F86D7F" w:rsidRPr="00F86D7F">
        <w:rPr>
          <w:rFonts w:ascii="Arial" w:hAnsi="Arial" w:cs="Arial"/>
        </w:rPr>
        <w:t xml:space="preserve"> the "conditions" that come under the phrase "abnormality of mind" did</w:t>
      </w:r>
      <w:r w:rsidR="00286265">
        <w:rPr>
          <w:rFonts w:ascii="Arial" w:hAnsi="Arial" w:cs="Arial"/>
        </w:rPr>
        <w:t xml:space="preserve"> not</w:t>
      </w:r>
      <w:r w:rsidR="00F86D7F" w:rsidRPr="00F86D7F">
        <w:rPr>
          <w:rFonts w:ascii="Arial" w:hAnsi="Arial" w:cs="Arial"/>
        </w:rPr>
        <w:t xml:space="preserve"> fit into the diagnostic categories of current psychiatric definitions (Liu, 2018). Liu (2018) also states that The UK's </w:t>
      </w:r>
      <w:r w:rsidR="00286265">
        <w:rPr>
          <w:rFonts w:ascii="Arial" w:hAnsi="Arial" w:cs="Arial"/>
        </w:rPr>
        <w:t>Homicide</w:t>
      </w:r>
      <w:r w:rsidR="00F86D7F" w:rsidRPr="00F86D7F">
        <w:rPr>
          <w:rFonts w:ascii="Arial" w:hAnsi="Arial" w:cs="Arial"/>
        </w:rPr>
        <w:t xml:space="preserve"> Act 1957 Section 2 law on the partial defence of diminished responsibility has been critici</w:t>
      </w:r>
      <w:r w:rsidR="00286265">
        <w:rPr>
          <w:rFonts w:ascii="Arial" w:hAnsi="Arial" w:cs="Arial"/>
        </w:rPr>
        <w:t>s</w:t>
      </w:r>
      <w:r w:rsidR="00F86D7F" w:rsidRPr="00F86D7F">
        <w:rPr>
          <w:rFonts w:ascii="Arial" w:hAnsi="Arial" w:cs="Arial"/>
        </w:rPr>
        <w:t>ed for being "out-of-date" and failing to keep up with developments in modern medicine. In the UK, the Law Commission started a survey to get input on the suggested changes to the murder statute. Significantly, the Commission released two reports in 2004 and 2006, titled Partial defences to Murder and Murder, Manslaughter, and Infanticide</w:t>
      </w:r>
      <w:r w:rsidR="00F86D7F" w:rsidRPr="00286265">
        <w:rPr>
          <w:rFonts w:ascii="Arial" w:hAnsi="Arial" w:cs="Arial"/>
          <w:highlight w:val="magenta"/>
        </w:rPr>
        <w:t>.</w:t>
      </w:r>
      <w:r w:rsidR="00F86D7F" w:rsidRPr="00F86D7F">
        <w:rPr>
          <w:rFonts w:ascii="Arial" w:hAnsi="Arial" w:cs="Arial"/>
        </w:rPr>
        <w:t xml:space="preserve"> </w:t>
      </w:r>
      <w:r w:rsidR="00424226" w:rsidRPr="00424226">
        <w:rPr>
          <w:rFonts w:ascii="Arial" w:hAnsi="Arial" w:cs="Arial"/>
        </w:rPr>
        <w:t xml:space="preserve">According to the UK Law Commission study, the prior law did not specify how an aberration of mind could lessen the penalty for intentional death. As a result, Section 52 of the Coroners and Justice Act of 2009 established the qualification and said that "substantial impairment" must damage one's abilities to understand the conduct, make a reasoned judgement, or exercise self-control. The new law gave psychiatrists clearer instructions to concentrate on the assessments of </w:t>
      </w:r>
      <w:proofErr w:type="gramStart"/>
      <w:r w:rsidR="00424226" w:rsidRPr="00424226">
        <w:rPr>
          <w:rFonts w:ascii="Arial" w:hAnsi="Arial" w:cs="Arial"/>
        </w:rPr>
        <w:t>particular capacities</w:t>
      </w:r>
      <w:proofErr w:type="gramEnd"/>
      <w:r w:rsidR="00424226" w:rsidRPr="00424226">
        <w:rPr>
          <w:rFonts w:ascii="Arial" w:hAnsi="Arial" w:cs="Arial"/>
        </w:rPr>
        <w:t xml:space="preserve"> of mental functioning, as opposed to the old "substantial impairment of medical responsibility," which referred to moral impairment. This would likely relieve psychiatrists of the need to </w:t>
      </w:r>
      <w:proofErr w:type="gramStart"/>
      <w:r w:rsidR="00424226" w:rsidRPr="00424226">
        <w:rPr>
          <w:rFonts w:ascii="Arial" w:hAnsi="Arial" w:cs="Arial"/>
        </w:rPr>
        <w:t>take into account</w:t>
      </w:r>
      <w:proofErr w:type="gramEnd"/>
      <w:r w:rsidR="00424226" w:rsidRPr="00424226">
        <w:rPr>
          <w:rFonts w:ascii="Arial" w:hAnsi="Arial" w:cs="Arial"/>
        </w:rPr>
        <w:t xml:space="preserve"> the non-medical part of morality. The new law makes the duties of the jury and medical experts more separate and contributes to greater clarification</w:t>
      </w:r>
      <w:r w:rsidR="00D22737">
        <w:rPr>
          <w:rFonts w:ascii="Arial" w:hAnsi="Arial" w:cs="Arial"/>
        </w:rPr>
        <w:t xml:space="preserve"> </w:t>
      </w:r>
      <w:sdt>
        <w:sdtPr>
          <w:rPr>
            <w:rFonts w:ascii="Arial" w:hAnsi="Arial" w:cs="Arial"/>
          </w:rPr>
          <w:id w:val="-1148505656"/>
          <w:citation/>
        </w:sdtPr>
        <w:sdtEndPr/>
        <w:sdtContent>
          <w:r w:rsidR="00D22737">
            <w:rPr>
              <w:rFonts w:ascii="Arial" w:hAnsi="Arial" w:cs="Arial"/>
            </w:rPr>
            <w:fldChar w:fldCharType="begin"/>
          </w:r>
          <w:r w:rsidR="00D22737">
            <w:rPr>
              <w:rFonts w:ascii="Arial" w:hAnsi="Arial" w:cs="Arial"/>
            </w:rPr>
            <w:instrText xml:space="preserve"> CITATION Amy18 \l 2057 </w:instrText>
          </w:r>
          <w:r w:rsidR="00D22737">
            <w:rPr>
              <w:rFonts w:ascii="Arial" w:hAnsi="Arial" w:cs="Arial"/>
            </w:rPr>
            <w:fldChar w:fldCharType="separate"/>
          </w:r>
          <w:r w:rsidR="00D6159C" w:rsidRPr="00D6159C">
            <w:rPr>
              <w:rFonts w:ascii="Arial" w:hAnsi="Arial" w:cs="Arial"/>
              <w:noProof/>
            </w:rPr>
            <w:t>(Liu, 2018)</w:t>
          </w:r>
          <w:r w:rsidR="00D22737">
            <w:rPr>
              <w:rFonts w:ascii="Arial" w:hAnsi="Arial" w:cs="Arial"/>
            </w:rPr>
            <w:fldChar w:fldCharType="end"/>
          </w:r>
        </w:sdtContent>
      </w:sdt>
      <w:r w:rsidR="00424226" w:rsidRPr="00424226">
        <w:rPr>
          <w:rFonts w:ascii="Arial" w:hAnsi="Arial" w:cs="Arial"/>
        </w:rPr>
        <w:t>.</w:t>
      </w:r>
      <w:r w:rsidR="00F7273A">
        <w:rPr>
          <w:rFonts w:ascii="Arial" w:hAnsi="Arial" w:cs="Arial"/>
        </w:rPr>
        <w:t xml:space="preserve"> </w:t>
      </w:r>
      <w:r w:rsidR="00F86D7F" w:rsidRPr="00F86D7F">
        <w:rPr>
          <w:rFonts w:ascii="Arial" w:hAnsi="Arial" w:cs="Arial"/>
        </w:rPr>
        <w:t xml:space="preserve">The public and the commission </w:t>
      </w:r>
      <w:proofErr w:type="gramStart"/>
      <w:r w:rsidR="00F86D7F" w:rsidRPr="00F86D7F">
        <w:rPr>
          <w:rFonts w:ascii="Arial" w:hAnsi="Arial" w:cs="Arial"/>
        </w:rPr>
        <w:t>came to the conclusion</w:t>
      </w:r>
      <w:proofErr w:type="gramEnd"/>
      <w:r w:rsidR="00F86D7F" w:rsidRPr="00F86D7F">
        <w:rPr>
          <w:rFonts w:ascii="Arial" w:hAnsi="Arial" w:cs="Arial"/>
        </w:rPr>
        <w:t xml:space="preserve"> that legal reform was required. The Coroners and Justice Act of 2009, Section 52(1), reflects the amendments that resulted in the law of diminished responsibility. As a result, Section 2(1) of the </w:t>
      </w:r>
      <w:r w:rsidR="000816FA">
        <w:rPr>
          <w:rFonts w:ascii="Arial" w:hAnsi="Arial" w:cs="Arial"/>
        </w:rPr>
        <w:t>Homicide</w:t>
      </w:r>
      <w:r w:rsidR="00F86D7F" w:rsidRPr="00F86D7F">
        <w:rPr>
          <w:rFonts w:ascii="Arial" w:hAnsi="Arial" w:cs="Arial"/>
        </w:rPr>
        <w:t xml:space="preserve"> Act of 1957 was amended.  </w:t>
      </w:r>
    </w:p>
    <w:p w14:paraId="09B70989" w14:textId="77777777" w:rsidR="00F86D7F" w:rsidRPr="00F86D7F" w:rsidRDefault="00F86D7F" w:rsidP="00F86D7F">
      <w:pPr>
        <w:rPr>
          <w:rFonts w:ascii="Arial" w:hAnsi="Arial" w:cs="Arial"/>
        </w:rPr>
      </w:pPr>
    </w:p>
    <w:p w14:paraId="065E105E" w14:textId="69B11EF6" w:rsidR="00743790" w:rsidRDefault="00F7273A" w:rsidP="00032BC2">
      <w:pPr>
        <w:rPr>
          <w:rFonts w:ascii="Arial" w:hAnsi="Arial" w:cs="Arial"/>
        </w:rPr>
      </w:pPr>
      <w:r>
        <w:rPr>
          <w:rFonts w:ascii="Arial" w:hAnsi="Arial" w:cs="Arial"/>
        </w:rPr>
        <w:t>However, t</w:t>
      </w:r>
      <w:r w:rsidR="00F86D7F" w:rsidRPr="00F86D7F">
        <w:rPr>
          <w:rFonts w:ascii="Arial" w:hAnsi="Arial" w:cs="Arial"/>
        </w:rPr>
        <w:t xml:space="preserve">he main changes that section 52 </w:t>
      </w:r>
      <w:r w:rsidR="00972E23">
        <w:rPr>
          <w:rFonts w:ascii="Arial" w:hAnsi="Arial" w:cs="Arial"/>
        </w:rPr>
        <w:t>C</w:t>
      </w:r>
      <w:r w:rsidR="00F86D7F" w:rsidRPr="00F86D7F">
        <w:rPr>
          <w:rFonts w:ascii="Arial" w:hAnsi="Arial" w:cs="Arial"/>
        </w:rPr>
        <w:t xml:space="preserve">oroners and </w:t>
      </w:r>
      <w:r w:rsidR="00972E23">
        <w:rPr>
          <w:rFonts w:ascii="Arial" w:hAnsi="Arial" w:cs="Arial"/>
        </w:rPr>
        <w:t>J</w:t>
      </w:r>
      <w:r w:rsidR="00F86D7F" w:rsidRPr="00F86D7F">
        <w:rPr>
          <w:rFonts w:ascii="Arial" w:hAnsi="Arial" w:cs="Arial"/>
        </w:rPr>
        <w:t>ustice act 2009 made were</w:t>
      </w:r>
      <w:r>
        <w:rPr>
          <w:rFonts w:ascii="Arial" w:hAnsi="Arial" w:cs="Arial"/>
        </w:rPr>
        <w:t xml:space="preserve"> t</w:t>
      </w:r>
      <w:r w:rsidR="00F86D7F" w:rsidRPr="00F86D7F">
        <w:rPr>
          <w:rFonts w:ascii="Arial" w:hAnsi="Arial" w:cs="Arial"/>
        </w:rPr>
        <w:t xml:space="preserve">he </w:t>
      </w:r>
      <w:r w:rsidR="00972E23">
        <w:rPr>
          <w:rFonts w:ascii="Arial" w:hAnsi="Arial" w:cs="Arial"/>
        </w:rPr>
        <w:t>H</w:t>
      </w:r>
      <w:r w:rsidR="00972E23" w:rsidRPr="00F86D7F">
        <w:rPr>
          <w:rFonts w:ascii="Arial" w:hAnsi="Arial" w:cs="Arial"/>
        </w:rPr>
        <w:t>omicide</w:t>
      </w:r>
      <w:r w:rsidR="00F86D7F" w:rsidRPr="00F86D7F">
        <w:rPr>
          <w:rFonts w:ascii="Arial" w:hAnsi="Arial" w:cs="Arial"/>
        </w:rPr>
        <w:t xml:space="preserve"> Act of 1957's Section 2(1) is replaced by three new subsections in Section 52 of the Coroners and Justice Act of 2009. </w:t>
      </w:r>
      <w:r w:rsidR="00CA364C" w:rsidRPr="00CA364C">
        <w:rPr>
          <w:rFonts w:ascii="Arial" w:hAnsi="Arial" w:cs="Arial"/>
        </w:rPr>
        <w:t>Although "abnormality of mind" has been replaced with "abnormality of mental functioning," and "abnormality of mental functioning" must now result from a "recognised medical condition," the effect of a successful plea of diminished responsibility remains unchanged, resulting in a verdict of manslaughter rather than murder, and the burden of proof for the defence remains on the defence to establish the defence on the balance of probabilities (</w:t>
      </w:r>
      <w:proofErr w:type="spellStart"/>
      <w:r w:rsidR="00CA364C" w:rsidRPr="00CA364C">
        <w:rPr>
          <w:rFonts w:ascii="Arial" w:hAnsi="Arial" w:cs="Arial"/>
        </w:rPr>
        <w:t>Houten</w:t>
      </w:r>
      <w:proofErr w:type="spellEnd"/>
      <w:r w:rsidR="00CA364C" w:rsidRPr="00CA364C">
        <w:rPr>
          <w:rFonts w:ascii="Arial" w:hAnsi="Arial" w:cs="Arial"/>
        </w:rPr>
        <w:t>, 2021).</w:t>
      </w:r>
      <w:r w:rsidR="00CA364C">
        <w:rPr>
          <w:rFonts w:ascii="Arial" w:hAnsi="Arial" w:cs="Arial"/>
        </w:rPr>
        <w:t xml:space="preserve"> </w:t>
      </w:r>
      <w:r w:rsidR="00743790">
        <w:rPr>
          <w:rFonts w:ascii="Arial" w:hAnsi="Arial" w:cs="Arial"/>
        </w:rPr>
        <w:t xml:space="preserve">Overall, </w:t>
      </w:r>
      <w:r w:rsidR="00743790" w:rsidRPr="00743790">
        <w:rPr>
          <w:rFonts w:ascii="Arial" w:hAnsi="Arial" w:cs="Arial"/>
        </w:rPr>
        <w:t xml:space="preserve">The Coroners and Justice Act 2009 amendments have made it easier to understand how to apply and interpret the defence. By demanding proof of a recognized medical condition that meets the most recent psychiatric diagnostic standards, Section 52 aims to update the legislation. Additionally, it defines "substantial impairment" and states that it must have greatly influenced the defendant's actions in committing the </w:t>
      </w:r>
      <w:r w:rsidR="00743790">
        <w:rPr>
          <w:rFonts w:ascii="Arial" w:hAnsi="Arial" w:cs="Arial"/>
        </w:rPr>
        <w:t>H</w:t>
      </w:r>
      <w:r w:rsidR="00743790" w:rsidRPr="00743790">
        <w:rPr>
          <w:rFonts w:ascii="Arial" w:hAnsi="Arial" w:cs="Arial"/>
        </w:rPr>
        <w:t>omicide</w:t>
      </w:r>
      <w:r w:rsidR="00743790">
        <w:rPr>
          <w:rFonts w:ascii="Arial" w:hAnsi="Arial" w:cs="Arial"/>
        </w:rPr>
        <w:t xml:space="preserve"> </w:t>
      </w:r>
      <w:sdt>
        <w:sdtPr>
          <w:rPr>
            <w:rFonts w:ascii="Arial" w:hAnsi="Arial" w:cs="Arial"/>
          </w:rPr>
          <w:id w:val="1464460372"/>
          <w:citation/>
        </w:sdtPr>
        <w:sdtEndPr/>
        <w:sdtContent>
          <w:r w:rsidR="00012AD6">
            <w:rPr>
              <w:rFonts w:ascii="Arial" w:hAnsi="Arial" w:cs="Arial"/>
            </w:rPr>
            <w:fldChar w:fldCharType="begin"/>
          </w:r>
          <w:r w:rsidR="00012AD6">
            <w:rPr>
              <w:rFonts w:ascii="Arial" w:hAnsi="Arial" w:cs="Arial"/>
            </w:rPr>
            <w:instrText xml:space="preserve"> CITATION Sar11 \l 2057 </w:instrText>
          </w:r>
          <w:r w:rsidR="00012AD6">
            <w:rPr>
              <w:rFonts w:ascii="Arial" w:hAnsi="Arial" w:cs="Arial"/>
            </w:rPr>
            <w:fldChar w:fldCharType="separate"/>
          </w:r>
          <w:r w:rsidR="00D6159C" w:rsidRPr="00D6159C">
            <w:rPr>
              <w:rFonts w:ascii="Arial" w:hAnsi="Arial" w:cs="Arial"/>
              <w:noProof/>
            </w:rPr>
            <w:t>(Hodgkinson, 2011)</w:t>
          </w:r>
          <w:r w:rsidR="00012AD6">
            <w:rPr>
              <w:rFonts w:ascii="Arial" w:hAnsi="Arial" w:cs="Arial"/>
            </w:rPr>
            <w:fldChar w:fldCharType="end"/>
          </w:r>
        </w:sdtContent>
      </w:sdt>
      <w:r w:rsidR="00743790" w:rsidRPr="00743790">
        <w:rPr>
          <w:rFonts w:ascii="Arial" w:hAnsi="Arial" w:cs="Arial"/>
        </w:rPr>
        <w:t>.</w:t>
      </w:r>
    </w:p>
    <w:p w14:paraId="2AFF55BA" w14:textId="79247309" w:rsidR="00032BC2" w:rsidRPr="00032BC2" w:rsidRDefault="00F86D7F" w:rsidP="00032BC2">
      <w:pPr>
        <w:rPr>
          <w:rFonts w:ascii="Arial" w:hAnsi="Arial" w:cs="Arial"/>
        </w:rPr>
      </w:pPr>
      <w:r w:rsidRPr="00F86D7F">
        <w:rPr>
          <w:rFonts w:ascii="Arial" w:hAnsi="Arial" w:cs="Arial"/>
        </w:rPr>
        <w:t>the defendant will now have to prove that his ability to do one or perhaps more things specifically his capability to understand the nature of his behaviour to form a reasonable judgement, or to exercise self-control was substantially impaired. Previously, he had to demonstrate that his mental responsibility was significantly impaired (Gov.UK</w:t>
      </w:r>
      <w:r w:rsidR="00B46875">
        <w:rPr>
          <w:rFonts w:ascii="Arial" w:hAnsi="Arial" w:cs="Arial"/>
        </w:rPr>
        <w:t xml:space="preserve"> </w:t>
      </w:r>
      <w:r w:rsidRPr="00F86D7F">
        <w:rPr>
          <w:rFonts w:ascii="Arial" w:hAnsi="Arial" w:cs="Arial"/>
        </w:rPr>
        <w:t xml:space="preserve">2010). Overall, The Coroners and Justice Act (2009) brought about substantial reforms to the English legal system regarding the diminished responsibility defence. In the past, </w:t>
      </w:r>
      <w:proofErr w:type="gramStart"/>
      <w:r w:rsidRPr="00F86D7F">
        <w:rPr>
          <w:rFonts w:ascii="Arial" w:hAnsi="Arial" w:cs="Arial"/>
        </w:rPr>
        <w:t>in order to</w:t>
      </w:r>
      <w:proofErr w:type="gramEnd"/>
      <w:r w:rsidRPr="00F86D7F">
        <w:rPr>
          <w:rFonts w:ascii="Arial" w:hAnsi="Arial" w:cs="Arial"/>
        </w:rPr>
        <w:t xml:space="preserve"> use the defence of diminished responsibility</w:t>
      </w:r>
      <w:r w:rsidRPr="00CA364C">
        <w:rPr>
          <w:rFonts w:ascii="Arial" w:hAnsi="Arial" w:cs="Arial"/>
        </w:rPr>
        <w:t>, the prosecution had</w:t>
      </w:r>
      <w:r w:rsidRPr="00F86D7F">
        <w:rPr>
          <w:rFonts w:ascii="Arial" w:hAnsi="Arial" w:cs="Arial"/>
        </w:rPr>
        <w:t xml:space="preserve"> to prove that the defendant was suffering from an impairment of mental functioning that was the direct result of a diagnosable medical disease. The new legislation that came into effect </w:t>
      </w:r>
      <w:proofErr w:type="gramStart"/>
      <w:r w:rsidRPr="00F86D7F">
        <w:rPr>
          <w:rFonts w:ascii="Arial" w:hAnsi="Arial" w:cs="Arial"/>
        </w:rPr>
        <w:t>as a result of</w:t>
      </w:r>
      <w:proofErr w:type="gramEnd"/>
      <w:r w:rsidRPr="00F86D7F">
        <w:rPr>
          <w:rFonts w:ascii="Arial" w:hAnsi="Arial" w:cs="Arial"/>
        </w:rPr>
        <w:t xml:space="preserve"> the </w:t>
      </w:r>
      <w:r w:rsidR="00D51646">
        <w:rPr>
          <w:rFonts w:ascii="Arial" w:hAnsi="Arial" w:cs="Arial"/>
        </w:rPr>
        <w:t xml:space="preserve">Homicide act (2009) </w:t>
      </w:r>
      <w:r w:rsidRPr="00F86D7F">
        <w:rPr>
          <w:rFonts w:ascii="Arial" w:hAnsi="Arial" w:cs="Arial"/>
        </w:rPr>
        <w:t>widened the scope of the concept of the defence and elucidated the requirements for exercising it.</w:t>
      </w:r>
      <w:r w:rsidR="00032BC2" w:rsidRPr="00032BC2">
        <w:t xml:space="preserve"> </w:t>
      </w:r>
      <w:r w:rsidR="00032BC2" w:rsidRPr="00032BC2">
        <w:rPr>
          <w:rFonts w:ascii="Arial" w:hAnsi="Arial" w:cs="Arial"/>
        </w:rPr>
        <w:t xml:space="preserve">The burden of proof in diminished responsibility trials in the UK lies on the defence to prove that the defendant was suffering from a recognised mental condition at the time of the offence, which substantially hindered their capacity to control their actions. This defence reduces murder charges to manslaughter, potentially reducing sentences. </w:t>
      </w:r>
    </w:p>
    <w:p w14:paraId="20889132" w14:textId="77777777" w:rsidR="00032BC2" w:rsidRPr="00032BC2" w:rsidRDefault="00032BC2" w:rsidP="00032BC2">
      <w:pPr>
        <w:rPr>
          <w:rFonts w:ascii="Arial" w:hAnsi="Arial" w:cs="Arial"/>
        </w:rPr>
      </w:pPr>
    </w:p>
    <w:p w14:paraId="4DF581E5" w14:textId="00050D81" w:rsidR="00F86D7F" w:rsidRPr="00F86D7F" w:rsidRDefault="00032BC2" w:rsidP="00032BC2">
      <w:pPr>
        <w:rPr>
          <w:rFonts w:ascii="Arial" w:hAnsi="Arial" w:cs="Arial"/>
        </w:rPr>
      </w:pPr>
      <w:r w:rsidRPr="00032BC2">
        <w:rPr>
          <w:rFonts w:ascii="Arial" w:hAnsi="Arial" w:cs="Arial"/>
        </w:rPr>
        <w:t xml:space="preserve">According to the </w:t>
      </w:r>
      <w:r w:rsidR="00FF7C66">
        <w:rPr>
          <w:rFonts w:ascii="Arial" w:hAnsi="Arial" w:cs="Arial"/>
        </w:rPr>
        <w:t>homicide</w:t>
      </w:r>
      <w:r w:rsidRPr="00032BC2">
        <w:rPr>
          <w:rFonts w:ascii="Arial" w:hAnsi="Arial" w:cs="Arial"/>
        </w:rPr>
        <w:t xml:space="preserve"> Act1957, the defence must produce evidence that the defendant was suffering from a recognised medical condition, such as schizophrenia or depression, and that their condition led them to commit the offence. In the case of R v Byrne [1960], the abnormality must significantly impair the defendant's mental responsibility. The burden of proof is on the defence to prove that the defendant meets the requirements for reduced responsibility. The prosecution can question the facts offered by the defence and argue that the defendant's conduct </w:t>
      </w:r>
      <w:proofErr w:type="gramStart"/>
      <w:r w:rsidRPr="00032BC2">
        <w:rPr>
          <w:rFonts w:ascii="Arial" w:hAnsi="Arial" w:cs="Arial"/>
        </w:rPr>
        <w:t>were</w:t>
      </w:r>
      <w:proofErr w:type="gramEnd"/>
      <w:r w:rsidRPr="00032BC2">
        <w:rPr>
          <w:rFonts w:ascii="Arial" w:hAnsi="Arial" w:cs="Arial"/>
        </w:rPr>
        <w:t xml:space="preserve"> not substantially affected by their mental condition. However, it is the role of the jury to determine whether the defence has fulfilled the burden of proof in the case</w:t>
      </w:r>
      <w:r w:rsidR="00A20ED7">
        <w:rPr>
          <w:rFonts w:ascii="Arial" w:hAnsi="Arial" w:cs="Arial"/>
        </w:rPr>
        <w:t xml:space="preserve"> </w:t>
      </w:r>
      <w:sdt>
        <w:sdtPr>
          <w:rPr>
            <w:rFonts w:ascii="Arial" w:hAnsi="Arial" w:cs="Arial"/>
          </w:rPr>
          <w:id w:val="-960487262"/>
          <w:citation/>
        </w:sdtPr>
        <w:sdtEndPr/>
        <w:sdtContent>
          <w:r w:rsidR="00FF7C66">
            <w:rPr>
              <w:rFonts w:ascii="Arial" w:hAnsi="Arial" w:cs="Arial"/>
            </w:rPr>
            <w:fldChar w:fldCharType="begin"/>
          </w:r>
          <w:r w:rsidR="00FF7C66">
            <w:rPr>
              <w:rFonts w:ascii="Arial" w:hAnsi="Arial" w:cs="Arial"/>
            </w:rPr>
            <w:instrText xml:space="preserve"> CITATION Lou18 \l 2057 </w:instrText>
          </w:r>
          <w:r w:rsidR="00FF7C66">
            <w:rPr>
              <w:rFonts w:ascii="Arial" w:hAnsi="Arial" w:cs="Arial"/>
            </w:rPr>
            <w:fldChar w:fldCharType="separate"/>
          </w:r>
          <w:r w:rsidR="00D6159C" w:rsidRPr="00D6159C">
            <w:rPr>
              <w:rFonts w:ascii="Arial" w:hAnsi="Arial" w:cs="Arial"/>
              <w:noProof/>
            </w:rPr>
            <w:t>(Taylor, 2018)</w:t>
          </w:r>
          <w:r w:rsidR="00FF7C66">
            <w:rPr>
              <w:rFonts w:ascii="Arial" w:hAnsi="Arial" w:cs="Arial"/>
            </w:rPr>
            <w:fldChar w:fldCharType="end"/>
          </w:r>
        </w:sdtContent>
      </w:sdt>
      <w:r w:rsidRPr="00032BC2">
        <w:rPr>
          <w:rFonts w:ascii="Arial" w:hAnsi="Arial" w:cs="Arial"/>
        </w:rPr>
        <w:t>.</w:t>
      </w:r>
      <w:r w:rsidR="00CF51D6">
        <w:rPr>
          <w:rFonts w:ascii="Arial" w:hAnsi="Arial" w:cs="Arial"/>
        </w:rPr>
        <w:t xml:space="preserve"> </w:t>
      </w:r>
    </w:p>
    <w:p w14:paraId="238C604D" w14:textId="77777777" w:rsidR="0043017B" w:rsidRPr="00F86D7F" w:rsidRDefault="0043017B" w:rsidP="00F86D7F">
      <w:pPr>
        <w:rPr>
          <w:rFonts w:ascii="Arial" w:hAnsi="Arial" w:cs="Arial"/>
        </w:rPr>
      </w:pPr>
    </w:p>
    <w:p w14:paraId="50FBEDE5" w14:textId="77777777" w:rsidR="00F86D7F" w:rsidRPr="00F86D7F" w:rsidRDefault="00F86D7F" w:rsidP="00F86D7F">
      <w:pPr>
        <w:rPr>
          <w:rFonts w:ascii="Arial" w:hAnsi="Arial" w:cs="Arial"/>
        </w:rPr>
      </w:pPr>
    </w:p>
    <w:p w14:paraId="5D48701E" w14:textId="446BBDDF" w:rsidR="00F86D7F" w:rsidRDefault="002929C1" w:rsidP="002929C1">
      <w:pPr>
        <w:rPr>
          <w:rFonts w:ascii="Arial" w:hAnsi="Arial" w:cs="Arial"/>
        </w:rPr>
      </w:pPr>
      <w:r w:rsidRPr="002929C1">
        <w:rPr>
          <w:rFonts w:ascii="Arial" w:hAnsi="Arial" w:cs="Arial"/>
        </w:rPr>
        <w:t xml:space="preserve">In conclusion, the Homicide Act of 1957 was replaced by the Coroners and Justice Act of 2009, marking a fundamental shift in the legal environment around homicide in England and Wales. The Homicide Act of 1957 had been criticised for being out-of-date and in need of reform, and the Coroners and Justice Act of 2009 was introduced in response. A more modern and equitable system of criminal justice is being shifted significantly by the modifications made by the 2009 Act. It is obvious that the Coroners and Justice Act 2009 has had a significant impact on how homicide cases are handled in England and Wales. Despite the criticisms of these changes, particularly in relation to their possible impact on vulnerable defendants, these changes have been welcomed by many. The Act has increased the focus on personal responsibility and accountability for offenders. Ultimately, </w:t>
      </w:r>
      <w:proofErr w:type="gramStart"/>
      <w:r w:rsidRPr="002929C1">
        <w:rPr>
          <w:rFonts w:ascii="Arial" w:hAnsi="Arial" w:cs="Arial"/>
        </w:rPr>
        <w:t>it is clear that the</w:t>
      </w:r>
      <w:proofErr w:type="gramEnd"/>
      <w:r w:rsidRPr="002929C1">
        <w:rPr>
          <w:rFonts w:ascii="Arial" w:hAnsi="Arial" w:cs="Arial"/>
        </w:rPr>
        <w:t xml:space="preserve"> Coroners and Justice Act 2009 marks a remarkable progress in the growth of the criminal justice system in England and Wales and will continue to influence the legal environment for many years to come.</w:t>
      </w:r>
    </w:p>
    <w:p w14:paraId="671E8043" w14:textId="77777777" w:rsidR="0093106D" w:rsidRPr="00F86D7F" w:rsidRDefault="0093106D" w:rsidP="00F86D7F">
      <w:pPr>
        <w:rPr>
          <w:rFonts w:ascii="Arial" w:hAnsi="Arial" w:cs="Arial"/>
        </w:rPr>
      </w:pPr>
    </w:p>
    <w:p w14:paraId="3F02048B" w14:textId="77777777" w:rsidR="00F86D7F" w:rsidRPr="00F86D7F" w:rsidRDefault="00F86D7F" w:rsidP="00F86D7F">
      <w:pPr>
        <w:rPr>
          <w:rFonts w:ascii="Arial" w:hAnsi="Arial" w:cs="Arial"/>
        </w:rPr>
      </w:pPr>
    </w:p>
    <w:p w14:paraId="4B751393" w14:textId="77777777" w:rsidR="00F86D7F" w:rsidRPr="00F86D7F" w:rsidRDefault="00F86D7F" w:rsidP="00F86D7F">
      <w:pPr>
        <w:rPr>
          <w:rFonts w:ascii="Arial" w:hAnsi="Arial" w:cs="Arial"/>
        </w:rPr>
      </w:pPr>
    </w:p>
    <w:p w14:paraId="657CC864" w14:textId="77777777" w:rsidR="00F86D7F" w:rsidRPr="00F86D7F" w:rsidRDefault="00F86D7F" w:rsidP="00F86D7F">
      <w:pPr>
        <w:rPr>
          <w:rFonts w:ascii="Arial" w:hAnsi="Arial" w:cs="Arial"/>
        </w:rPr>
      </w:pPr>
    </w:p>
    <w:p w14:paraId="7F2083EF" w14:textId="77777777" w:rsidR="00F86D7F" w:rsidRPr="00F86D7F" w:rsidRDefault="00F86D7F" w:rsidP="00F86D7F">
      <w:pPr>
        <w:rPr>
          <w:rFonts w:ascii="Arial" w:hAnsi="Arial" w:cs="Arial"/>
        </w:rPr>
      </w:pPr>
    </w:p>
    <w:p w14:paraId="1D725F56" w14:textId="77777777" w:rsidR="00F86D7F" w:rsidRPr="00F86D7F" w:rsidRDefault="00F86D7F" w:rsidP="00F86D7F">
      <w:pPr>
        <w:rPr>
          <w:rFonts w:ascii="Arial" w:hAnsi="Arial" w:cs="Arial"/>
        </w:rPr>
      </w:pPr>
    </w:p>
    <w:p w14:paraId="47C0354B" w14:textId="77777777" w:rsidR="00F86D7F" w:rsidRPr="00F86D7F" w:rsidRDefault="00F86D7F" w:rsidP="00F86D7F">
      <w:pPr>
        <w:rPr>
          <w:rFonts w:ascii="Arial" w:hAnsi="Arial" w:cs="Arial"/>
        </w:rPr>
      </w:pPr>
    </w:p>
    <w:p w14:paraId="33C949ED" w14:textId="77777777" w:rsidR="00F86D7F" w:rsidRPr="00F86D7F" w:rsidRDefault="00F86D7F" w:rsidP="00F86D7F">
      <w:pPr>
        <w:rPr>
          <w:rFonts w:ascii="Arial" w:hAnsi="Arial" w:cs="Arial"/>
        </w:rPr>
      </w:pPr>
    </w:p>
    <w:p w14:paraId="4C25CE1B" w14:textId="77777777" w:rsidR="00F86D7F" w:rsidRPr="00F86D7F" w:rsidRDefault="00F86D7F" w:rsidP="00F86D7F">
      <w:pPr>
        <w:rPr>
          <w:rFonts w:ascii="Arial" w:hAnsi="Arial" w:cs="Arial"/>
        </w:rPr>
      </w:pPr>
    </w:p>
    <w:p w14:paraId="6160C6CF" w14:textId="77777777" w:rsidR="00F86D7F" w:rsidRPr="00F86D7F" w:rsidRDefault="00F86D7F" w:rsidP="00F86D7F">
      <w:pPr>
        <w:rPr>
          <w:rFonts w:ascii="Arial" w:hAnsi="Arial" w:cs="Arial"/>
        </w:rPr>
      </w:pPr>
    </w:p>
    <w:p w14:paraId="58B7EDB5" w14:textId="77777777" w:rsidR="00F86D7F" w:rsidRPr="00F86D7F" w:rsidRDefault="00F86D7F" w:rsidP="00F86D7F">
      <w:pPr>
        <w:rPr>
          <w:rFonts w:ascii="Arial" w:hAnsi="Arial" w:cs="Arial"/>
        </w:rPr>
      </w:pPr>
    </w:p>
    <w:p w14:paraId="232711EC" w14:textId="77777777" w:rsidR="00F86D7F" w:rsidRPr="00F86D7F" w:rsidRDefault="00F86D7F" w:rsidP="00F86D7F">
      <w:pPr>
        <w:rPr>
          <w:rFonts w:ascii="Arial" w:hAnsi="Arial" w:cs="Arial"/>
        </w:rPr>
      </w:pPr>
    </w:p>
    <w:p w14:paraId="2CE7440E" w14:textId="77777777" w:rsidR="00F86D7F" w:rsidRPr="00F86D7F" w:rsidRDefault="00F86D7F" w:rsidP="00F86D7F">
      <w:pPr>
        <w:rPr>
          <w:rFonts w:ascii="Arial" w:hAnsi="Arial" w:cs="Arial"/>
        </w:rPr>
      </w:pPr>
    </w:p>
    <w:p w14:paraId="3F2AA534" w14:textId="77777777" w:rsidR="00F86D7F" w:rsidRPr="00F86D7F" w:rsidRDefault="00F86D7F" w:rsidP="00F86D7F">
      <w:pPr>
        <w:rPr>
          <w:rFonts w:ascii="Arial" w:hAnsi="Arial" w:cs="Arial"/>
        </w:rPr>
      </w:pPr>
    </w:p>
    <w:p w14:paraId="621086BE" w14:textId="77777777" w:rsidR="00F86D7F" w:rsidRPr="00F86D7F" w:rsidRDefault="00F86D7F" w:rsidP="00F86D7F">
      <w:pPr>
        <w:rPr>
          <w:rFonts w:ascii="Arial" w:hAnsi="Arial" w:cs="Arial"/>
        </w:rPr>
      </w:pPr>
    </w:p>
    <w:p w14:paraId="2F0E1279" w14:textId="77777777" w:rsidR="00F86D7F" w:rsidRPr="00F86D7F" w:rsidRDefault="00F86D7F" w:rsidP="00F86D7F">
      <w:pPr>
        <w:rPr>
          <w:rFonts w:ascii="Arial" w:hAnsi="Arial" w:cs="Arial"/>
        </w:rPr>
      </w:pPr>
    </w:p>
    <w:p w14:paraId="49E77191" w14:textId="77777777" w:rsidR="00F86D7F" w:rsidRPr="00F86D7F" w:rsidRDefault="00F86D7F" w:rsidP="00F86D7F">
      <w:pPr>
        <w:rPr>
          <w:rFonts w:ascii="Arial" w:hAnsi="Arial" w:cs="Arial"/>
        </w:rPr>
      </w:pPr>
    </w:p>
    <w:p w14:paraId="4EFC97B3" w14:textId="77777777" w:rsidR="00F86D7F" w:rsidRPr="00F86D7F" w:rsidRDefault="00F86D7F" w:rsidP="00F86D7F">
      <w:pPr>
        <w:rPr>
          <w:rFonts w:ascii="Arial" w:hAnsi="Arial" w:cs="Arial"/>
        </w:rPr>
      </w:pPr>
    </w:p>
    <w:p w14:paraId="4B548791" w14:textId="77777777" w:rsidR="00F86D7F" w:rsidRPr="00F86D7F" w:rsidRDefault="00F86D7F" w:rsidP="00F86D7F">
      <w:pPr>
        <w:rPr>
          <w:rFonts w:ascii="Arial" w:hAnsi="Arial" w:cs="Arial"/>
        </w:rPr>
      </w:pPr>
    </w:p>
    <w:p w14:paraId="04E1A1D7" w14:textId="77777777" w:rsidR="00F86D7F" w:rsidRPr="00F86D7F" w:rsidRDefault="00F86D7F" w:rsidP="00F86D7F">
      <w:pPr>
        <w:rPr>
          <w:rFonts w:ascii="Arial" w:hAnsi="Arial" w:cs="Arial"/>
        </w:rPr>
      </w:pPr>
    </w:p>
    <w:p w14:paraId="5F0A789D" w14:textId="77777777" w:rsidR="00F86D7F" w:rsidRPr="00F86D7F" w:rsidRDefault="00F86D7F" w:rsidP="00F86D7F">
      <w:pPr>
        <w:rPr>
          <w:rFonts w:ascii="Arial" w:hAnsi="Arial" w:cs="Arial"/>
        </w:rPr>
      </w:pPr>
    </w:p>
    <w:p w14:paraId="2FC21220" w14:textId="77777777" w:rsidR="00F86D7F" w:rsidRPr="00F86D7F" w:rsidRDefault="00F86D7F" w:rsidP="00F86D7F">
      <w:pPr>
        <w:rPr>
          <w:rFonts w:ascii="Arial" w:hAnsi="Arial" w:cs="Arial"/>
        </w:rPr>
      </w:pPr>
    </w:p>
    <w:p w14:paraId="40DFA1D6" w14:textId="77777777" w:rsidR="00F86D7F" w:rsidRDefault="00F86D7F" w:rsidP="001A5135">
      <w:pPr>
        <w:rPr>
          <w:rFonts w:ascii="Arial" w:hAnsi="Arial" w:cs="Arial"/>
        </w:rPr>
      </w:pPr>
    </w:p>
    <w:p w14:paraId="4F91F93D" w14:textId="77777777" w:rsidR="00F86D7F" w:rsidRDefault="00F86D7F" w:rsidP="001A5135">
      <w:pPr>
        <w:rPr>
          <w:rFonts w:ascii="Arial" w:hAnsi="Arial" w:cs="Arial"/>
        </w:rPr>
      </w:pPr>
    </w:p>
    <w:p w14:paraId="3AA87EC0" w14:textId="77777777" w:rsidR="00F86D7F" w:rsidRDefault="00F86D7F" w:rsidP="001A5135">
      <w:pPr>
        <w:rPr>
          <w:rFonts w:ascii="Arial" w:hAnsi="Arial" w:cs="Arial"/>
        </w:rPr>
      </w:pPr>
    </w:p>
    <w:p w14:paraId="1C63C113" w14:textId="77777777" w:rsidR="00F86D7F" w:rsidRDefault="00F86D7F" w:rsidP="001A5135">
      <w:pPr>
        <w:rPr>
          <w:rFonts w:ascii="Arial" w:hAnsi="Arial" w:cs="Arial"/>
        </w:rPr>
      </w:pPr>
    </w:p>
    <w:p w14:paraId="2D0E0346" w14:textId="77777777" w:rsidR="00F86D7F" w:rsidRDefault="00F86D7F" w:rsidP="001A5135">
      <w:pPr>
        <w:rPr>
          <w:rFonts w:ascii="Arial" w:hAnsi="Arial" w:cs="Arial"/>
        </w:rPr>
      </w:pPr>
    </w:p>
    <w:p w14:paraId="5D712D39" w14:textId="77777777" w:rsidR="00F86D7F" w:rsidRDefault="00F86D7F" w:rsidP="001A5135">
      <w:pPr>
        <w:rPr>
          <w:rFonts w:ascii="Arial" w:hAnsi="Arial" w:cs="Arial"/>
        </w:rPr>
      </w:pPr>
    </w:p>
    <w:p w14:paraId="1DF1343E" w14:textId="77777777" w:rsidR="00F86D7F" w:rsidRDefault="00F86D7F" w:rsidP="001A5135">
      <w:pPr>
        <w:rPr>
          <w:rFonts w:ascii="Arial" w:hAnsi="Arial" w:cs="Arial"/>
        </w:rPr>
      </w:pPr>
    </w:p>
    <w:p w14:paraId="1705715D" w14:textId="77777777" w:rsidR="00F86D7F" w:rsidRDefault="00F86D7F" w:rsidP="001A5135">
      <w:pPr>
        <w:rPr>
          <w:rFonts w:ascii="Arial" w:hAnsi="Arial" w:cs="Arial"/>
        </w:rPr>
      </w:pPr>
    </w:p>
    <w:p w14:paraId="09370735" w14:textId="77777777" w:rsidR="00934CD7" w:rsidRDefault="00934CD7" w:rsidP="006D139D">
      <w:pPr>
        <w:rPr>
          <w:rFonts w:ascii="Arial" w:hAnsi="Arial" w:cs="Arial"/>
          <w:color w:val="222222"/>
          <w:sz w:val="20"/>
          <w:szCs w:val="20"/>
          <w:shd w:val="clear" w:color="auto" w:fill="FFFFFF"/>
        </w:rPr>
      </w:pPr>
    </w:p>
    <w:p w14:paraId="199ED0BE" w14:textId="77777777" w:rsidR="00934CD7" w:rsidRDefault="00934CD7" w:rsidP="006D139D">
      <w:pPr>
        <w:rPr>
          <w:rFonts w:ascii="Arial" w:hAnsi="Arial" w:cs="Arial"/>
          <w:color w:val="222222"/>
          <w:sz w:val="20"/>
          <w:szCs w:val="20"/>
          <w:shd w:val="clear" w:color="auto" w:fill="FFFFFF"/>
        </w:rPr>
      </w:pPr>
    </w:p>
    <w:p w14:paraId="25C3EACF" w14:textId="77777777" w:rsidR="00934CD7" w:rsidRDefault="00934CD7" w:rsidP="006D139D">
      <w:pPr>
        <w:rPr>
          <w:rFonts w:ascii="Arial" w:hAnsi="Arial" w:cs="Arial"/>
          <w:color w:val="222222"/>
          <w:sz w:val="20"/>
          <w:szCs w:val="20"/>
          <w:shd w:val="clear" w:color="auto" w:fill="FFFFFF"/>
        </w:rPr>
      </w:pPr>
    </w:p>
    <w:p w14:paraId="5321FB62" w14:textId="77777777" w:rsidR="00934CD7" w:rsidRDefault="00934CD7" w:rsidP="006D139D">
      <w:pPr>
        <w:rPr>
          <w:rFonts w:ascii="Arial" w:hAnsi="Arial" w:cs="Arial"/>
          <w:color w:val="222222"/>
          <w:sz w:val="20"/>
          <w:szCs w:val="20"/>
          <w:shd w:val="clear" w:color="auto" w:fill="FFFFFF"/>
        </w:rPr>
      </w:pPr>
    </w:p>
    <w:p w14:paraId="2BC2151A" w14:textId="77777777" w:rsidR="00934CD7" w:rsidRDefault="00934CD7" w:rsidP="006D139D">
      <w:pPr>
        <w:rPr>
          <w:rFonts w:ascii="Arial" w:hAnsi="Arial" w:cs="Arial"/>
          <w:color w:val="222222"/>
          <w:sz w:val="20"/>
          <w:szCs w:val="20"/>
          <w:shd w:val="clear" w:color="auto" w:fill="FFFFFF"/>
        </w:rPr>
      </w:pPr>
    </w:p>
    <w:p w14:paraId="3C4DE37C" w14:textId="77777777" w:rsidR="00934CD7" w:rsidRDefault="00934CD7" w:rsidP="006D139D">
      <w:pPr>
        <w:rPr>
          <w:rFonts w:ascii="Arial" w:hAnsi="Arial" w:cs="Arial"/>
          <w:sz w:val="40"/>
          <w:szCs w:val="40"/>
        </w:rPr>
      </w:pPr>
    </w:p>
    <w:sdt>
      <w:sdtPr>
        <w:rPr>
          <w:rFonts w:asciiTheme="minorHAnsi" w:eastAsiaTheme="minorHAnsi" w:hAnsiTheme="minorHAnsi" w:cstheme="minorBidi"/>
          <w:b w:val="0"/>
          <w:bCs w:val="0"/>
          <w:color w:val="auto"/>
          <w:sz w:val="24"/>
          <w:szCs w:val="24"/>
          <w:lang w:val="en-GB" w:bidi="ar-SA"/>
        </w:rPr>
        <w:id w:val="-14000237"/>
        <w:docPartObj>
          <w:docPartGallery w:val="Bibliographies"/>
          <w:docPartUnique/>
        </w:docPartObj>
      </w:sdtPr>
      <w:sdtEndPr/>
      <w:sdtContent>
        <w:p w14:paraId="394113E7" w14:textId="77777777" w:rsidR="00C52BBC" w:rsidRDefault="000A7749">
          <w:pPr>
            <w:pStyle w:val="Heading1"/>
          </w:pPr>
          <w:r>
            <w:t>Works Cite</w:t>
          </w:r>
        </w:p>
        <w:p w14:paraId="322B75EB" w14:textId="726BEBB1" w:rsidR="00C52BBC" w:rsidRDefault="00C52BBC" w:rsidP="00C52BBC"/>
        <w:p w14:paraId="6933851A" w14:textId="2DD49142" w:rsidR="000A7749" w:rsidRDefault="000A7749">
          <w:pPr>
            <w:pStyle w:val="Heading1"/>
          </w:pPr>
        </w:p>
        <w:p w14:paraId="2ADD2E89" w14:textId="1F369A66" w:rsidR="00D6159C" w:rsidRDefault="000A7749" w:rsidP="00D6159C">
          <w:pPr>
            <w:pStyle w:val="Bibliography"/>
            <w:rPr>
              <w:noProof/>
              <w:lang w:val="en-US"/>
            </w:rPr>
          </w:pPr>
          <w:r>
            <w:fldChar w:fldCharType="begin"/>
          </w:r>
          <w:r>
            <w:instrText xml:space="preserve"> BIBLIOGRAPHY </w:instrText>
          </w:r>
          <w:r>
            <w:fldChar w:fldCharType="separate"/>
          </w:r>
        </w:p>
        <w:p w14:paraId="024F0CF9" w14:textId="77777777"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 xml:space="preserve">Blockley, C.-A., 2014. </w:t>
          </w:r>
          <w:r w:rsidRPr="001F595A">
            <w:rPr>
              <w:rFonts w:asciiTheme="majorHAnsi" w:hAnsiTheme="majorHAnsi" w:cstheme="majorHAnsi"/>
              <w:i/>
              <w:iCs/>
              <w:noProof/>
              <w:lang w:val="en-US"/>
            </w:rPr>
            <w:t xml:space="preserve">The Plymouth Law &amp; Criminal Justice Review. </w:t>
          </w:r>
          <w:r w:rsidRPr="001F595A">
            <w:rPr>
              <w:rFonts w:asciiTheme="majorHAnsi" w:hAnsiTheme="majorHAnsi" w:cstheme="majorHAnsi"/>
              <w:noProof/>
              <w:lang w:val="en-US"/>
            </w:rPr>
            <w:t xml:space="preserve">[Online] </w:t>
          </w:r>
          <w:r w:rsidRPr="001F595A">
            <w:rPr>
              <w:rFonts w:asciiTheme="majorHAnsi" w:hAnsiTheme="majorHAnsi" w:cstheme="majorHAnsi"/>
              <w:noProof/>
              <w:lang w:val="en-US"/>
            </w:rPr>
            <w:br/>
            <w:t xml:space="preserve">Available at: </w:t>
          </w:r>
          <w:r w:rsidRPr="001F595A">
            <w:rPr>
              <w:rFonts w:asciiTheme="majorHAnsi" w:hAnsiTheme="majorHAnsi" w:cstheme="majorHAnsi"/>
              <w:noProof/>
              <w:u w:val="single"/>
              <w:lang w:val="en-US"/>
            </w:rPr>
            <w:t>https://pearl.plymouth.ac.uk/bitstream/handle/10026.1/8995/PLCJR_V6_11_Blockley.pdf?sequence=4&amp;isAllowed=y</w:t>
          </w:r>
          <w:r w:rsidRPr="001F595A">
            <w:rPr>
              <w:rFonts w:asciiTheme="majorHAnsi" w:hAnsiTheme="majorHAnsi" w:cstheme="majorHAnsi"/>
              <w:noProof/>
              <w:lang w:val="en-US"/>
            </w:rPr>
            <w:br/>
            <w:t>[Accessed 15 02 2023].</w:t>
          </w:r>
        </w:p>
        <w:p w14:paraId="2DB15FB6" w14:textId="77777777"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 xml:space="preserve">Edwards, S., 2010. Anger and Fear as Justifiable Preludes for Loss of Self-Control. </w:t>
          </w:r>
          <w:r w:rsidRPr="001F595A">
            <w:rPr>
              <w:rFonts w:asciiTheme="majorHAnsi" w:hAnsiTheme="majorHAnsi" w:cstheme="majorHAnsi"/>
              <w:i/>
              <w:iCs/>
              <w:noProof/>
              <w:lang w:val="en-US"/>
            </w:rPr>
            <w:t xml:space="preserve">research gate , </w:t>
          </w:r>
          <w:r w:rsidRPr="001F595A">
            <w:rPr>
              <w:rFonts w:asciiTheme="majorHAnsi" w:hAnsiTheme="majorHAnsi" w:cstheme="majorHAnsi"/>
              <w:noProof/>
              <w:lang w:val="en-US"/>
            </w:rPr>
            <w:t>Volume 19, p. 3.</w:t>
          </w:r>
        </w:p>
        <w:p w14:paraId="08B185E4" w14:textId="77777777"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 xml:space="preserve">Gov.uk , 2010. </w:t>
          </w:r>
          <w:r w:rsidRPr="001F595A">
            <w:rPr>
              <w:rFonts w:asciiTheme="majorHAnsi" w:hAnsiTheme="majorHAnsi" w:cstheme="majorHAnsi"/>
              <w:i/>
              <w:iCs/>
              <w:noProof/>
              <w:lang w:val="en-US"/>
            </w:rPr>
            <w:t xml:space="preserve">coroners and justice act 2009. </w:t>
          </w:r>
          <w:r w:rsidRPr="001F595A">
            <w:rPr>
              <w:rFonts w:asciiTheme="majorHAnsi" w:hAnsiTheme="majorHAnsi" w:cstheme="majorHAnsi"/>
              <w:noProof/>
              <w:lang w:val="en-US"/>
            </w:rPr>
            <w:t xml:space="preserve">[Online] </w:t>
          </w:r>
          <w:r w:rsidRPr="001F595A">
            <w:rPr>
              <w:rFonts w:asciiTheme="majorHAnsi" w:hAnsiTheme="majorHAnsi" w:cstheme="majorHAnsi"/>
              <w:noProof/>
              <w:lang w:val="en-US"/>
            </w:rPr>
            <w:br/>
            <w:t xml:space="preserve">Available at: </w:t>
          </w:r>
          <w:r w:rsidRPr="001F595A">
            <w:rPr>
              <w:rFonts w:asciiTheme="majorHAnsi" w:hAnsiTheme="majorHAnsi" w:cstheme="majorHAnsi"/>
              <w:noProof/>
              <w:u w:val="single"/>
              <w:lang w:val="en-US"/>
            </w:rPr>
            <w:t>https://www.legislation.gov.uk/ukpga/2009/25/section/52</w:t>
          </w:r>
          <w:r w:rsidRPr="001F595A">
            <w:rPr>
              <w:rFonts w:asciiTheme="majorHAnsi" w:hAnsiTheme="majorHAnsi" w:cstheme="majorHAnsi"/>
              <w:noProof/>
              <w:lang w:val="en-US"/>
            </w:rPr>
            <w:br/>
            <w:t>[Accessed 15 02 2023].</w:t>
          </w:r>
        </w:p>
        <w:p w14:paraId="1D6A2BDC" w14:textId="77777777"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 xml:space="preserve">gov.uk, 1991. </w:t>
          </w:r>
          <w:r w:rsidRPr="001F595A">
            <w:rPr>
              <w:rFonts w:asciiTheme="majorHAnsi" w:hAnsiTheme="majorHAnsi" w:cstheme="majorHAnsi"/>
              <w:i/>
              <w:iCs/>
              <w:noProof/>
              <w:lang w:val="en-US"/>
            </w:rPr>
            <w:t xml:space="preserve">legislation.gov.uk. </w:t>
          </w:r>
          <w:r w:rsidRPr="001F595A">
            <w:rPr>
              <w:rFonts w:asciiTheme="majorHAnsi" w:hAnsiTheme="majorHAnsi" w:cstheme="majorHAnsi"/>
              <w:noProof/>
              <w:lang w:val="en-US"/>
            </w:rPr>
            <w:t xml:space="preserve">[Online] </w:t>
          </w:r>
          <w:r w:rsidRPr="001F595A">
            <w:rPr>
              <w:rFonts w:asciiTheme="majorHAnsi" w:hAnsiTheme="majorHAnsi" w:cstheme="majorHAnsi"/>
              <w:noProof/>
              <w:lang w:val="en-US"/>
            </w:rPr>
            <w:br/>
            <w:t xml:space="preserve">Available at: </w:t>
          </w:r>
          <w:r w:rsidRPr="001F595A">
            <w:rPr>
              <w:rFonts w:asciiTheme="majorHAnsi" w:hAnsiTheme="majorHAnsi" w:cstheme="majorHAnsi"/>
              <w:noProof/>
              <w:u w:val="single"/>
              <w:lang w:val="en-US"/>
            </w:rPr>
            <w:t>https://www.legislation.gov.uk/ukpga/Eliz2/5-6/11/section/2/enacted</w:t>
          </w:r>
          <w:r w:rsidRPr="001F595A">
            <w:rPr>
              <w:rFonts w:asciiTheme="majorHAnsi" w:hAnsiTheme="majorHAnsi" w:cstheme="majorHAnsi"/>
              <w:noProof/>
              <w:lang w:val="en-US"/>
            </w:rPr>
            <w:br/>
            <w:t>[Accessed 14 02 2023].</w:t>
          </w:r>
        </w:p>
        <w:p w14:paraId="0D215AF6" w14:textId="77777777"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 xml:space="preserve">gov.uk, 2009. </w:t>
          </w:r>
          <w:r w:rsidRPr="001F595A">
            <w:rPr>
              <w:rFonts w:asciiTheme="majorHAnsi" w:hAnsiTheme="majorHAnsi" w:cstheme="majorHAnsi"/>
              <w:i/>
              <w:iCs/>
              <w:noProof/>
              <w:lang w:val="en-US"/>
            </w:rPr>
            <w:t xml:space="preserve">Coroners and Justice Act 2009 Explanatory Notes. </w:t>
          </w:r>
          <w:r w:rsidRPr="001F595A">
            <w:rPr>
              <w:rFonts w:asciiTheme="majorHAnsi" w:hAnsiTheme="majorHAnsi" w:cstheme="majorHAnsi"/>
              <w:noProof/>
              <w:lang w:val="en-US"/>
            </w:rPr>
            <w:t xml:space="preserve">[Online] </w:t>
          </w:r>
          <w:r w:rsidRPr="001F595A">
            <w:rPr>
              <w:rFonts w:asciiTheme="majorHAnsi" w:hAnsiTheme="majorHAnsi" w:cstheme="majorHAnsi"/>
              <w:noProof/>
              <w:lang w:val="en-US"/>
            </w:rPr>
            <w:br/>
            <w:t xml:space="preserve">Available at: </w:t>
          </w:r>
          <w:r w:rsidRPr="001F595A">
            <w:rPr>
              <w:rFonts w:asciiTheme="majorHAnsi" w:hAnsiTheme="majorHAnsi" w:cstheme="majorHAnsi"/>
              <w:noProof/>
              <w:u w:val="single"/>
              <w:lang w:val="en-US"/>
            </w:rPr>
            <w:t>https://www.legislation.gov.uk/ukpga/2009/25/notes/division/5/1/2?type=en&amp;view=plain</w:t>
          </w:r>
          <w:r w:rsidRPr="001F595A">
            <w:rPr>
              <w:rFonts w:asciiTheme="majorHAnsi" w:hAnsiTheme="majorHAnsi" w:cstheme="majorHAnsi"/>
              <w:noProof/>
              <w:lang w:val="en-US"/>
            </w:rPr>
            <w:br/>
            <w:t>[Accessed 15 02 2023].</w:t>
          </w:r>
        </w:p>
        <w:p w14:paraId="53AB4025" w14:textId="77777777"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 xml:space="preserve">Hodgkinson, S., 2011. Homicide law reform. </w:t>
          </w:r>
          <w:r w:rsidRPr="001F595A">
            <w:rPr>
              <w:rFonts w:asciiTheme="majorHAnsi" w:hAnsiTheme="majorHAnsi" w:cstheme="majorHAnsi"/>
              <w:i/>
              <w:iCs/>
              <w:noProof/>
              <w:lang w:val="en-US"/>
            </w:rPr>
            <w:t xml:space="preserve">revisited and reassessed, </w:t>
          </w:r>
          <w:r w:rsidRPr="001F595A">
            <w:rPr>
              <w:rFonts w:asciiTheme="majorHAnsi" w:hAnsiTheme="majorHAnsi" w:cstheme="majorHAnsi"/>
              <w:noProof/>
              <w:lang w:val="en-US"/>
            </w:rPr>
            <w:t>Issue 8, p. 5.</w:t>
          </w:r>
        </w:p>
        <w:p w14:paraId="6BC8AECB" w14:textId="77777777"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Houten, L., 2021. Loss of self-control, Qualifying trigger, fear of violence, proposals. Issue 4, p. 1.</w:t>
          </w:r>
        </w:p>
        <w:p w14:paraId="0CE69C68" w14:textId="77777777"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 xml:space="preserve">legislation.gov.uk, 2009. </w:t>
          </w:r>
          <w:r w:rsidRPr="001F595A">
            <w:rPr>
              <w:rFonts w:asciiTheme="majorHAnsi" w:hAnsiTheme="majorHAnsi" w:cstheme="majorHAnsi"/>
              <w:i/>
              <w:iCs/>
              <w:noProof/>
              <w:lang w:val="en-US"/>
            </w:rPr>
            <w:t xml:space="preserve">Coroners and Justice Act 2009 Explanatory Notes. </w:t>
          </w:r>
          <w:r w:rsidRPr="001F595A">
            <w:rPr>
              <w:rFonts w:asciiTheme="majorHAnsi" w:hAnsiTheme="majorHAnsi" w:cstheme="majorHAnsi"/>
              <w:noProof/>
              <w:lang w:val="en-US"/>
            </w:rPr>
            <w:t xml:space="preserve">[Online] </w:t>
          </w:r>
          <w:r w:rsidRPr="001F595A">
            <w:rPr>
              <w:rFonts w:asciiTheme="majorHAnsi" w:hAnsiTheme="majorHAnsi" w:cstheme="majorHAnsi"/>
              <w:noProof/>
              <w:lang w:val="en-US"/>
            </w:rPr>
            <w:br/>
            <w:t xml:space="preserve">Available at: </w:t>
          </w:r>
          <w:r w:rsidRPr="001F595A">
            <w:rPr>
              <w:rFonts w:asciiTheme="majorHAnsi" w:hAnsiTheme="majorHAnsi" w:cstheme="majorHAnsi"/>
              <w:noProof/>
              <w:u w:val="single"/>
              <w:lang w:val="en-US"/>
            </w:rPr>
            <w:t>https://www.legislation.gov.uk/ukpga/2009/25/pdfs/ukpgaen_20090025_en.pdf</w:t>
          </w:r>
          <w:r w:rsidRPr="001F595A">
            <w:rPr>
              <w:rFonts w:asciiTheme="majorHAnsi" w:hAnsiTheme="majorHAnsi" w:cstheme="majorHAnsi"/>
              <w:noProof/>
              <w:lang w:val="en-US"/>
            </w:rPr>
            <w:br/>
            <w:t>[Accessed 15 02 2023].</w:t>
          </w:r>
        </w:p>
        <w:p w14:paraId="6F6F5FA0" w14:textId="23600535"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 xml:space="preserve">Liu, A., 2018. Diminshed responsibility. </w:t>
          </w:r>
          <w:r w:rsidRPr="001F595A">
            <w:rPr>
              <w:rFonts w:asciiTheme="majorHAnsi" w:hAnsiTheme="majorHAnsi" w:cstheme="majorHAnsi"/>
              <w:i/>
              <w:iCs/>
              <w:noProof/>
              <w:lang w:val="en-US"/>
            </w:rPr>
            <w:t xml:space="preserve">Law Reform in the United Kingdom and Personal Perspective on Forensic Psychiatric Practice in Hong Kong, </w:t>
          </w:r>
          <w:r w:rsidRPr="001F595A">
            <w:rPr>
              <w:rFonts w:asciiTheme="majorHAnsi" w:hAnsiTheme="majorHAnsi" w:cstheme="majorHAnsi"/>
              <w:noProof/>
              <w:lang w:val="en-US"/>
            </w:rPr>
            <w:t>Issue 5, p. 4.</w:t>
          </w:r>
        </w:p>
        <w:p w14:paraId="1EB4783C" w14:textId="77777777"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 xml:space="preserve">Nick Brett , 2017. </w:t>
          </w:r>
          <w:r w:rsidRPr="001F595A">
            <w:rPr>
              <w:rFonts w:asciiTheme="majorHAnsi" w:hAnsiTheme="majorHAnsi" w:cstheme="majorHAnsi"/>
              <w:i/>
              <w:iCs/>
              <w:noProof/>
              <w:lang w:val="en-US"/>
            </w:rPr>
            <w:t xml:space="preserve">Diminished Responsibility. </w:t>
          </w:r>
          <w:r w:rsidRPr="001F595A">
            <w:rPr>
              <w:rFonts w:asciiTheme="majorHAnsi" w:hAnsiTheme="majorHAnsi" w:cstheme="majorHAnsi"/>
              <w:noProof/>
              <w:lang w:val="en-US"/>
            </w:rPr>
            <w:t xml:space="preserve">[Online] </w:t>
          </w:r>
          <w:r w:rsidRPr="001F595A">
            <w:rPr>
              <w:rFonts w:asciiTheme="majorHAnsi" w:hAnsiTheme="majorHAnsi" w:cstheme="majorHAnsi"/>
              <w:noProof/>
              <w:lang w:val="en-US"/>
            </w:rPr>
            <w:br/>
            <w:t xml:space="preserve">Available at: </w:t>
          </w:r>
          <w:r w:rsidRPr="001F595A">
            <w:rPr>
              <w:rFonts w:asciiTheme="majorHAnsi" w:hAnsiTheme="majorHAnsi" w:cstheme="majorHAnsi"/>
              <w:noProof/>
              <w:u w:val="single"/>
              <w:lang w:val="en-US"/>
            </w:rPr>
            <w:t>https://www.brettwilson.co.uk/blog/diminished-responsibility-defence-murder/</w:t>
          </w:r>
          <w:r w:rsidRPr="001F595A">
            <w:rPr>
              <w:rFonts w:asciiTheme="majorHAnsi" w:hAnsiTheme="majorHAnsi" w:cstheme="majorHAnsi"/>
              <w:noProof/>
              <w:lang w:val="en-US"/>
            </w:rPr>
            <w:br/>
            <w:t>[Accessed 14 02 2023].</w:t>
          </w:r>
        </w:p>
        <w:p w14:paraId="5EF7CA6A" w14:textId="6CD27C6C" w:rsidR="001F595A" w:rsidRPr="001F595A" w:rsidRDefault="001F595A" w:rsidP="001F595A">
          <w:pPr>
            <w:rPr>
              <w:rFonts w:asciiTheme="majorHAnsi" w:hAnsiTheme="majorHAnsi" w:cstheme="majorHAnsi"/>
            </w:rPr>
          </w:pPr>
          <w:r w:rsidRPr="001F595A">
            <w:rPr>
              <w:rFonts w:asciiTheme="majorHAnsi" w:hAnsiTheme="majorHAnsi" w:cstheme="majorHAnsi"/>
            </w:rPr>
            <w:t>R. v. Byrne, [1960] 2 Q.B. 396 (C.A. 1960).</w:t>
          </w:r>
        </w:p>
        <w:p w14:paraId="36DC2EB2" w14:textId="591DFCBA" w:rsidR="00C52BBC" w:rsidRPr="001F595A" w:rsidRDefault="00C52BBC" w:rsidP="00C52BBC">
          <w:pPr>
            <w:rPr>
              <w:rFonts w:asciiTheme="majorHAnsi" w:hAnsiTheme="majorHAnsi" w:cstheme="majorHAnsi"/>
            </w:rPr>
          </w:pPr>
          <w:r w:rsidRPr="001F595A">
            <w:rPr>
              <w:rFonts w:asciiTheme="majorHAnsi" w:hAnsiTheme="majorHAnsi" w:cstheme="majorHAnsi"/>
              <w:color w:val="222222"/>
              <w:shd w:val="clear" w:color="auto" w:fill="FFFFFF"/>
            </w:rPr>
            <w:t>Storey, 2017. ‘Rational ‘Reconstruction: Diminished Responsibility and Substantially Impaired Ability to Form a Rational Judgment.</w:t>
          </w:r>
          <w:r w:rsidRPr="001F595A">
            <w:rPr>
              <w:rStyle w:val="apple-converted-space"/>
              <w:rFonts w:asciiTheme="majorHAnsi" w:hAnsiTheme="majorHAnsi" w:cstheme="majorHAnsi"/>
              <w:color w:val="222222"/>
              <w:shd w:val="clear" w:color="auto" w:fill="FFFFFF"/>
            </w:rPr>
            <w:t> </w:t>
          </w:r>
          <w:r w:rsidRPr="001F595A">
            <w:rPr>
              <w:rFonts w:asciiTheme="majorHAnsi" w:hAnsiTheme="majorHAnsi" w:cstheme="majorHAnsi"/>
              <w:i/>
              <w:iCs/>
              <w:color w:val="222222"/>
            </w:rPr>
            <w:t>The Journal of Criminal Law</w:t>
          </w:r>
          <w:r w:rsidRPr="001F595A">
            <w:rPr>
              <w:rFonts w:asciiTheme="majorHAnsi" w:hAnsiTheme="majorHAnsi" w:cstheme="majorHAnsi"/>
              <w:color w:val="222222"/>
              <w:shd w:val="clear" w:color="auto" w:fill="FFFFFF"/>
            </w:rPr>
            <w:t>,</w:t>
          </w:r>
          <w:r w:rsidRPr="001F595A">
            <w:rPr>
              <w:rStyle w:val="apple-converted-space"/>
              <w:rFonts w:asciiTheme="majorHAnsi" w:hAnsiTheme="majorHAnsi" w:cstheme="majorHAnsi"/>
              <w:color w:val="222222"/>
              <w:shd w:val="clear" w:color="auto" w:fill="FFFFFF"/>
            </w:rPr>
            <w:t> </w:t>
          </w:r>
          <w:r w:rsidRPr="001F595A">
            <w:rPr>
              <w:rFonts w:asciiTheme="majorHAnsi" w:hAnsiTheme="majorHAnsi" w:cstheme="majorHAnsi"/>
              <w:i/>
              <w:iCs/>
              <w:color w:val="222222"/>
            </w:rPr>
            <w:t>81</w:t>
          </w:r>
          <w:r w:rsidRPr="001F595A">
            <w:rPr>
              <w:rFonts w:asciiTheme="majorHAnsi" w:hAnsiTheme="majorHAnsi" w:cstheme="majorHAnsi"/>
              <w:color w:val="222222"/>
              <w:shd w:val="clear" w:color="auto" w:fill="FFFFFF"/>
            </w:rPr>
            <w:t>(3), pp.247-251.</w:t>
          </w:r>
        </w:p>
        <w:p w14:paraId="0C755A0F" w14:textId="77777777" w:rsidR="00D6159C" w:rsidRPr="001F595A" w:rsidRDefault="00D6159C" w:rsidP="00D6159C">
          <w:pPr>
            <w:pStyle w:val="Bibliography"/>
            <w:rPr>
              <w:rFonts w:asciiTheme="majorHAnsi" w:hAnsiTheme="majorHAnsi" w:cstheme="majorHAnsi"/>
              <w:noProof/>
              <w:lang w:val="en-US"/>
            </w:rPr>
          </w:pPr>
          <w:r w:rsidRPr="001F595A">
            <w:rPr>
              <w:rFonts w:asciiTheme="majorHAnsi" w:hAnsiTheme="majorHAnsi" w:cstheme="majorHAnsi"/>
              <w:noProof/>
              <w:lang w:val="en-US"/>
            </w:rPr>
            <w:t xml:space="preserve">Taylor, L., 2018. </w:t>
          </w:r>
          <w:r w:rsidRPr="001F595A">
            <w:rPr>
              <w:rFonts w:asciiTheme="majorHAnsi" w:hAnsiTheme="majorHAnsi" w:cstheme="majorHAnsi"/>
              <w:i/>
              <w:iCs/>
              <w:noProof/>
              <w:lang w:val="en-US"/>
            </w:rPr>
            <w:t xml:space="preserve">Elliott &amp; Quinn's Criminal Law. </w:t>
          </w:r>
          <w:r w:rsidRPr="001F595A">
            <w:rPr>
              <w:rFonts w:asciiTheme="majorHAnsi" w:hAnsiTheme="majorHAnsi" w:cstheme="majorHAnsi"/>
              <w:noProof/>
              <w:lang w:val="en-US"/>
            </w:rPr>
            <w:t>12th ed. s.l.:pearson education .</w:t>
          </w:r>
        </w:p>
        <w:p w14:paraId="7BB13B3B" w14:textId="6A0E4103" w:rsidR="00632BBE" w:rsidRPr="004A2E4B" w:rsidRDefault="000A7749" w:rsidP="00D6159C">
          <w:pPr>
            <w:rPr>
              <w:rFonts w:cstheme="minorHAnsi"/>
            </w:rPr>
          </w:pPr>
          <w:r>
            <w:rPr>
              <w:b/>
              <w:bCs/>
            </w:rPr>
            <w:fldChar w:fldCharType="end"/>
          </w:r>
        </w:p>
        <w:p w14:paraId="593A4F54" w14:textId="77777777" w:rsidR="00632BBE" w:rsidRPr="004A2E4B" w:rsidRDefault="00632BBE" w:rsidP="00632BBE">
          <w:pPr>
            <w:rPr>
              <w:rFonts w:cstheme="minorHAnsi"/>
              <w:sz w:val="40"/>
              <w:szCs w:val="40"/>
            </w:rPr>
          </w:pPr>
          <w:r w:rsidRPr="004A2E4B">
            <w:rPr>
              <w:rFonts w:cstheme="minorHAnsi"/>
              <w:sz w:val="40"/>
              <w:szCs w:val="40"/>
            </w:rPr>
            <w:t xml:space="preserve"> </w:t>
          </w:r>
        </w:p>
        <w:p w14:paraId="78863260" w14:textId="2D021DF6" w:rsidR="000A7749" w:rsidRDefault="00EE2295" w:rsidP="000A7749"/>
      </w:sdtContent>
    </w:sdt>
    <w:p w14:paraId="3EE2E71E" w14:textId="7AA9EE36" w:rsidR="007D45FD" w:rsidRDefault="007D45FD" w:rsidP="006D139D">
      <w:pPr>
        <w:rPr>
          <w:rFonts w:ascii="Arial" w:hAnsi="Arial" w:cs="Arial"/>
          <w:sz w:val="40"/>
          <w:szCs w:val="40"/>
        </w:rPr>
      </w:pPr>
    </w:p>
    <w:p w14:paraId="6D31CEEC" w14:textId="423641AA" w:rsidR="003D5DBF" w:rsidRDefault="003D5DBF" w:rsidP="00EF6F72">
      <w:pPr>
        <w:rPr>
          <w:rFonts w:ascii="Arial" w:hAnsi="Arial" w:cs="Arial"/>
        </w:rPr>
      </w:pPr>
    </w:p>
    <w:p w14:paraId="53E5D06E" w14:textId="77777777" w:rsidR="00C52BBC" w:rsidRDefault="00C52BBC" w:rsidP="003D5DBF">
      <w:pPr>
        <w:rPr>
          <w:rFonts w:ascii="Arial" w:hAnsi="Arial" w:cs="Arial"/>
        </w:rPr>
      </w:pPr>
    </w:p>
    <w:p w14:paraId="0A82CEDD" w14:textId="77777777" w:rsidR="00C52BBC" w:rsidRPr="00CD509E" w:rsidRDefault="00C52BBC" w:rsidP="003D5DBF">
      <w:pPr>
        <w:rPr>
          <w:rFonts w:ascii="Arial" w:hAnsi="Arial" w:cs="Arial"/>
        </w:rPr>
      </w:pPr>
    </w:p>
    <w:p w14:paraId="2ADC28ED" w14:textId="77777777" w:rsidR="003D5DBF" w:rsidRPr="003D5DBF" w:rsidRDefault="003D5DBF" w:rsidP="003D5DBF">
      <w:pPr>
        <w:rPr>
          <w:rFonts w:ascii="Arial" w:hAnsi="Arial" w:cs="Arial"/>
          <w:sz w:val="40"/>
          <w:szCs w:val="40"/>
        </w:rPr>
      </w:pPr>
    </w:p>
    <w:p w14:paraId="5B1AC2DE" w14:textId="77777777" w:rsidR="003D5DBF" w:rsidRPr="003D5DBF" w:rsidRDefault="003D5DBF" w:rsidP="003D5DBF">
      <w:pPr>
        <w:rPr>
          <w:rFonts w:ascii="Arial" w:hAnsi="Arial" w:cs="Arial"/>
          <w:sz w:val="40"/>
          <w:szCs w:val="40"/>
        </w:rPr>
      </w:pPr>
    </w:p>
    <w:p w14:paraId="2CB2B663" w14:textId="77777777" w:rsidR="003D5DBF" w:rsidRPr="003D5DBF" w:rsidRDefault="003D5DBF" w:rsidP="003D5DBF">
      <w:pPr>
        <w:rPr>
          <w:rFonts w:ascii="Arial" w:hAnsi="Arial" w:cs="Arial"/>
          <w:sz w:val="40"/>
          <w:szCs w:val="40"/>
        </w:rPr>
      </w:pPr>
    </w:p>
    <w:p w14:paraId="67623339" w14:textId="573F2E7B" w:rsidR="00383768" w:rsidRDefault="00383768" w:rsidP="006D139D">
      <w:pPr>
        <w:rPr>
          <w:rFonts w:ascii="Arial" w:hAnsi="Arial" w:cs="Arial"/>
          <w:sz w:val="40"/>
          <w:szCs w:val="40"/>
        </w:rPr>
      </w:pPr>
    </w:p>
    <w:p w14:paraId="77EB926F" w14:textId="77777777" w:rsidR="00364EAE" w:rsidRDefault="00364EAE" w:rsidP="006D139D">
      <w:pPr>
        <w:rPr>
          <w:rFonts w:ascii="Arial" w:hAnsi="Arial" w:cs="Arial"/>
          <w:sz w:val="40"/>
          <w:szCs w:val="40"/>
        </w:rPr>
      </w:pPr>
    </w:p>
    <w:p w14:paraId="5219EBAF" w14:textId="414F3AD1" w:rsidR="00B42AB5" w:rsidRDefault="00086BBF" w:rsidP="006D139D">
      <w:pPr>
        <w:rPr>
          <w:rFonts w:ascii="Arial" w:hAnsi="Arial" w:cs="Arial"/>
          <w:sz w:val="40"/>
          <w:szCs w:val="40"/>
        </w:rPr>
      </w:pPr>
      <w:r>
        <w:rPr>
          <w:rFonts w:ascii="Arial" w:hAnsi="Arial" w:cs="Arial"/>
          <w:sz w:val="40"/>
          <w:szCs w:val="40"/>
        </w:rPr>
        <w:t xml:space="preserve"> </w:t>
      </w:r>
    </w:p>
    <w:p w14:paraId="3FEDFC7E" w14:textId="77777777" w:rsidR="007C404C" w:rsidRDefault="007C404C" w:rsidP="006D139D">
      <w:pPr>
        <w:rPr>
          <w:rFonts w:ascii="Arial" w:hAnsi="Arial" w:cs="Arial"/>
          <w:sz w:val="40"/>
          <w:szCs w:val="40"/>
        </w:rPr>
      </w:pPr>
    </w:p>
    <w:p w14:paraId="11A5229E" w14:textId="05E0360F" w:rsidR="007C404C" w:rsidRPr="00BC0155" w:rsidRDefault="007C404C" w:rsidP="006D139D">
      <w:pPr>
        <w:rPr>
          <w:rFonts w:ascii="Arial" w:hAnsi="Arial" w:cs="Arial"/>
          <w:sz w:val="40"/>
          <w:szCs w:val="40"/>
        </w:rPr>
      </w:pPr>
    </w:p>
    <w:sectPr w:rsidR="007C404C" w:rsidRPr="00BC0155" w:rsidSect="00540CC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589E"/>
    <w:multiLevelType w:val="hybridMultilevel"/>
    <w:tmpl w:val="CF64BC38"/>
    <w:lvl w:ilvl="0" w:tplc="268AFC2E">
      <w:start w:val="1"/>
      <w:numFmt w:val="bullet"/>
      <w:lvlText w:val="•"/>
      <w:lvlJc w:val="left"/>
      <w:pPr>
        <w:tabs>
          <w:tab w:val="num" w:pos="720"/>
        </w:tabs>
        <w:ind w:left="720" w:hanging="360"/>
      </w:pPr>
      <w:rPr>
        <w:rFonts w:ascii="Times New Roman" w:hAnsi="Times New Roman" w:hint="default"/>
      </w:rPr>
    </w:lvl>
    <w:lvl w:ilvl="1" w:tplc="3754E976" w:tentative="1">
      <w:start w:val="1"/>
      <w:numFmt w:val="bullet"/>
      <w:lvlText w:val="•"/>
      <w:lvlJc w:val="left"/>
      <w:pPr>
        <w:tabs>
          <w:tab w:val="num" w:pos="1440"/>
        </w:tabs>
        <w:ind w:left="1440" w:hanging="360"/>
      </w:pPr>
      <w:rPr>
        <w:rFonts w:ascii="Times New Roman" w:hAnsi="Times New Roman" w:hint="default"/>
      </w:rPr>
    </w:lvl>
    <w:lvl w:ilvl="2" w:tplc="E17498FC" w:tentative="1">
      <w:start w:val="1"/>
      <w:numFmt w:val="bullet"/>
      <w:lvlText w:val="•"/>
      <w:lvlJc w:val="left"/>
      <w:pPr>
        <w:tabs>
          <w:tab w:val="num" w:pos="2160"/>
        </w:tabs>
        <w:ind w:left="2160" w:hanging="360"/>
      </w:pPr>
      <w:rPr>
        <w:rFonts w:ascii="Times New Roman" w:hAnsi="Times New Roman" w:hint="default"/>
      </w:rPr>
    </w:lvl>
    <w:lvl w:ilvl="3" w:tplc="92F2E932" w:tentative="1">
      <w:start w:val="1"/>
      <w:numFmt w:val="bullet"/>
      <w:lvlText w:val="•"/>
      <w:lvlJc w:val="left"/>
      <w:pPr>
        <w:tabs>
          <w:tab w:val="num" w:pos="2880"/>
        </w:tabs>
        <w:ind w:left="2880" w:hanging="360"/>
      </w:pPr>
      <w:rPr>
        <w:rFonts w:ascii="Times New Roman" w:hAnsi="Times New Roman" w:hint="default"/>
      </w:rPr>
    </w:lvl>
    <w:lvl w:ilvl="4" w:tplc="BC4E8A3C" w:tentative="1">
      <w:start w:val="1"/>
      <w:numFmt w:val="bullet"/>
      <w:lvlText w:val="•"/>
      <w:lvlJc w:val="left"/>
      <w:pPr>
        <w:tabs>
          <w:tab w:val="num" w:pos="3600"/>
        </w:tabs>
        <w:ind w:left="3600" w:hanging="360"/>
      </w:pPr>
      <w:rPr>
        <w:rFonts w:ascii="Times New Roman" w:hAnsi="Times New Roman" w:hint="default"/>
      </w:rPr>
    </w:lvl>
    <w:lvl w:ilvl="5" w:tplc="C4C8B9AE" w:tentative="1">
      <w:start w:val="1"/>
      <w:numFmt w:val="bullet"/>
      <w:lvlText w:val="•"/>
      <w:lvlJc w:val="left"/>
      <w:pPr>
        <w:tabs>
          <w:tab w:val="num" w:pos="4320"/>
        </w:tabs>
        <w:ind w:left="4320" w:hanging="360"/>
      </w:pPr>
      <w:rPr>
        <w:rFonts w:ascii="Times New Roman" w:hAnsi="Times New Roman" w:hint="default"/>
      </w:rPr>
    </w:lvl>
    <w:lvl w:ilvl="6" w:tplc="C9901BD6" w:tentative="1">
      <w:start w:val="1"/>
      <w:numFmt w:val="bullet"/>
      <w:lvlText w:val="•"/>
      <w:lvlJc w:val="left"/>
      <w:pPr>
        <w:tabs>
          <w:tab w:val="num" w:pos="5040"/>
        </w:tabs>
        <w:ind w:left="5040" w:hanging="360"/>
      </w:pPr>
      <w:rPr>
        <w:rFonts w:ascii="Times New Roman" w:hAnsi="Times New Roman" w:hint="default"/>
      </w:rPr>
    </w:lvl>
    <w:lvl w:ilvl="7" w:tplc="28A0F3CC" w:tentative="1">
      <w:start w:val="1"/>
      <w:numFmt w:val="bullet"/>
      <w:lvlText w:val="•"/>
      <w:lvlJc w:val="left"/>
      <w:pPr>
        <w:tabs>
          <w:tab w:val="num" w:pos="5760"/>
        </w:tabs>
        <w:ind w:left="5760" w:hanging="360"/>
      </w:pPr>
      <w:rPr>
        <w:rFonts w:ascii="Times New Roman" w:hAnsi="Times New Roman" w:hint="default"/>
      </w:rPr>
    </w:lvl>
    <w:lvl w:ilvl="8" w:tplc="97F2941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4572837"/>
    <w:multiLevelType w:val="hybridMultilevel"/>
    <w:tmpl w:val="E7DC6F30"/>
    <w:lvl w:ilvl="0" w:tplc="0234F46C">
      <w:start w:val="1"/>
      <w:numFmt w:val="bullet"/>
      <w:lvlText w:val="•"/>
      <w:lvlJc w:val="left"/>
      <w:pPr>
        <w:tabs>
          <w:tab w:val="num" w:pos="720"/>
        </w:tabs>
        <w:ind w:left="720" w:hanging="360"/>
      </w:pPr>
      <w:rPr>
        <w:rFonts w:ascii="Times New Roman" w:hAnsi="Times New Roman" w:hint="default"/>
      </w:rPr>
    </w:lvl>
    <w:lvl w:ilvl="1" w:tplc="57444A28" w:tentative="1">
      <w:start w:val="1"/>
      <w:numFmt w:val="bullet"/>
      <w:lvlText w:val="•"/>
      <w:lvlJc w:val="left"/>
      <w:pPr>
        <w:tabs>
          <w:tab w:val="num" w:pos="1440"/>
        </w:tabs>
        <w:ind w:left="1440" w:hanging="360"/>
      </w:pPr>
      <w:rPr>
        <w:rFonts w:ascii="Times New Roman" w:hAnsi="Times New Roman" w:hint="default"/>
      </w:rPr>
    </w:lvl>
    <w:lvl w:ilvl="2" w:tplc="74C8B6A8" w:tentative="1">
      <w:start w:val="1"/>
      <w:numFmt w:val="bullet"/>
      <w:lvlText w:val="•"/>
      <w:lvlJc w:val="left"/>
      <w:pPr>
        <w:tabs>
          <w:tab w:val="num" w:pos="2160"/>
        </w:tabs>
        <w:ind w:left="2160" w:hanging="360"/>
      </w:pPr>
      <w:rPr>
        <w:rFonts w:ascii="Times New Roman" w:hAnsi="Times New Roman" w:hint="default"/>
      </w:rPr>
    </w:lvl>
    <w:lvl w:ilvl="3" w:tplc="E2A2ECAA" w:tentative="1">
      <w:start w:val="1"/>
      <w:numFmt w:val="bullet"/>
      <w:lvlText w:val="•"/>
      <w:lvlJc w:val="left"/>
      <w:pPr>
        <w:tabs>
          <w:tab w:val="num" w:pos="2880"/>
        </w:tabs>
        <w:ind w:left="2880" w:hanging="360"/>
      </w:pPr>
      <w:rPr>
        <w:rFonts w:ascii="Times New Roman" w:hAnsi="Times New Roman" w:hint="default"/>
      </w:rPr>
    </w:lvl>
    <w:lvl w:ilvl="4" w:tplc="FCB41854" w:tentative="1">
      <w:start w:val="1"/>
      <w:numFmt w:val="bullet"/>
      <w:lvlText w:val="•"/>
      <w:lvlJc w:val="left"/>
      <w:pPr>
        <w:tabs>
          <w:tab w:val="num" w:pos="3600"/>
        </w:tabs>
        <w:ind w:left="3600" w:hanging="360"/>
      </w:pPr>
      <w:rPr>
        <w:rFonts w:ascii="Times New Roman" w:hAnsi="Times New Roman" w:hint="default"/>
      </w:rPr>
    </w:lvl>
    <w:lvl w:ilvl="5" w:tplc="C3A4E904" w:tentative="1">
      <w:start w:val="1"/>
      <w:numFmt w:val="bullet"/>
      <w:lvlText w:val="•"/>
      <w:lvlJc w:val="left"/>
      <w:pPr>
        <w:tabs>
          <w:tab w:val="num" w:pos="4320"/>
        </w:tabs>
        <w:ind w:left="4320" w:hanging="360"/>
      </w:pPr>
      <w:rPr>
        <w:rFonts w:ascii="Times New Roman" w:hAnsi="Times New Roman" w:hint="default"/>
      </w:rPr>
    </w:lvl>
    <w:lvl w:ilvl="6" w:tplc="F1B2F0CC" w:tentative="1">
      <w:start w:val="1"/>
      <w:numFmt w:val="bullet"/>
      <w:lvlText w:val="•"/>
      <w:lvlJc w:val="left"/>
      <w:pPr>
        <w:tabs>
          <w:tab w:val="num" w:pos="5040"/>
        </w:tabs>
        <w:ind w:left="5040" w:hanging="360"/>
      </w:pPr>
      <w:rPr>
        <w:rFonts w:ascii="Times New Roman" w:hAnsi="Times New Roman" w:hint="default"/>
      </w:rPr>
    </w:lvl>
    <w:lvl w:ilvl="7" w:tplc="7BF83E08" w:tentative="1">
      <w:start w:val="1"/>
      <w:numFmt w:val="bullet"/>
      <w:lvlText w:val="•"/>
      <w:lvlJc w:val="left"/>
      <w:pPr>
        <w:tabs>
          <w:tab w:val="num" w:pos="5760"/>
        </w:tabs>
        <w:ind w:left="5760" w:hanging="360"/>
      </w:pPr>
      <w:rPr>
        <w:rFonts w:ascii="Times New Roman" w:hAnsi="Times New Roman" w:hint="default"/>
      </w:rPr>
    </w:lvl>
    <w:lvl w:ilvl="8" w:tplc="20C21A9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A993529"/>
    <w:multiLevelType w:val="hybridMultilevel"/>
    <w:tmpl w:val="4002E6EC"/>
    <w:lvl w:ilvl="0" w:tplc="9C8C1B9A">
      <w:start w:val="1"/>
      <w:numFmt w:val="bullet"/>
      <w:lvlText w:val="•"/>
      <w:lvlJc w:val="left"/>
      <w:pPr>
        <w:tabs>
          <w:tab w:val="num" w:pos="720"/>
        </w:tabs>
        <w:ind w:left="720" w:hanging="360"/>
      </w:pPr>
      <w:rPr>
        <w:rFonts w:ascii="Times New Roman" w:hAnsi="Times New Roman" w:hint="default"/>
      </w:rPr>
    </w:lvl>
    <w:lvl w:ilvl="1" w:tplc="3A4258FA" w:tentative="1">
      <w:start w:val="1"/>
      <w:numFmt w:val="bullet"/>
      <w:lvlText w:val="•"/>
      <w:lvlJc w:val="left"/>
      <w:pPr>
        <w:tabs>
          <w:tab w:val="num" w:pos="1440"/>
        </w:tabs>
        <w:ind w:left="1440" w:hanging="360"/>
      </w:pPr>
      <w:rPr>
        <w:rFonts w:ascii="Times New Roman" w:hAnsi="Times New Roman" w:hint="default"/>
      </w:rPr>
    </w:lvl>
    <w:lvl w:ilvl="2" w:tplc="E01E8700" w:tentative="1">
      <w:start w:val="1"/>
      <w:numFmt w:val="bullet"/>
      <w:lvlText w:val="•"/>
      <w:lvlJc w:val="left"/>
      <w:pPr>
        <w:tabs>
          <w:tab w:val="num" w:pos="2160"/>
        </w:tabs>
        <w:ind w:left="2160" w:hanging="360"/>
      </w:pPr>
      <w:rPr>
        <w:rFonts w:ascii="Times New Roman" w:hAnsi="Times New Roman" w:hint="default"/>
      </w:rPr>
    </w:lvl>
    <w:lvl w:ilvl="3" w:tplc="A55AE7A0" w:tentative="1">
      <w:start w:val="1"/>
      <w:numFmt w:val="bullet"/>
      <w:lvlText w:val="•"/>
      <w:lvlJc w:val="left"/>
      <w:pPr>
        <w:tabs>
          <w:tab w:val="num" w:pos="2880"/>
        </w:tabs>
        <w:ind w:left="2880" w:hanging="360"/>
      </w:pPr>
      <w:rPr>
        <w:rFonts w:ascii="Times New Roman" w:hAnsi="Times New Roman" w:hint="default"/>
      </w:rPr>
    </w:lvl>
    <w:lvl w:ilvl="4" w:tplc="AA4EDC70" w:tentative="1">
      <w:start w:val="1"/>
      <w:numFmt w:val="bullet"/>
      <w:lvlText w:val="•"/>
      <w:lvlJc w:val="left"/>
      <w:pPr>
        <w:tabs>
          <w:tab w:val="num" w:pos="3600"/>
        </w:tabs>
        <w:ind w:left="3600" w:hanging="360"/>
      </w:pPr>
      <w:rPr>
        <w:rFonts w:ascii="Times New Roman" w:hAnsi="Times New Roman" w:hint="default"/>
      </w:rPr>
    </w:lvl>
    <w:lvl w:ilvl="5" w:tplc="3C805AC8" w:tentative="1">
      <w:start w:val="1"/>
      <w:numFmt w:val="bullet"/>
      <w:lvlText w:val="•"/>
      <w:lvlJc w:val="left"/>
      <w:pPr>
        <w:tabs>
          <w:tab w:val="num" w:pos="4320"/>
        </w:tabs>
        <w:ind w:left="4320" w:hanging="360"/>
      </w:pPr>
      <w:rPr>
        <w:rFonts w:ascii="Times New Roman" w:hAnsi="Times New Roman" w:hint="default"/>
      </w:rPr>
    </w:lvl>
    <w:lvl w:ilvl="6" w:tplc="357E83AE" w:tentative="1">
      <w:start w:val="1"/>
      <w:numFmt w:val="bullet"/>
      <w:lvlText w:val="•"/>
      <w:lvlJc w:val="left"/>
      <w:pPr>
        <w:tabs>
          <w:tab w:val="num" w:pos="5040"/>
        </w:tabs>
        <w:ind w:left="5040" w:hanging="360"/>
      </w:pPr>
      <w:rPr>
        <w:rFonts w:ascii="Times New Roman" w:hAnsi="Times New Roman" w:hint="default"/>
      </w:rPr>
    </w:lvl>
    <w:lvl w:ilvl="7" w:tplc="109E03E2" w:tentative="1">
      <w:start w:val="1"/>
      <w:numFmt w:val="bullet"/>
      <w:lvlText w:val="•"/>
      <w:lvlJc w:val="left"/>
      <w:pPr>
        <w:tabs>
          <w:tab w:val="num" w:pos="5760"/>
        </w:tabs>
        <w:ind w:left="5760" w:hanging="360"/>
      </w:pPr>
      <w:rPr>
        <w:rFonts w:ascii="Times New Roman" w:hAnsi="Times New Roman" w:hint="default"/>
      </w:rPr>
    </w:lvl>
    <w:lvl w:ilvl="8" w:tplc="6C72F15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ED70E8"/>
    <w:multiLevelType w:val="hybridMultilevel"/>
    <w:tmpl w:val="83A0F376"/>
    <w:lvl w:ilvl="0" w:tplc="B8648696">
      <w:start w:val="1"/>
      <w:numFmt w:val="bullet"/>
      <w:lvlText w:val="•"/>
      <w:lvlJc w:val="left"/>
      <w:pPr>
        <w:tabs>
          <w:tab w:val="num" w:pos="720"/>
        </w:tabs>
        <w:ind w:left="720" w:hanging="360"/>
      </w:pPr>
      <w:rPr>
        <w:rFonts w:ascii="Times New Roman" w:hAnsi="Times New Roman" w:hint="default"/>
      </w:rPr>
    </w:lvl>
    <w:lvl w:ilvl="1" w:tplc="B732AA2A" w:tentative="1">
      <w:start w:val="1"/>
      <w:numFmt w:val="bullet"/>
      <w:lvlText w:val="•"/>
      <w:lvlJc w:val="left"/>
      <w:pPr>
        <w:tabs>
          <w:tab w:val="num" w:pos="1440"/>
        </w:tabs>
        <w:ind w:left="1440" w:hanging="360"/>
      </w:pPr>
      <w:rPr>
        <w:rFonts w:ascii="Times New Roman" w:hAnsi="Times New Roman" w:hint="default"/>
      </w:rPr>
    </w:lvl>
    <w:lvl w:ilvl="2" w:tplc="B3622336" w:tentative="1">
      <w:start w:val="1"/>
      <w:numFmt w:val="bullet"/>
      <w:lvlText w:val="•"/>
      <w:lvlJc w:val="left"/>
      <w:pPr>
        <w:tabs>
          <w:tab w:val="num" w:pos="2160"/>
        </w:tabs>
        <w:ind w:left="2160" w:hanging="360"/>
      </w:pPr>
      <w:rPr>
        <w:rFonts w:ascii="Times New Roman" w:hAnsi="Times New Roman" w:hint="default"/>
      </w:rPr>
    </w:lvl>
    <w:lvl w:ilvl="3" w:tplc="15329FE4" w:tentative="1">
      <w:start w:val="1"/>
      <w:numFmt w:val="bullet"/>
      <w:lvlText w:val="•"/>
      <w:lvlJc w:val="left"/>
      <w:pPr>
        <w:tabs>
          <w:tab w:val="num" w:pos="2880"/>
        </w:tabs>
        <w:ind w:left="2880" w:hanging="360"/>
      </w:pPr>
      <w:rPr>
        <w:rFonts w:ascii="Times New Roman" w:hAnsi="Times New Roman" w:hint="default"/>
      </w:rPr>
    </w:lvl>
    <w:lvl w:ilvl="4" w:tplc="9202E74A" w:tentative="1">
      <w:start w:val="1"/>
      <w:numFmt w:val="bullet"/>
      <w:lvlText w:val="•"/>
      <w:lvlJc w:val="left"/>
      <w:pPr>
        <w:tabs>
          <w:tab w:val="num" w:pos="3600"/>
        </w:tabs>
        <w:ind w:left="3600" w:hanging="360"/>
      </w:pPr>
      <w:rPr>
        <w:rFonts w:ascii="Times New Roman" w:hAnsi="Times New Roman" w:hint="default"/>
      </w:rPr>
    </w:lvl>
    <w:lvl w:ilvl="5" w:tplc="B8C6004C" w:tentative="1">
      <w:start w:val="1"/>
      <w:numFmt w:val="bullet"/>
      <w:lvlText w:val="•"/>
      <w:lvlJc w:val="left"/>
      <w:pPr>
        <w:tabs>
          <w:tab w:val="num" w:pos="4320"/>
        </w:tabs>
        <w:ind w:left="4320" w:hanging="360"/>
      </w:pPr>
      <w:rPr>
        <w:rFonts w:ascii="Times New Roman" w:hAnsi="Times New Roman" w:hint="default"/>
      </w:rPr>
    </w:lvl>
    <w:lvl w:ilvl="6" w:tplc="A34C0DBA" w:tentative="1">
      <w:start w:val="1"/>
      <w:numFmt w:val="bullet"/>
      <w:lvlText w:val="•"/>
      <w:lvlJc w:val="left"/>
      <w:pPr>
        <w:tabs>
          <w:tab w:val="num" w:pos="5040"/>
        </w:tabs>
        <w:ind w:left="5040" w:hanging="360"/>
      </w:pPr>
      <w:rPr>
        <w:rFonts w:ascii="Times New Roman" w:hAnsi="Times New Roman" w:hint="default"/>
      </w:rPr>
    </w:lvl>
    <w:lvl w:ilvl="7" w:tplc="D3F61C68" w:tentative="1">
      <w:start w:val="1"/>
      <w:numFmt w:val="bullet"/>
      <w:lvlText w:val="•"/>
      <w:lvlJc w:val="left"/>
      <w:pPr>
        <w:tabs>
          <w:tab w:val="num" w:pos="5760"/>
        </w:tabs>
        <w:ind w:left="5760" w:hanging="360"/>
      </w:pPr>
      <w:rPr>
        <w:rFonts w:ascii="Times New Roman" w:hAnsi="Times New Roman" w:hint="default"/>
      </w:rPr>
    </w:lvl>
    <w:lvl w:ilvl="8" w:tplc="0DD0444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37973150">
    <w:abstractNumId w:val="5"/>
  </w:num>
  <w:num w:numId="2" w16cid:durableId="38289082">
    <w:abstractNumId w:val="3"/>
  </w:num>
  <w:num w:numId="3" w16cid:durableId="1024870440">
    <w:abstractNumId w:val="4"/>
  </w:num>
  <w:num w:numId="4" w16cid:durableId="1474908897">
    <w:abstractNumId w:val="0"/>
  </w:num>
  <w:num w:numId="5" w16cid:durableId="96683979">
    <w:abstractNumId w:val="2"/>
  </w:num>
  <w:num w:numId="6" w16cid:durableId="418212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C4B"/>
    <w:rsid w:val="000073A0"/>
    <w:rsid w:val="00012AD6"/>
    <w:rsid w:val="00032BC2"/>
    <w:rsid w:val="000357AC"/>
    <w:rsid w:val="00035997"/>
    <w:rsid w:val="00047DBC"/>
    <w:rsid w:val="00052910"/>
    <w:rsid w:val="00054E14"/>
    <w:rsid w:val="000816FA"/>
    <w:rsid w:val="00086BBF"/>
    <w:rsid w:val="000A7749"/>
    <w:rsid w:val="000C4637"/>
    <w:rsid w:val="000D5792"/>
    <w:rsid w:val="000F01F9"/>
    <w:rsid w:val="000F6F8A"/>
    <w:rsid w:val="00107911"/>
    <w:rsid w:val="0011280D"/>
    <w:rsid w:val="00114869"/>
    <w:rsid w:val="00153B19"/>
    <w:rsid w:val="00190F9C"/>
    <w:rsid w:val="001A5135"/>
    <w:rsid w:val="001C4B24"/>
    <w:rsid w:val="001D4E8B"/>
    <w:rsid w:val="001E1C10"/>
    <w:rsid w:val="001E601D"/>
    <w:rsid w:val="001F3D51"/>
    <w:rsid w:val="001F595A"/>
    <w:rsid w:val="001F5FD0"/>
    <w:rsid w:val="00234062"/>
    <w:rsid w:val="00241C46"/>
    <w:rsid w:val="0026004A"/>
    <w:rsid w:val="00267A71"/>
    <w:rsid w:val="002730A4"/>
    <w:rsid w:val="00286265"/>
    <w:rsid w:val="0029195F"/>
    <w:rsid w:val="002929C1"/>
    <w:rsid w:val="002A15E8"/>
    <w:rsid w:val="002B0C1D"/>
    <w:rsid w:val="002F5559"/>
    <w:rsid w:val="003271AE"/>
    <w:rsid w:val="00327B0C"/>
    <w:rsid w:val="00337A82"/>
    <w:rsid w:val="0034503F"/>
    <w:rsid w:val="00364EAE"/>
    <w:rsid w:val="003712E0"/>
    <w:rsid w:val="00373B53"/>
    <w:rsid w:val="00374FFE"/>
    <w:rsid w:val="003769FF"/>
    <w:rsid w:val="00383768"/>
    <w:rsid w:val="00384CFD"/>
    <w:rsid w:val="003867EE"/>
    <w:rsid w:val="00391D32"/>
    <w:rsid w:val="003A4098"/>
    <w:rsid w:val="003D5DBF"/>
    <w:rsid w:val="003D7255"/>
    <w:rsid w:val="003F2CCB"/>
    <w:rsid w:val="003F3182"/>
    <w:rsid w:val="00403C4F"/>
    <w:rsid w:val="00421E7A"/>
    <w:rsid w:val="00424226"/>
    <w:rsid w:val="00425D8A"/>
    <w:rsid w:val="0043017B"/>
    <w:rsid w:val="00446FFD"/>
    <w:rsid w:val="004507EE"/>
    <w:rsid w:val="0045386D"/>
    <w:rsid w:val="00463B97"/>
    <w:rsid w:val="0047261A"/>
    <w:rsid w:val="00473B1B"/>
    <w:rsid w:val="004903D6"/>
    <w:rsid w:val="00497877"/>
    <w:rsid w:val="004A2E4B"/>
    <w:rsid w:val="004B1D8F"/>
    <w:rsid w:val="004B2DE6"/>
    <w:rsid w:val="004C6CCC"/>
    <w:rsid w:val="004D3330"/>
    <w:rsid w:val="004E2EAD"/>
    <w:rsid w:val="005029E9"/>
    <w:rsid w:val="00512F31"/>
    <w:rsid w:val="00514116"/>
    <w:rsid w:val="00535DFB"/>
    <w:rsid w:val="005407AE"/>
    <w:rsid w:val="00540CC3"/>
    <w:rsid w:val="005456FA"/>
    <w:rsid w:val="00564C1E"/>
    <w:rsid w:val="00571F18"/>
    <w:rsid w:val="005806C6"/>
    <w:rsid w:val="005B0221"/>
    <w:rsid w:val="005C00B1"/>
    <w:rsid w:val="005C4E2D"/>
    <w:rsid w:val="005D224B"/>
    <w:rsid w:val="005D589C"/>
    <w:rsid w:val="005D7B7A"/>
    <w:rsid w:val="005E6C11"/>
    <w:rsid w:val="00602ADE"/>
    <w:rsid w:val="00615BF3"/>
    <w:rsid w:val="00617C23"/>
    <w:rsid w:val="00621F25"/>
    <w:rsid w:val="00623B66"/>
    <w:rsid w:val="00624B25"/>
    <w:rsid w:val="00632BBE"/>
    <w:rsid w:val="0064141D"/>
    <w:rsid w:val="00641A14"/>
    <w:rsid w:val="00664FA6"/>
    <w:rsid w:val="00675E07"/>
    <w:rsid w:val="0067760A"/>
    <w:rsid w:val="006A0108"/>
    <w:rsid w:val="006A11EE"/>
    <w:rsid w:val="006C46CB"/>
    <w:rsid w:val="006C53DA"/>
    <w:rsid w:val="006D139D"/>
    <w:rsid w:val="006D7C13"/>
    <w:rsid w:val="006E7827"/>
    <w:rsid w:val="00721136"/>
    <w:rsid w:val="00743790"/>
    <w:rsid w:val="00745AA1"/>
    <w:rsid w:val="00761F9F"/>
    <w:rsid w:val="007667BA"/>
    <w:rsid w:val="00770E53"/>
    <w:rsid w:val="00771C93"/>
    <w:rsid w:val="00772882"/>
    <w:rsid w:val="00782873"/>
    <w:rsid w:val="00787594"/>
    <w:rsid w:val="0079372A"/>
    <w:rsid w:val="00793C45"/>
    <w:rsid w:val="007B0C40"/>
    <w:rsid w:val="007C404C"/>
    <w:rsid w:val="007C41F3"/>
    <w:rsid w:val="007C6312"/>
    <w:rsid w:val="007D2E9D"/>
    <w:rsid w:val="007D45FD"/>
    <w:rsid w:val="007E4F27"/>
    <w:rsid w:val="008117E9"/>
    <w:rsid w:val="00815AA4"/>
    <w:rsid w:val="0084237E"/>
    <w:rsid w:val="00842555"/>
    <w:rsid w:val="00853A68"/>
    <w:rsid w:val="008800FD"/>
    <w:rsid w:val="00883BA5"/>
    <w:rsid w:val="008A1C43"/>
    <w:rsid w:val="008B5EB8"/>
    <w:rsid w:val="008C0D55"/>
    <w:rsid w:val="008D0D07"/>
    <w:rsid w:val="008F663D"/>
    <w:rsid w:val="00904BE2"/>
    <w:rsid w:val="009057FE"/>
    <w:rsid w:val="009221A4"/>
    <w:rsid w:val="0092798E"/>
    <w:rsid w:val="00927E8B"/>
    <w:rsid w:val="00930AF5"/>
    <w:rsid w:val="0093106D"/>
    <w:rsid w:val="00932951"/>
    <w:rsid w:val="00934CD7"/>
    <w:rsid w:val="0094042F"/>
    <w:rsid w:val="00945487"/>
    <w:rsid w:val="00954F25"/>
    <w:rsid w:val="00966C3C"/>
    <w:rsid w:val="00972E23"/>
    <w:rsid w:val="00991F39"/>
    <w:rsid w:val="00997337"/>
    <w:rsid w:val="009A60A6"/>
    <w:rsid w:val="009C1465"/>
    <w:rsid w:val="009C22A7"/>
    <w:rsid w:val="009E446D"/>
    <w:rsid w:val="009F1914"/>
    <w:rsid w:val="00A158AC"/>
    <w:rsid w:val="00A20ED7"/>
    <w:rsid w:val="00A2711C"/>
    <w:rsid w:val="00A42B07"/>
    <w:rsid w:val="00A56FA6"/>
    <w:rsid w:val="00A61746"/>
    <w:rsid w:val="00A6664A"/>
    <w:rsid w:val="00A72159"/>
    <w:rsid w:val="00A930E9"/>
    <w:rsid w:val="00A956E0"/>
    <w:rsid w:val="00AA0C4B"/>
    <w:rsid w:val="00AB427B"/>
    <w:rsid w:val="00AE13BC"/>
    <w:rsid w:val="00AE25AB"/>
    <w:rsid w:val="00AE6653"/>
    <w:rsid w:val="00B04C3E"/>
    <w:rsid w:val="00B11601"/>
    <w:rsid w:val="00B17C8E"/>
    <w:rsid w:val="00B33D0A"/>
    <w:rsid w:val="00B42AB5"/>
    <w:rsid w:val="00B43123"/>
    <w:rsid w:val="00B44ED8"/>
    <w:rsid w:val="00B4510F"/>
    <w:rsid w:val="00B46875"/>
    <w:rsid w:val="00B539D9"/>
    <w:rsid w:val="00B72426"/>
    <w:rsid w:val="00B90B9F"/>
    <w:rsid w:val="00BA68D8"/>
    <w:rsid w:val="00BB1685"/>
    <w:rsid w:val="00BB4AC9"/>
    <w:rsid w:val="00BC0155"/>
    <w:rsid w:val="00BC3678"/>
    <w:rsid w:val="00BD5F81"/>
    <w:rsid w:val="00BE7DB2"/>
    <w:rsid w:val="00BF3190"/>
    <w:rsid w:val="00C11017"/>
    <w:rsid w:val="00C2304E"/>
    <w:rsid w:val="00C2597D"/>
    <w:rsid w:val="00C34738"/>
    <w:rsid w:val="00C52BBC"/>
    <w:rsid w:val="00C64219"/>
    <w:rsid w:val="00C77827"/>
    <w:rsid w:val="00C81C4E"/>
    <w:rsid w:val="00C83058"/>
    <w:rsid w:val="00C8391B"/>
    <w:rsid w:val="00C84B56"/>
    <w:rsid w:val="00CA364C"/>
    <w:rsid w:val="00CC2445"/>
    <w:rsid w:val="00CD509E"/>
    <w:rsid w:val="00CF51D6"/>
    <w:rsid w:val="00D01BCF"/>
    <w:rsid w:val="00D112DE"/>
    <w:rsid w:val="00D22737"/>
    <w:rsid w:val="00D25BF5"/>
    <w:rsid w:val="00D4507F"/>
    <w:rsid w:val="00D51646"/>
    <w:rsid w:val="00D5526F"/>
    <w:rsid w:val="00D60EC3"/>
    <w:rsid w:val="00D6159C"/>
    <w:rsid w:val="00D644EB"/>
    <w:rsid w:val="00D90A78"/>
    <w:rsid w:val="00DA5B80"/>
    <w:rsid w:val="00DC169E"/>
    <w:rsid w:val="00DD51B3"/>
    <w:rsid w:val="00DF26B6"/>
    <w:rsid w:val="00E1768F"/>
    <w:rsid w:val="00E21882"/>
    <w:rsid w:val="00E22089"/>
    <w:rsid w:val="00E30DB8"/>
    <w:rsid w:val="00E34C3B"/>
    <w:rsid w:val="00E66DC2"/>
    <w:rsid w:val="00E70322"/>
    <w:rsid w:val="00E870D0"/>
    <w:rsid w:val="00E93B07"/>
    <w:rsid w:val="00EB49E6"/>
    <w:rsid w:val="00EC395C"/>
    <w:rsid w:val="00EE0BB5"/>
    <w:rsid w:val="00EF2684"/>
    <w:rsid w:val="00EF6F72"/>
    <w:rsid w:val="00F210AB"/>
    <w:rsid w:val="00F2679F"/>
    <w:rsid w:val="00F54DD3"/>
    <w:rsid w:val="00F55573"/>
    <w:rsid w:val="00F6141C"/>
    <w:rsid w:val="00F623CF"/>
    <w:rsid w:val="00F64226"/>
    <w:rsid w:val="00F660B3"/>
    <w:rsid w:val="00F66765"/>
    <w:rsid w:val="00F7273A"/>
    <w:rsid w:val="00F86D7F"/>
    <w:rsid w:val="00FC4F0D"/>
    <w:rsid w:val="00FC5AD7"/>
    <w:rsid w:val="00FD7B8A"/>
    <w:rsid w:val="00FE3C45"/>
    <w:rsid w:val="00FF4B99"/>
    <w:rsid w:val="00FF7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1DB1B"/>
  <w15:chartTrackingRefBased/>
  <w15:docId w15:val="{AB507FE2-007E-6348-A462-F63784A64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774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39D"/>
    <w:pPr>
      <w:ind w:left="720"/>
      <w:contextualSpacing/>
    </w:pPr>
    <w:rPr>
      <w:rFonts w:ascii="Times New Roman" w:eastAsia="Times New Roman" w:hAnsi="Times New Roman" w:cs="Times New Roman"/>
      <w:sz w:val="20"/>
      <w:szCs w:val="20"/>
      <w:lang w:eastAsia="en-GB"/>
    </w:rPr>
  </w:style>
  <w:style w:type="character" w:customStyle="1" w:styleId="apple-converted-space">
    <w:name w:val="apple-converted-space"/>
    <w:basedOn w:val="DefaultParagraphFont"/>
    <w:rsid w:val="005C00B1"/>
  </w:style>
  <w:style w:type="paragraph" w:styleId="NormalWeb">
    <w:name w:val="Normal (Web)"/>
    <w:basedOn w:val="Normal"/>
    <w:uiPriority w:val="99"/>
    <w:semiHidden/>
    <w:unhideWhenUsed/>
    <w:rsid w:val="005E6C1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97877"/>
    <w:rPr>
      <w:color w:val="0563C1" w:themeColor="hyperlink"/>
      <w:u w:val="single"/>
    </w:rPr>
  </w:style>
  <w:style w:type="character" w:styleId="UnresolvedMention">
    <w:name w:val="Unresolved Mention"/>
    <w:basedOn w:val="DefaultParagraphFont"/>
    <w:uiPriority w:val="99"/>
    <w:semiHidden/>
    <w:unhideWhenUsed/>
    <w:rsid w:val="00497877"/>
    <w:rPr>
      <w:color w:val="605E5C"/>
      <w:shd w:val="clear" w:color="auto" w:fill="E1DFDD"/>
    </w:rPr>
  </w:style>
  <w:style w:type="character" w:customStyle="1" w:styleId="Heading1Char">
    <w:name w:val="Heading 1 Char"/>
    <w:basedOn w:val="DefaultParagraphFont"/>
    <w:link w:val="Heading1"/>
    <w:uiPriority w:val="9"/>
    <w:rsid w:val="000A774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A7749"/>
  </w:style>
  <w:style w:type="paragraph" w:styleId="Revision">
    <w:name w:val="Revision"/>
    <w:hidden/>
    <w:uiPriority w:val="99"/>
    <w:semiHidden/>
    <w:rsid w:val="008D0D07"/>
  </w:style>
  <w:style w:type="paragraph" w:styleId="NoSpacing">
    <w:name w:val="No Spacing"/>
    <w:link w:val="NoSpacingChar"/>
    <w:uiPriority w:val="1"/>
    <w:qFormat/>
    <w:rsid w:val="00540CC3"/>
    <w:rPr>
      <w:rFonts w:eastAsiaTheme="minorEastAsia"/>
      <w:sz w:val="22"/>
      <w:szCs w:val="22"/>
      <w:lang w:val="en-US" w:eastAsia="zh-CN"/>
    </w:rPr>
  </w:style>
  <w:style w:type="character" w:customStyle="1" w:styleId="NoSpacingChar">
    <w:name w:val="No Spacing Char"/>
    <w:basedOn w:val="DefaultParagraphFont"/>
    <w:link w:val="NoSpacing"/>
    <w:uiPriority w:val="1"/>
    <w:rsid w:val="00540CC3"/>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1319">
      <w:bodyDiv w:val="1"/>
      <w:marLeft w:val="0"/>
      <w:marRight w:val="0"/>
      <w:marTop w:val="0"/>
      <w:marBottom w:val="0"/>
      <w:divBdr>
        <w:top w:val="none" w:sz="0" w:space="0" w:color="auto"/>
        <w:left w:val="none" w:sz="0" w:space="0" w:color="auto"/>
        <w:bottom w:val="none" w:sz="0" w:space="0" w:color="auto"/>
        <w:right w:val="none" w:sz="0" w:space="0" w:color="auto"/>
      </w:divBdr>
    </w:div>
    <w:div w:id="73285221">
      <w:bodyDiv w:val="1"/>
      <w:marLeft w:val="0"/>
      <w:marRight w:val="0"/>
      <w:marTop w:val="0"/>
      <w:marBottom w:val="0"/>
      <w:divBdr>
        <w:top w:val="none" w:sz="0" w:space="0" w:color="auto"/>
        <w:left w:val="none" w:sz="0" w:space="0" w:color="auto"/>
        <w:bottom w:val="none" w:sz="0" w:space="0" w:color="auto"/>
        <w:right w:val="none" w:sz="0" w:space="0" w:color="auto"/>
      </w:divBdr>
    </w:div>
    <w:div w:id="141045253">
      <w:bodyDiv w:val="1"/>
      <w:marLeft w:val="0"/>
      <w:marRight w:val="0"/>
      <w:marTop w:val="0"/>
      <w:marBottom w:val="0"/>
      <w:divBdr>
        <w:top w:val="none" w:sz="0" w:space="0" w:color="auto"/>
        <w:left w:val="none" w:sz="0" w:space="0" w:color="auto"/>
        <w:bottom w:val="none" w:sz="0" w:space="0" w:color="auto"/>
        <w:right w:val="none" w:sz="0" w:space="0" w:color="auto"/>
      </w:divBdr>
      <w:divsChild>
        <w:div w:id="130641207">
          <w:marLeft w:val="547"/>
          <w:marRight w:val="0"/>
          <w:marTop w:val="0"/>
          <w:marBottom w:val="0"/>
          <w:divBdr>
            <w:top w:val="none" w:sz="0" w:space="0" w:color="auto"/>
            <w:left w:val="none" w:sz="0" w:space="0" w:color="auto"/>
            <w:bottom w:val="none" w:sz="0" w:space="0" w:color="auto"/>
            <w:right w:val="none" w:sz="0" w:space="0" w:color="auto"/>
          </w:divBdr>
        </w:div>
      </w:divsChild>
    </w:div>
    <w:div w:id="180701155">
      <w:bodyDiv w:val="1"/>
      <w:marLeft w:val="0"/>
      <w:marRight w:val="0"/>
      <w:marTop w:val="0"/>
      <w:marBottom w:val="0"/>
      <w:divBdr>
        <w:top w:val="none" w:sz="0" w:space="0" w:color="auto"/>
        <w:left w:val="none" w:sz="0" w:space="0" w:color="auto"/>
        <w:bottom w:val="none" w:sz="0" w:space="0" w:color="auto"/>
        <w:right w:val="none" w:sz="0" w:space="0" w:color="auto"/>
      </w:divBdr>
      <w:divsChild>
        <w:div w:id="656299481">
          <w:marLeft w:val="547"/>
          <w:marRight w:val="0"/>
          <w:marTop w:val="0"/>
          <w:marBottom w:val="0"/>
          <w:divBdr>
            <w:top w:val="none" w:sz="0" w:space="0" w:color="auto"/>
            <w:left w:val="none" w:sz="0" w:space="0" w:color="auto"/>
            <w:bottom w:val="none" w:sz="0" w:space="0" w:color="auto"/>
            <w:right w:val="none" w:sz="0" w:space="0" w:color="auto"/>
          </w:divBdr>
        </w:div>
      </w:divsChild>
    </w:div>
    <w:div w:id="202450680">
      <w:bodyDiv w:val="1"/>
      <w:marLeft w:val="0"/>
      <w:marRight w:val="0"/>
      <w:marTop w:val="0"/>
      <w:marBottom w:val="0"/>
      <w:divBdr>
        <w:top w:val="none" w:sz="0" w:space="0" w:color="auto"/>
        <w:left w:val="none" w:sz="0" w:space="0" w:color="auto"/>
        <w:bottom w:val="none" w:sz="0" w:space="0" w:color="auto"/>
        <w:right w:val="none" w:sz="0" w:space="0" w:color="auto"/>
      </w:divBdr>
    </w:div>
    <w:div w:id="237449973">
      <w:bodyDiv w:val="1"/>
      <w:marLeft w:val="0"/>
      <w:marRight w:val="0"/>
      <w:marTop w:val="0"/>
      <w:marBottom w:val="0"/>
      <w:divBdr>
        <w:top w:val="none" w:sz="0" w:space="0" w:color="auto"/>
        <w:left w:val="none" w:sz="0" w:space="0" w:color="auto"/>
        <w:bottom w:val="none" w:sz="0" w:space="0" w:color="auto"/>
        <w:right w:val="none" w:sz="0" w:space="0" w:color="auto"/>
      </w:divBdr>
    </w:div>
    <w:div w:id="248273921">
      <w:bodyDiv w:val="1"/>
      <w:marLeft w:val="0"/>
      <w:marRight w:val="0"/>
      <w:marTop w:val="0"/>
      <w:marBottom w:val="0"/>
      <w:divBdr>
        <w:top w:val="none" w:sz="0" w:space="0" w:color="auto"/>
        <w:left w:val="none" w:sz="0" w:space="0" w:color="auto"/>
        <w:bottom w:val="none" w:sz="0" w:space="0" w:color="auto"/>
        <w:right w:val="none" w:sz="0" w:space="0" w:color="auto"/>
      </w:divBdr>
    </w:div>
    <w:div w:id="259804295">
      <w:bodyDiv w:val="1"/>
      <w:marLeft w:val="0"/>
      <w:marRight w:val="0"/>
      <w:marTop w:val="0"/>
      <w:marBottom w:val="0"/>
      <w:divBdr>
        <w:top w:val="none" w:sz="0" w:space="0" w:color="auto"/>
        <w:left w:val="none" w:sz="0" w:space="0" w:color="auto"/>
        <w:bottom w:val="none" w:sz="0" w:space="0" w:color="auto"/>
        <w:right w:val="none" w:sz="0" w:space="0" w:color="auto"/>
      </w:divBdr>
    </w:div>
    <w:div w:id="283777186">
      <w:bodyDiv w:val="1"/>
      <w:marLeft w:val="0"/>
      <w:marRight w:val="0"/>
      <w:marTop w:val="0"/>
      <w:marBottom w:val="0"/>
      <w:divBdr>
        <w:top w:val="none" w:sz="0" w:space="0" w:color="auto"/>
        <w:left w:val="none" w:sz="0" w:space="0" w:color="auto"/>
        <w:bottom w:val="none" w:sz="0" w:space="0" w:color="auto"/>
        <w:right w:val="none" w:sz="0" w:space="0" w:color="auto"/>
      </w:divBdr>
    </w:div>
    <w:div w:id="319846450">
      <w:bodyDiv w:val="1"/>
      <w:marLeft w:val="0"/>
      <w:marRight w:val="0"/>
      <w:marTop w:val="0"/>
      <w:marBottom w:val="0"/>
      <w:divBdr>
        <w:top w:val="none" w:sz="0" w:space="0" w:color="auto"/>
        <w:left w:val="none" w:sz="0" w:space="0" w:color="auto"/>
        <w:bottom w:val="none" w:sz="0" w:space="0" w:color="auto"/>
        <w:right w:val="none" w:sz="0" w:space="0" w:color="auto"/>
      </w:divBdr>
    </w:div>
    <w:div w:id="363286892">
      <w:bodyDiv w:val="1"/>
      <w:marLeft w:val="0"/>
      <w:marRight w:val="0"/>
      <w:marTop w:val="0"/>
      <w:marBottom w:val="0"/>
      <w:divBdr>
        <w:top w:val="none" w:sz="0" w:space="0" w:color="auto"/>
        <w:left w:val="none" w:sz="0" w:space="0" w:color="auto"/>
        <w:bottom w:val="none" w:sz="0" w:space="0" w:color="auto"/>
        <w:right w:val="none" w:sz="0" w:space="0" w:color="auto"/>
      </w:divBdr>
      <w:divsChild>
        <w:div w:id="2120105205">
          <w:marLeft w:val="0"/>
          <w:marRight w:val="0"/>
          <w:marTop w:val="0"/>
          <w:marBottom w:val="0"/>
          <w:divBdr>
            <w:top w:val="single" w:sz="2" w:space="0" w:color="D9D9E3"/>
            <w:left w:val="single" w:sz="2" w:space="0" w:color="D9D9E3"/>
            <w:bottom w:val="single" w:sz="2" w:space="0" w:color="D9D9E3"/>
            <w:right w:val="single" w:sz="2" w:space="0" w:color="D9D9E3"/>
          </w:divBdr>
          <w:divsChild>
            <w:div w:id="2045788168">
              <w:marLeft w:val="0"/>
              <w:marRight w:val="0"/>
              <w:marTop w:val="0"/>
              <w:marBottom w:val="0"/>
              <w:divBdr>
                <w:top w:val="single" w:sz="2" w:space="0" w:color="D9D9E3"/>
                <w:left w:val="single" w:sz="2" w:space="0" w:color="D9D9E3"/>
                <w:bottom w:val="single" w:sz="2" w:space="0" w:color="D9D9E3"/>
                <w:right w:val="single" w:sz="2" w:space="0" w:color="D9D9E3"/>
              </w:divBdr>
              <w:divsChild>
                <w:div w:id="1591550021">
                  <w:marLeft w:val="0"/>
                  <w:marRight w:val="0"/>
                  <w:marTop w:val="0"/>
                  <w:marBottom w:val="0"/>
                  <w:divBdr>
                    <w:top w:val="single" w:sz="2" w:space="0" w:color="D9D9E3"/>
                    <w:left w:val="single" w:sz="2" w:space="0" w:color="D9D9E3"/>
                    <w:bottom w:val="single" w:sz="2" w:space="0" w:color="D9D9E3"/>
                    <w:right w:val="single" w:sz="2" w:space="0" w:color="D9D9E3"/>
                  </w:divBdr>
                  <w:divsChild>
                    <w:div w:id="1736514774">
                      <w:marLeft w:val="0"/>
                      <w:marRight w:val="0"/>
                      <w:marTop w:val="0"/>
                      <w:marBottom w:val="0"/>
                      <w:divBdr>
                        <w:top w:val="single" w:sz="2" w:space="0" w:color="D9D9E3"/>
                        <w:left w:val="single" w:sz="2" w:space="0" w:color="D9D9E3"/>
                        <w:bottom w:val="single" w:sz="2" w:space="0" w:color="D9D9E3"/>
                        <w:right w:val="single" w:sz="2" w:space="0" w:color="D9D9E3"/>
                      </w:divBdr>
                      <w:divsChild>
                        <w:div w:id="1714381326">
                          <w:marLeft w:val="0"/>
                          <w:marRight w:val="0"/>
                          <w:marTop w:val="0"/>
                          <w:marBottom w:val="0"/>
                          <w:divBdr>
                            <w:top w:val="single" w:sz="2" w:space="0" w:color="auto"/>
                            <w:left w:val="single" w:sz="2" w:space="0" w:color="auto"/>
                            <w:bottom w:val="single" w:sz="6" w:space="0" w:color="auto"/>
                            <w:right w:val="single" w:sz="2" w:space="0" w:color="auto"/>
                          </w:divBdr>
                          <w:divsChild>
                            <w:div w:id="1195996825">
                              <w:marLeft w:val="0"/>
                              <w:marRight w:val="0"/>
                              <w:marTop w:val="100"/>
                              <w:marBottom w:val="100"/>
                              <w:divBdr>
                                <w:top w:val="single" w:sz="2" w:space="0" w:color="D9D9E3"/>
                                <w:left w:val="single" w:sz="2" w:space="0" w:color="D9D9E3"/>
                                <w:bottom w:val="single" w:sz="2" w:space="0" w:color="D9D9E3"/>
                                <w:right w:val="single" w:sz="2" w:space="0" w:color="D9D9E3"/>
                              </w:divBdr>
                              <w:divsChild>
                                <w:div w:id="1865315531">
                                  <w:marLeft w:val="0"/>
                                  <w:marRight w:val="0"/>
                                  <w:marTop w:val="0"/>
                                  <w:marBottom w:val="0"/>
                                  <w:divBdr>
                                    <w:top w:val="single" w:sz="2" w:space="0" w:color="D9D9E3"/>
                                    <w:left w:val="single" w:sz="2" w:space="0" w:color="D9D9E3"/>
                                    <w:bottom w:val="single" w:sz="2" w:space="0" w:color="D9D9E3"/>
                                    <w:right w:val="single" w:sz="2" w:space="0" w:color="D9D9E3"/>
                                  </w:divBdr>
                                  <w:divsChild>
                                    <w:div w:id="409158744">
                                      <w:marLeft w:val="0"/>
                                      <w:marRight w:val="0"/>
                                      <w:marTop w:val="0"/>
                                      <w:marBottom w:val="0"/>
                                      <w:divBdr>
                                        <w:top w:val="single" w:sz="2" w:space="0" w:color="D9D9E3"/>
                                        <w:left w:val="single" w:sz="2" w:space="0" w:color="D9D9E3"/>
                                        <w:bottom w:val="single" w:sz="2" w:space="0" w:color="D9D9E3"/>
                                        <w:right w:val="single" w:sz="2" w:space="0" w:color="D9D9E3"/>
                                      </w:divBdr>
                                      <w:divsChild>
                                        <w:div w:id="938681440">
                                          <w:marLeft w:val="0"/>
                                          <w:marRight w:val="0"/>
                                          <w:marTop w:val="0"/>
                                          <w:marBottom w:val="0"/>
                                          <w:divBdr>
                                            <w:top w:val="single" w:sz="2" w:space="0" w:color="D9D9E3"/>
                                            <w:left w:val="single" w:sz="2" w:space="0" w:color="D9D9E3"/>
                                            <w:bottom w:val="single" w:sz="2" w:space="0" w:color="D9D9E3"/>
                                            <w:right w:val="single" w:sz="2" w:space="0" w:color="D9D9E3"/>
                                          </w:divBdr>
                                          <w:divsChild>
                                            <w:div w:id="1207253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14748343">
          <w:marLeft w:val="0"/>
          <w:marRight w:val="0"/>
          <w:marTop w:val="0"/>
          <w:marBottom w:val="0"/>
          <w:divBdr>
            <w:top w:val="none" w:sz="0" w:space="0" w:color="auto"/>
            <w:left w:val="none" w:sz="0" w:space="0" w:color="auto"/>
            <w:bottom w:val="none" w:sz="0" w:space="0" w:color="auto"/>
            <w:right w:val="none" w:sz="0" w:space="0" w:color="auto"/>
          </w:divBdr>
        </w:div>
      </w:divsChild>
    </w:div>
    <w:div w:id="380785926">
      <w:bodyDiv w:val="1"/>
      <w:marLeft w:val="0"/>
      <w:marRight w:val="0"/>
      <w:marTop w:val="0"/>
      <w:marBottom w:val="0"/>
      <w:divBdr>
        <w:top w:val="none" w:sz="0" w:space="0" w:color="auto"/>
        <w:left w:val="none" w:sz="0" w:space="0" w:color="auto"/>
        <w:bottom w:val="none" w:sz="0" w:space="0" w:color="auto"/>
        <w:right w:val="none" w:sz="0" w:space="0" w:color="auto"/>
      </w:divBdr>
    </w:div>
    <w:div w:id="517238050">
      <w:bodyDiv w:val="1"/>
      <w:marLeft w:val="0"/>
      <w:marRight w:val="0"/>
      <w:marTop w:val="0"/>
      <w:marBottom w:val="0"/>
      <w:divBdr>
        <w:top w:val="none" w:sz="0" w:space="0" w:color="auto"/>
        <w:left w:val="none" w:sz="0" w:space="0" w:color="auto"/>
        <w:bottom w:val="none" w:sz="0" w:space="0" w:color="auto"/>
        <w:right w:val="none" w:sz="0" w:space="0" w:color="auto"/>
      </w:divBdr>
    </w:div>
    <w:div w:id="538470695">
      <w:bodyDiv w:val="1"/>
      <w:marLeft w:val="0"/>
      <w:marRight w:val="0"/>
      <w:marTop w:val="0"/>
      <w:marBottom w:val="0"/>
      <w:divBdr>
        <w:top w:val="none" w:sz="0" w:space="0" w:color="auto"/>
        <w:left w:val="none" w:sz="0" w:space="0" w:color="auto"/>
        <w:bottom w:val="none" w:sz="0" w:space="0" w:color="auto"/>
        <w:right w:val="none" w:sz="0" w:space="0" w:color="auto"/>
      </w:divBdr>
    </w:div>
    <w:div w:id="648486014">
      <w:bodyDiv w:val="1"/>
      <w:marLeft w:val="0"/>
      <w:marRight w:val="0"/>
      <w:marTop w:val="0"/>
      <w:marBottom w:val="0"/>
      <w:divBdr>
        <w:top w:val="none" w:sz="0" w:space="0" w:color="auto"/>
        <w:left w:val="none" w:sz="0" w:space="0" w:color="auto"/>
        <w:bottom w:val="none" w:sz="0" w:space="0" w:color="auto"/>
        <w:right w:val="none" w:sz="0" w:space="0" w:color="auto"/>
      </w:divBdr>
    </w:div>
    <w:div w:id="652830627">
      <w:bodyDiv w:val="1"/>
      <w:marLeft w:val="0"/>
      <w:marRight w:val="0"/>
      <w:marTop w:val="0"/>
      <w:marBottom w:val="0"/>
      <w:divBdr>
        <w:top w:val="none" w:sz="0" w:space="0" w:color="auto"/>
        <w:left w:val="none" w:sz="0" w:space="0" w:color="auto"/>
        <w:bottom w:val="none" w:sz="0" w:space="0" w:color="auto"/>
        <w:right w:val="none" w:sz="0" w:space="0" w:color="auto"/>
      </w:divBdr>
      <w:divsChild>
        <w:div w:id="2041054663">
          <w:marLeft w:val="0"/>
          <w:marRight w:val="0"/>
          <w:marTop w:val="0"/>
          <w:marBottom w:val="0"/>
          <w:divBdr>
            <w:top w:val="none" w:sz="0" w:space="0" w:color="auto"/>
            <w:left w:val="none" w:sz="0" w:space="0" w:color="auto"/>
            <w:bottom w:val="none" w:sz="0" w:space="0" w:color="auto"/>
            <w:right w:val="none" w:sz="0" w:space="0" w:color="auto"/>
          </w:divBdr>
          <w:divsChild>
            <w:div w:id="2017420351">
              <w:marLeft w:val="0"/>
              <w:marRight w:val="0"/>
              <w:marTop w:val="0"/>
              <w:marBottom w:val="0"/>
              <w:divBdr>
                <w:top w:val="none" w:sz="0" w:space="0" w:color="auto"/>
                <w:left w:val="none" w:sz="0" w:space="0" w:color="auto"/>
                <w:bottom w:val="none" w:sz="0" w:space="0" w:color="auto"/>
                <w:right w:val="none" w:sz="0" w:space="0" w:color="auto"/>
              </w:divBdr>
              <w:divsChild>
                <w:div w:id="95456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007563">
      <w:bodyDiv w:val="1"/>
      <w:marLeft w:val="0"/>
      <w:marRight w:val="0"/>
      <w:marTop w:val="0"/>
      <w:marBottom w:val="0"/>
      <w:divBdr>
        <w:top w:val="none" w:sz="0" w:space="0" w:color="auto"/>
        <w:left w:val="none" w:sz="0" w:space="0" w:color="auto"/>
        <w:bottom w:val="none" w:sz="0" w:space="0" w:color="auto"/>
        <w:right w:val="none" w:sz="0" w:space="0" w:color="auto"/>
      </w:divBdr>
    </w:div>
    <w:div w:id="759714632">
      <w:bodyDiv w:val="1"/>
      <w:marLeft w:val="0"/>
      <w:marRight w:val="0"/>
      <w:marTop w:val="0"/>
      <w:marBottom w:val="0"/>
      <w:divBdr>
        <w:top w:val="none" w:sz="0" w:space="0" w:color="auto"/>
        <w:left w:val="none" w:sz="0" w:space="0" w:color="auto"/>
        <w:bottom w:val="none" w:sz="0" w:space="0" w:color="auto"/>
        <w:right w:val="none" w:sz="0" w:space="0" w:color="auto"/>
      </w:divBdr>
      <w:divsChild>
        <w:div w:id="505247450">
          <w:marLeft w:val="0"/>
          <w:marRight w:val="0"/>
          <w:marTop w:val="0"/>
          <w:marBottom w:val="0"/>
          <w:divBdr>
            <w:top w:val="none" w:sz="0" w:space="0" w:color="auto"/>
            <w:left w:val="none" w:sz="0" w:space="0" w:color="auto"/>
            <w:bottom w:val="none" w:sz="0" w:space="0" w:color="auto"/>
            <w:right w:val="none" w:sz="0" w:space="0" w:color="auto"/>
          </w:divBdr>
          <w:divsChild>
            <w:div w:id="1713335614">
              <w:marLeft w:val="0"/>
              <w:marRight w:val="0"/>
              <w:marTop w:val="0"/>
              <w:marBottom w:val="0"/>
              <w:divBdr>
                <w:top w:val="none" w:sz="0" w:space="0" w:color="auto"/>
                <w:left w:val="none" w:sz="0" w:space="0" w:color="auto"/>
                <w:bottom w:val="none" w:sz="0" w:space="0" w:color="auto"/>
                <w:right w:val="none" w:sz="0" w:space="0" w:color="auto"/>
              </w:divBdr>
              <w:divsChild>
                <w:div w:id="139515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476627">
      <w:bodyDiv w:val="1"/>
      <w:marLeft w:val="0"/>
      <w:marRight w:val="0"/>
      <w:marTop w:val="0"/>
      <w:marBottom w:val="0"/>
      <w:divBdr>
        <w:top w:val="none" w:sz="0" w:space="0" w:color="auto"/>
        <w:left w:val="none" w:sz="0" w:space="0" w:color="auto"/>
        <w:bottom w:val="none" w:sz="0" w:space="0" w:color="auto"/>
        <w:right w:val="none" w:sz="0" w:space="0" w:color="auto"/>
      </w:divBdr>
    </w:div>
    <w:div w:id="866215972">
      <w:bodyDiv w:val="1"/>
      <w:marLeft w:val="0"/>
      <w:marRight w:val="0"/>
      <w:marTop w:val="0"/>
      <w:marBottom w:val="0"/>
      <w:divBdr>
        <w:top w:val="none" w:sz="0" w:space="0" w:color="auto"/>
        <w:left w:val="none" w:sz="0" w:space="0" w:color="auto"/>
        <w:bottom w:val="none" w:sz="0" w:space="0" w:color="auto"/>
        <w:right w:val="none" w:sz="0" w:space="0" w:color="auto"/>
      </w:divBdr>
    </w:div>
    <w:div w:id="887497411">
      <w:bodyDiv w:val="1"/>
      <w:marLeft w:val="0"/>
      <w:marRight w:val="0"/>
      <w:marTop w:val="0"/>
      <w:marBottom w:val="0"/>
      <w:divBdr>
        <w:top w:val="none" w:sz="0" w:space="0" w:color="auto"/>
        <w:left w:val="none" w:sz="0" w:space="0" w:color="auto"/>
        <w:bottom w:val="none" w:sz="0" w:space="0" w:color="auto"/>
        <w:right w:val="none" w:sz="0" w:space="0" w:color="auto"/>
      </w:divBdr>
    </w:div>
    <w:div w:id="892736889">
      <w:bodyDiv w:val="1"/>
      <w:marLeft w:val="0"/>
      <w:marRight w:val="0"/>
      <w:marTop w:val="0"/>
      <w:marBottom w:val="0"/>
      <w:divBdr>
        <w:top w:val="none" w:sz="0" w:space="0" w:color="auto"/>
        <w:left w:val="none" w:sz="0" w:space="0" w:color="auto"/>
        <w:bottom w:val="none" w:sz="0" w:space="0" w:color="auto"/>
        <w:right w:val="none" w:sz="0" w:space="0" w:color="auto"/>
      </w:divBdr>
    </w:div>
    <w:div w:id="963387482">
      <w:bodyDiv w:val="1"/>
      <w:marLeft w:val="0"/>
      <w:marRight w:val="0"/>
      <w:marTop w:val="0"/>
      <w:marBottom w:val="0"/>
      <w:divBdr>
        <w:top w:val="none" w:sz="0" w:space="0" w:color="auto"/>
        <w:left w:val="none" w:sz="0" w:space="0" w:color="auto"/>
        <w:bottom w:val="none" w:sz="0" w:space="0" w:color="auto"/>
        <w:right w:val="none" w:sz="0" w:space="0" w:color="auto"/>
      </w:divBdr>
    </w:div>
    <w:div w:id="999505514">
      <w:bodyDiv w:val="1"/>
      <w:marLeft w:val="0"/>
      <w:marRight w:val="0"/>
      <w:marTop w:val="0"/>
      <w:marBottom w:val="0"/>
      <w:divBdr>
        <w:top w:val="none" w:sz="0" w:space="0" w:color="auto"/>
        <w:left w:val="none" w:sz="0" w:space="0" w:color="auto"/>
        <w:bottom w:val="none" w:sz="0" w:space="0" w:color="auto"/>
        <w:right w:val="none" w:sz="0" w:space="0" w:color="auto"/>
      </w:divBdr>
    </w:div>
    <w:div w:id="1013847281">
      <w:bodyDiv w:val="1"/>
      <w:marLeft w:val="0"/>
      <w:marRight w:val="0"/>
      <w:marTop w:val="0"/>
      <w:marBottom w:val="0"/>
      <w:divBdr>
        <w:top w:val="none" w:sz="0" w:space="0" w:color="auto"/>
        <w:left w:val="none" w:sz="0" w:space="0" w:color="auto"/>
        <w:bottom w:val="none" w:sz="0" w:space="0" w:color="auto"/>
        <w:right w:val="none" w:sz="0" w:space="0" w:color="auto"/>
      </w:divBdr>
    </w:div>
    <w:div w:id="1028338010">
      <w:bodyDiv w:val="1"/>
      <w:marLeft w:val="0"/>
      <w:marRight w:val="0"/>
      <w:marTop w:val="0"/>
      <w:marBottom w:val="0"/>
      <w:divBdr>
        <w:top w:val="none" w:sz="0" w:space="0" w:color="auto"/>
        <w:left w:val="none" w:sz="0" w:space="0" w:color="auto"/>
        <w:bottom w:val="none" w:sz="0" w:space="0" w:color="auto"/>
        <w:right w:val="none" w:sz="0" w:space="0" w:color="auto"/>
      </w:divBdr>
    </w:div>
    <w:div w:id="1063019249">
      <w:bodyDiv w:val="1"/>
      <w:marLeft w:val="0"/>
      <w:marRight w:val="0"/>
      <w:marTop w:val="0"/>
      <w:marBottom w:val="0"/>
      <w:divBdr>
        <w:top w:val="none" w:sz="0" w:space="0" w:color="auto"/>
        <w:left w:val="none" w:sz="0" w:space="0" w:color="auto"/>
        <w:bottom w:val="none" w:sz="0" w:space="0" w:color="auto"/>
        <w:right w:val="none" w:sz="0" w:space="0" w:color="auto"/>
      </w:divBdr>
    </w:div>
    <w:div w:id="1074624749">
      <w:bodyDiv w:val="1"/>
      <w:marLeft w:val="0"/>
      <w:marRight w:val="0"/>
      <w:marTop w:val="0"/>
      <w:marBottom w:val="0"/>
      <w:divBdr>
        <w:top w:val="none" w:sz="0" w:space="0" w:color="auto"/>
        <w:left w:val="none" w:sz="0" w:space="0" w:color="auto"/>
        <w:bottom w:val="none" w:sz="0" w:space="0" w:color="auto"/>
        <w:right w:val="none" w:sz="0" w:space="0" w:color="auto"/>
      </w:divBdr>
    </w:div>
    <w:div w:id="1126697243">
      <w:bodyDiv w:val="1"/>
      <w:marLeft w:val="0"/>
      <w:marRight w:val="0"/>
      <w:marTop w:val="0"/>
      <w:marBottom w:val="0"/>
      <w:divBdr>
        <w:top w:val="none" w:sz="0" w:space="0" w:color="auto"/>
        <w:left w:val="none" w:sz="0" w:space="0" w:color="auto"/>
        <w:bottom w:val="none" w:sz="0" w:space="0" w:color="auto"/>
        <w:right w:val="none" w:sz="0" w:space="0" w:color="auto"/>
      </w:divBdr>
    </w:div>
    <w:div w:id="1189097510">
      <w:bodyDiv w:val="1"/>
      <w:marLeft w:val="0"/>
      <w:marRight w:val="0"/>
      <w:marTop w:val="0"/>
      <w:marBottom w:val="0"/>
      <w:divBdr>
        <w:top w:val="none" w:sz="0" w:space="0" w:color="auto"/>
        <w:left w:val="none" w:sz="0" w:space="0" w:color="auto"/>
        <w:bottom w:val="none" w:sz="0" w:space="0" w:color="auto"/>
        <w:right w:val="none" w:sz="0" w:space="0" w:color="auto"/>
      </w:divBdr>
    </w:div>
    <w:div w:id="1189373364">
      <w:bodyDiv w:val="1"/>
      <w:marLeft w:val="0"/>
      <w:marRight w:val="0"/>
      <w:marTop w:val="0"/>
      <w:marBottom w:val="0"/>
      <w:divBdr>
        <w:top w:val="none" w:sz="0" w:space="0" w:color="auto"/>
        <w:left w:val="none" w:sz="0" w:space="0" w:color="auto"/>
        <w:bottom w:val="none" w:sz="0" w:space="0" w:color="auto"/>
        <w:right w:val="none" w:sz="0" w:space="0" w:color="auto"/>
      </w:divBdr>
    </w:div>
    <w:div w:id="1308558638">
      <w:bodyDiv w:val="1"/>
      <w:marLeft w:val="0"/>
      <w:marRight w:val="0"/>
      <w:marTop w:val="0"/>
      <w:marBottom w:val="0"/>
      <w:divBdr>
        <w:top w:val="none" w:sz="0" w:space="0" w:color="auto"/>
        <w:left w:val="none" w:sz="0" w:space="0" w:color="auto"/>
        <w:bottom w:val="none" w:sz="0" w:space="0" w:color="auto"/>
        <w:right w:val="none" w:sz="0" w:space="0" w:color="auto"/>
      </w:divBdr>
    </w:div>
    <w:div w:id="1333290645">
      <w:bodyDiv w:val="1"/>
      <w:marLeft w:val="0"/>
      <w:marRight w:val="0"/>
      <w:marTop w:val="0"/>
      <w:marBottom w:val="0"/>
      <w:divBdr>
        <w:top w:val="none" w:sz="0" w:space="0" w:color="auto"/>
        <w:left w:val="none" w:sz="0" w:space="0" w:color="auto"/>
        <w:bottom w:val="none" w:sz="0" w:space="0" w:color="auto"/>
        <w:right w:val="none" w:sz="0" w:space="0" w:color="auto"/>
      </w:divBdr>
    </w:div>
    <w:div w:id="1336373261">
      <w:bodyDiv w:val="1"/>
      <w:marLeft w:val="0"/>
      <w:marRight w:val="0"/>
      <w:marTop w:val="0"/>
      <w:marBottom w:val="0"/>
      <w:divBdr>
        <w:top w:val="none" w:sz="0" w:space="0" w:color="auto"/>
        <w:left w:val="none" w:sz="0" w:space="0" w:color="auto"/>
        <w:bottom w:val="none" w:sz="0" w:space="0" w:color="auto"/>
        <w:right w:val="none" w:sz="0" w:space="0" w:color="auto"/>
      </w:divBdr>
    </w:div>
    <w:div w:id="1439567799">
      <w:bodyDiv w:val="1"/>
      <w:marLeft w:val="0"/>
      <w:marRight w:val="0"/>
      <w:marTop w:val="0"/>
      <w:marBottom w:val="0"/>
      <w:divBdr>
        <w:top w:val="none" w:sz="0" w:space="0" w:color="auto"/>
        <w:left w:val="none" w:sz="0" w:space="0" w:color="auto"/>
        <w:bottom w:val="none" w:sz="0" w:space="0" w:color="auto"/>
        <w:right w:val="none" w:sz="0" w:space="0" w:color="auto"/>
      </w:divBdr>
    </w:div>
    <w:div w:id="1545562002">
      <w:bodyDiv w:val="1"/>
      <w:marLeft w:val="0"/>
      <w:marRight w:val="0"/>
      <w:marTop w:val="0"/>
      <w:marBottom w:val="0"/>
      <w:divBdr>
        <w:top w:val="none" w:sz="0" w:space="0" w:color="auto"/>
        <w:left w:val="none" w:sz="0" w:space="0" w:color="auto"/>
        <w:bottom w:val="none" w:sz="0" w:space="0" w:color="auto"/>
        <w:right w:val="none" w:sz="0" w:space="0" w:color="auto"/>
      </w:divBdr>
    </w:div>
    <w:div w:id="1687950141">
      <w:bodyDiv w:val="1"/>
      <w:marLeft w:val="0"/>
      <w:marRight w:val="0"/>
      <w:marTop w:val="0"/>
      <w:marBottom w:val="0"/>
      <w:divBdr>
        <w:top w:val="none" w:sz="0" w:space="0" w:color="auto"/>
        <w:left w:val="none" w:sz="0" w:space="0" w:color="auto"/>
        <w:bottom w:val="none" w:sz="0" w:space="0" w:color="auto"/>
        <w:right w:val="none" w:sz="0" w:space="0" w:color="auto"/>
      </w:divBdr>
    </w:div>
    <w:div w:id="1694458824">
      <w:bodyDiv w:val="1"/>
      <w:marLeft w:val="0"/>
      <w:marRight w:val="0"/>
      <w:marTop w:val="0"/>
      <w:marBottom w:val="0"/>
      <w:divBdr>
        <w:top w:val="none" w:sz="0" w:space="0" w:color="auto"/>
        <w:left w:val="none" w:sz="0" w:space="0" w:color="auto"/>
        <w:bottom w:val="none" w:sz="0" w:space="0" w:color="auto"/>
        <w:right w:val="none" w:sz="0" w:space="0" w:color="auto"/>
      </w:divBdr>
    </w:div>
    <w:div w:id="1711221014">
      <w:bodyDiv w:val="1"/>
      <w:marLeft w:val="0"/>
      <w:marRight w:val="0"/>
      <w:marTop w:val="0"/>
      <w:marBottom w:val="0"/>
      <w:divBdr>
        <w:top w:val="none" w:sz="0" w:space="0" w:color="auto"/>
        <w:left w:val="none" w:sz="0" w:space="0" w:color="auto"/>
        <w:bottom w:val="none" w:sz="0" w:space="0" w:color="auto"/>
        <w:right w:val="none" w:sz="0" w:space="0" w:color="auto"/>
      </w:divBdr>
    </w:div>
    <w:div w:id="1762988881">
      <w:bodyDiv w:val="1"/>
      <w:marLeft w:val="0"/>
      <w:marRight w:val="0"/>
      <w:marTop w:val="0"/>
      <w:marBottom w:val="0"/>
      <w:divBdr>
        <w:top w:val="none" w:sz="0" w:space="0" w:color="auto"/>
        <w:left w:val="none" w:sz="0" w:space="0" w:color="auto"/>
        <w:bottom w:val="none" w:sz="0" w:space="0" w:color="auto"/>
        <w:right w:val="none" w:sz="0" w:space="0" w:color="auto"/>
      </w:divBdr>
    </w:div>
    <w:div w:id="1891575052">
      <w:bodyDiv w:val="1"/>
      <w:marLeft w:val="0"/>
      <w:marRight w:val="0"/>
      <w:marTop w:val="0"/>
      <w:marBottom w:val="0"/>
      <w:divBdr>
        <w:top w:val="none" w:sz="0" w:space="0" w:color="auto"/>
        <w:left w:val="none" w:sz="0" w:space="0" w:color="auto"/>
        <w:bottom w:val="none" w:sz="0" w:space="0" w:color="auto"/>
        <w:right w:val="none" w:sz="0" w:space="0" w:color="auto"/>
      </w:divBdr>
    </w:div>
    <w:div w:id="1955556798">
      <w:bodyDiv w:val="1"/>
      <w:marLeft w:val="0"/>
      <w:marRight w:val="0"/>
      <w:marTop w:val="0"/>
      <w:marBottom w:val="0"/>
      <w:divBdr>
        <w:top w:val="none" w:sz="0" w:space="0" w:color="auto"/>
        <w:left w:val="none" w:sz="0" w:space="0" w:color="auto"/>
        <w:bottom w:val="none" w:sz="0" w:space="0" w:color="auto"/>
        <w:right w:val="none" w:sz="0" w:space="0" w:color="auto"/>
      </w:divBdr>
      <w:divsChild>
        <w:div w:id="243879110">
          <w:marLeft w:val="547"/>
          <w:marRight w:val="0"/>
          <w:marTop w:val="0"/>
          <w:marBottom w:val="0"/>
          <w:divBdr>
            <w:top w:val="none" w:sz="0" w:space="0" w:color="auto"/>
            <w:left w:val="none" w:sz="0" w:space="0" w:color="auto"/>
            <w:bottom w:val="none" w:sz="0" w:space="0" w:color="auto"/>
            <w:right w:val="none" w:sz="0" w:space="0" w:color="auto"/>
          </w:divBdr>
        </w:div>
      </w:divsChild>
    </w:div>
    <w:div w:id="2079664971">
      <w:bodyDiv w:val="1"/>
      <w:marLeft w:val="0"/>
      <w:marRight w:val="0"/>
      <w:marTop w:val="0"/>
      <w:marBottom w:val="0"/>
      <w:divBdr>
        <w:top w:val="none" w:sz="0" w:space="0" w:color="auto"/>
        <w:left w:val="none" w:sz="0" w:space="0" w:color="auto"/>
        <w:bottom w:val="none" w:sz="0" w:space="0" w:color="auto"/>
        <w:right w:val="none" w:sz="0" w:space="0" w:color="auto"/>
      </w:divBdr>
      <w:divsChild>
        <w:div w:id="149988794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{CAC9E9DB-58BB-FB4E-A16F-6C6A8AC70D88}</b:Guid>
    <b:RefOrder>5</b:RefOrder>
  </b:Source>
  <b:Source>
    <b:Tag>gov57</b:Tag>
    <b:SourceType>InternetSite</b:SourceType>
    <b:Guid>{1B5184E3-0D2D-C346-AC1D-A9A3AA7FA5B3}</b:Guid>
    <b:Author>
      <b:Author>
        <b:Corporate>gov.uk</b:Corporate>
      </b:Author>
    </b:Author>
    <b:Title>legislation.gov.uk</b:Title>
    <b:URL>https://www.legislation.gov.uk/ukpga/Eliz2/5-6/11/section/2/enacted</b:URL>
    <b:Year>1991</b:Year>
    <b:YearAccessed>2023</b:YearAccessed>
    <b:MonthAccessed>02</b:MonthAccessed>
    <b:DayAccessed>14</b:DayAccessed>
    <b:RefOrder>6</b:RefOrder>
  </b:Source>
  <b:Source>
    <b:Tag>Nic17</b:Tag>
    <b:SourceType>InternetSite</b:SourceType>
    <b:Guid>{7F53B2D4-8EE2-0A40-9362-682C9266CA45}</b:Guid>
    <b:Title>Diminished Responsibility</b:Title>
    <b:URL>https://www.brettwilson.co.uk/blog/diminished-responsibility-defence-murder/</b:URL>
    <b:Year>2017</b:Year>
    <b:YearAccessed>2023</b:YearAccessed>
    <b:MonthAccessed>02</b:MonthAccessed>
    <b:DayAccessed>14</b:DayAccessed>
    <b:Author>
      <b:Author>
        <b:Corporate>Nick Brett </b:Corporate>
      </b:Author>
    </b:Author>
    <b:RefOrder>7</b:RefOrder>
  </b:Source>
  <b:Source>
    <b:Tag>gov09</b:Tag>
    <b:SourceType>InternetSite</b:SourceType>
    <b:Guid>{62A772D4-3675-0845-9327-421AED509BAF}</b:Guid>
    <b:Author>
      <b:Author>
        <b:Corporate>gov.uk</b:Corporate>
      </b:Author>
    </b:Author>
    <b:Title>Coroners and Justice Act 2009 Explanatory Notes</b:Title>
    <b:URL>https://www.legislation.gov.uk/ukpga/2009/25/notes/division/5/1/2?type=en&amp;view=plain</b:URL>
    <b:Year>2009</b:Year>
    <b:YearAccessed>2023</b:YearAccessed>
    <b:MonthAccessed>02</b:MonthAccessed>
    <b:DayAccessed>15</b:DayAccessed>
    <b:RefOrder>8</b:RefOrder>
  </b:Source>
  <b:Source>
    <b:Tag>drA18</b:Tag>
    <b:SourceType>Report</b:SourceType>
    <b:Guid>{C2461B13-3B66-C646-BDE2-7ABF36564A25}</b:Guid>
    <b:Title>Diminished Responsibility:</b:Title>
    <b:Year>2018</b:Year>
    <b:Author>
      <b:Author>
        <b:NameList>
          <b:Person>
            <b:Last>Liu</b:Last>
            <b:First>dr</b:First>
            <b:Middle>Amy</b:Middle>
          </b:Person>
        </b:NameList>
      </b:Author>
    </b:Author>
    <b:Publisher>archives of pyschiatry </b:Publisher>
    <b:City>hong kong </b:City>
    <b:RefOrder>9</b:RefOrder>
  </b:Source>
  <b:Source>
    <b:Tag>cor10</b:Tag>
    <b:SourceType>DocumentFromInternetSite</b:SourceType>
    <b:Guid>{57E8D402-C51E-7149-9364-B30D708A925C}</b:Guid>
    <b:Title>coroners and justice act 2009</b:Title>
    <b:Year>2010</b:Year>
    <b:URL>https://www.legislation.gov.uk/ukpga/2009/25/section/52</b:URL>
    <b:Month>10</b:Month>
    <b:Day>04</b:Day>
    <b:YearAccessed>2023</b:YearAccessed>
    <b:MonthAccessed>02</b:MonthAccessed>
    <b:DayAccessed>15</b:DayAccessed>
    <b:Author>
      <b:Author>
        <b:Corporate>Gov.uk </b:Corporate>
      </b:Author>
    </b:Author>
    <b:RefOrder>10</b:RefOrder>
  </b:Source>
  <b:Source>
    <b:Tag>Car14</b:Tag>
    <b:SourceType>DocumentFromInternetSite</b:SourceType>
    <b:Guid>{2FADC35B-A3BB-E947-BD71-729704EEEFB3}</b:Guid>
    <b:Author>
      <b:Author>
        <b:NameList>
          <b:Person>
            <b:Last>Blockley</b:Last>
            <b:First>Carrie-Ann</b:First>
          </b:Person>
        </b:NameList>
      </b:Author>
    </b:Author>
    <b:Title>The Plymouth Law &amp; Criminal Justice Review</b:Title>
    <b:URL>https://pearl.plymouth.ac.uk/bitstream/handle/10026.1/8995/PLCJR_V6_11_Blockley.pdf?sequence=4&amp;isAllowed=y</b:URL>
    <b:Year>2014</b:Year>
    <b:YearAccessed>2023</b:YearAccessed>
    <b:MonthAccessed>02</b:MonthAccessed>
    <b:DayAccessed>15</b:DayAccessed>
    <b:RefOrder>11</b:RefOrder>
  </b:Source>
  <b:Source>
    <b:Tag>leg09</b:Tag>
    <b:SourceType>DocumentFromInternetSite</b:SourceType>
    <b:Guid>{3AFCBE39-AA15-8A4F-B935-F05572171934}</b:Guid>
    <b:Author>
      <b:Author>
        <b:Corporate>legislation.gov.uk</b:Corporate>
      </b:Author>
    </b:Author>
    <b:Title>Coroners and Justice Act 2009 Explanatory Notes</b:Title>
    <b:URL>https://www.legislation.gov.uk/ukpga/2009/25/pdfs/ukpgaen_20090025_en.pdf</b:URL>
    <b:Year>2009</b:Year>
    <b:Month>11</b:Month>
    <b:Day>12</b:Day>
    <b:YearAccessed>2023</b:YearAccessed>
    <b:MonthAccessed>02</b:MonthAccessed>
    <b:DayAccessed>15</b:DayAccessed>
    <b:RefOrder>12</b:RefOrder>
  </b:Source>
  <b:Source>
    <b:Tag>kri17</b:Tag>
    <b:SourceType>JournalArticle</b:SourceType>
    <b:Guid>{A38FA6B9-456B-D049-BB66-F093F3F5A69B}</b:Guid>
    <b:Title>Violence against Women: State Responsibilities in International Human Rights Law</b:Title>
    <b:Year>2017</b:Year>
    <b:Author>
      <b:Author>
        <b:NameList>
          <b:Person>
            <b:Last>Andrews</b:Last>
            <b:First>kristen</b:First>
          </b:Person>
        </b:NameList>
      </b:Author>
    </b:Author>
    <b:JournalName>sage journals</b:JournalName>
    <b:Volume>26</b:Volume>
    <b:Issue>2</b:Issue>
    <b:Pages>3</b:Pages>
    <b:RefOrder>13</b:RefOrder>
  </b:Source>
  <b:Source>
    <b:Tag>Sus10</b:Tag>
    <b:SourceType>JournalArticle</b:SourceType>
    <b:Guid>{FE106348-E92F-424D-99A1-48C1EE3A2EB1}</b:Guid>
    <b:Author>
      <b:Author>
        <b:NameList>
          <b:Person>
            <b:Last>Edwards</b:Last>
            <b:First>Susan</b:First>
          </b:Person>
        </b:NameList>
      </b:Author>
    </b:Author>
    <b:Title>Anger and Fear as Justifiable Preludes for Loss of Self-Control</b:Title>
    <b:JournalName>research gate </b:JournalName>
    <b:Year>2010</b:Year>
    <b:Volume>19</b:Volume>
    <b:Pages>3</b:Pages>
    <b:RefOrder>14</b:RefOrder>
  </b:Source>
  <b:Source>
    <b:Tag>Luc21</b:Tag>
    <b:SourceType>JournalArticle</b:SourceType>
    <b:Guid>{64246961-B276-C542-A140-5727B1582278}</b:Guid>
    <b:Author>
      <b:Author>
        <b:NameList>
          <b:Person>
            <b:Last>Houten</b:Last>
            <b:First>Lucas</b:First>
          </b:Person>
        </b:NameList>
      </b:Author>
    </b:Author>
    <b:Title>Loss of self-control, Qualifying trigger, fear of violence, proposals</b:Title>
    <b:Year>2021</b:Year>
    <b:Issue>4</b:Issue>
    <b:Pages>1</b:Pages>
    <b:RefOrder>2</b:RefOrder>
  </b:Source>
  <b:Source>
    <b:Tag>Lou18</b:Tag>
    <b:SourceType>Book</b:SourceType>
    <b:Guid>{48AFDE92-2D55-A04D-BBFB-84ABF680DE03}</b:Guid>
    <b:Title>Elliott &amp; Quinn's Criminal Law</b:Title>
    <b:Year>2018</b:Year>
    <b:Author>
      <b:Author>
        <b:NameList>
          <b:Person>
            <b:Last>Taylor</b:Last>
            <b:First>Louise</b:First>
          </b:Person>
        </b:NameList>
      </b:Author>
    </b:Author>
    <b:Publisher>pearson education </b:Publisher>
    <b:Edition>12th</b:Edition>
    <b:RefOrder>4</b:RefOrder>
  </b:Source>
  <b:Source>
    <b:Tag>Amy18</b:Tag>
    <b:SourceType>JournalArticle</b:SourceType>
    <b:Guid>{BE4F8B04-1D2E-C24F-83F0-3AFE72BA41DA}</b:Guid>
    <b:Title>Diminshed responsibility </b:Title>
    <b:Year>2018</b:Year>
    <b:Author>
      <b:Author>
        <b:NameList>
          <b:Person>
            <b:Last>Liu</b:Last>
            <b:First>Amy</b:First>
          </b:Person>
        </b:NameList>
      </b:Author>
    </b:Author>
    <b:JournalName>Law Reform in the United Kingdom and Personal Perspective on Forensic Psychiatric Practice in Hong Kong</b:JournalName>
    <b:Issue>5</b:Issue>
    <b:Pages>4</b:Pages>
    <b:RefOrder>1</b:RefOrder>
  </b:Source>
  <b:Source>
    <b:Tag>Sar11</b:Tag>
    <b:SourceType>JournalArticle</b:SourceType>
    <b:Guid>{DF88D86D-8D99-EA41-A146-C450C3783B70}</b:Guid>
    <b:Author>
      <b:Author>
        <b:NameList>
          <b:Person>
            <b:Last>Hodgkinson</b:Last>
            <b:First>Sarah</b:First>
          </b:Person>
        </b:NameList>
      </b:Author>
    </b:Author>
    <b:Title>Homicide law reform</b:Title>
    <b:JournalName>revisited and reassessed</b:JournalName>
    <b:Year>2011</b:Year>
    <b:Issue>8</b:Issue>
    <b:Pages>5</b:Pages>
    <b:RefOrder>3</b:RefOrder>
  </b:Source>
</b:Sources>
</file>

<file path=customXml/itemProps1.xml><?xml version="1.0" encoding="utf-8"?>
<ds:datastoreItem xmlns:ds="http://schemas.openxmlformats.org/officeDocument/2006/customXml" ds:itemID="{B03BF8C9-4A0C-6D4B-BD85-27B69BDF0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1549</Words>
  <Characters>9034</Characters>
  <Application>Microsoft Office Word</Application>
  <DocSecurity>0</DocSecurity>
  <Lines>291</Lines>
  <Paragraphs>60</Paragraphs>
  <ScaleCrop>false</ScaleCrop>
  <HeadingPairs>
    <vt:vector size="2" baseType="variant">
      <vt:variant>
        <vt:lpstr>Title</vt:lpstr>
      </vt:variant>
      <vt:variant>
        <vt:i4>1</vt:i4>
      </vt:variant>
    </vt:vector>
  </HeadingPairs>
  <TitlesOfParts>
    <vt:vector size="1" baseType="lpstr">
      <vt:lpstr/>
    </vt:vector>
  </TitlesOfParts>
  <Company>2204730</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Diminished responsibility</dc:title>
  <dc:subject>BMPL4009</dc:subject>
  <dc:creator>Saffron Simon</dc:creator>
  <cp:keywords/>
  <dc:description/>
  <cp:lastModifiedBy>Saffron Simon</cp:lastModifiedBy>
  <cp:revision>7</cp:revision>
  <dcterms:created xsi:type="dcterms:W3CDTF">2023-03-09T14:33:00Z</dcterms:created>
  <dcterms:modified xsi:type="dcterms:W3CDTF">2023-03-09T14:37:00Z</dcterms:modified>
</cp:coreProperties>
</file>