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0B172"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b/>
          <w:bCs/>
          <w:color w:val="000000" w:themeColor="text1"/>
          <w:sz w:val="36"/>
          <w:szCs w:val="36"/>
        </w:rPr>
        <w:t>Programme:</w:t>
      </w:r>
    </w:p>
    <w:p w14:paraId="08245B5A"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color w:val="000000" w:themeColor="text1"/>
          <w:sz w:val="36"/>
          <w:szCs w:val="36"/>
        </w:rPr>
        <w:t>Certificate of Higher Education Skills for the Workplace (Health and Social Care)</w:t>
      </w:r>
    </w:p>
    <w:p w14:paraId="75D1459D"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b/>
          <w:bCs/>
          <w:color w:val="000000" w:themeColor="text1"/>
          <w:sz w:val="36"/>
          <w:szCs w:val="36"/>
        </w:rPr>
        <w:t>Module:</w:t>
      </w:r>
    </w:p>
    <w:p w14:paraId="78688188" w14:textId="77777777" w:rsidR="009C304B" w:rsidRPr="00B809E1" w:rsidRDefault="009C304B" w:rsidP="00C80BC4">
      <w:pPr>
        <w:spacing w:line="360" w:lineRule="auto"/>
        <w:jc w:val="center"/>
        <w:rPr>
          <w:rFonts w:ascii="Arial" w:hAnsi="Arial" w:cs="Arial"/>
          <w:color w:val="000000" w:themeColor="text1"/>
          <w:sz w:val="36"/>
          <w:szCs w:val="36"/>
        </w:rPr>
      </w:pPr>
      <w:r w:rsidRPr="00B809E1">
        <w:rPr>
          <w:rFonts w:ascii="Arial" w:hAnsi="Arial" w:cs="Arial"/>
          <w:color w:val="000000" w:themeColor="text1"/>
          <w:sz w:val="36"/>
          <w:szCs w:val="36"/>
        </w:rPr>
        <w:t>Introduction to Health and Social Care</w:t>
      </w:r>
    </w:p>
    <w:p w14:paraId="5C3E3504" w14:textId="77777777" w:rsidR="009C304B" w:rsidRPr="00B809E1" w:rsidRDefault="009C304B" w:rsidP="00C80BC4">
      <w:pPr>
        <w:spacing w:line="360" w:lineRule="auto"/>
        <w:jc w:val="center"/>
        <w:rPr>
          <w:rFonts w:ascii="Arial" w:hAnsi="Arial" w:cs="Arial"/>
          <w:color w:val="000000" w:themeColor="text1"/>
          <w:sz w:val="36"/>
          <w:szCs w:val="36"/>
        </w:rPr>
      </w:pPr>
      <w:r w:rsidRPr="00B809E1">
        <w:rPr>
          <w:rFonts w:ascii="Arial" w:hAnsi="Arial" w:cs="Arial"/>
          <w:color w:val="000000" w:themeColor="text1"/>
          <w:sz w:val="36"/>
          <w:szCs w:val="36"/>
        </w:rPr>
        <w:t xml:space="preserve"> (</w:t>
      </w:r>
      <w:r w:rsidRPr="00B809E1">
        <w:rPr>
          <w:rFonts w:ascii="Arial" w:hAnsi="Arial" w:cs="Arial"/>
          <w:sz w:val="36"/>
          <w:szCs w:val="36"/>
        </w:rPr>
        <w:t>LCHS4003</w:t>
      </w:r>
      <w:r w:rsidRPr="00B809E1">
        <w:rPr>
          <w:rFonts w:ascii="Arial" w:hAnsi="Arial" w:cs="Arial"/>
          <w:color w:val="000000" w:themeColor="text1"/>
          <w:sz w:val="36"/>
          <w:szCs w:val="36"/>
        </w:rPr>
        <w:t>)</w:t>
      </w:r>
    </w:p>
    <w:p w14:paraId="5984C8F9"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b/>
          <w:bCs/>
          <w:color w:val="000000" w:themeColor="text1"/>
          <w:sz w:val="36"/>
          <w:szCs w:val="36"/>
        </w:rPr>
        <w:t>Assignment Title:</w:t>
      </w:r>
    </w:p>
    <w:p w14:paraId="67955187" w14:textId="66D6F932" w:rsidR="006507E3" w:rsidRPr="00B809E1" w:rsidRDefault="00A809E9" w:rsidP="006507E3">
      <w:pPr>
        <w:spacing w:line="360" w:lineRule="auto"/>
        <w:jc w:val="center"/>
        <w:rPr>
          <w:rFonts w:ascii="Arial" w:hAnsi="Arial" w:cs="Arial"/>
          <w:color w:val="000000" w:themeColor="text1"/>
          <w:sz w:val="36"/>
          <w:szCs w:val="36"/>
        </w:rPr>
      </w:pPr>
      <w:r>
        <w:rPr>
          <w:rFonts w:ascii="Arial" w:hAnsi="Arial" w:cs="Arial"/>
          <w:color w:val="000000" w:themeColor="text1"/>
          <w:sz w:val="36"/>
          <w:szCs w:val="36"/>
        </w:rPr>
        <w:t xml:space="preserve"> </w:t>
      </w:r>
      <w:r w:rsidR="006507E3">
        <w:rPr>
          <w:rFonts w:ascii="Arial" w:hAnsi="Arial" w:cs="Arial"/>
          <w:color w:val="000000" w:themeColor="text1"/>
          <w:sz w:val="36"/>
          <w:szCs w:val="36"/>
        </w:rPr>
        <w:t xml:space="preserve">Written Assignment </w:t>
      </w:r>
    </w:p>
    <w:p w14:paraId="7700A495"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b/>
          <w:bCs/>
          <w:color w:val="000000" w:themeColor="text1"/>
          <w:sz w:val="36"/>
          <w:szCs w:val="36"/>
        </w:rPr>
        <w:t>Student Name:</w:t>
      </w:r>
    </w:p>
    <w:p w14:paraId="6EB6D107" w14:textId="77777777" w:rsidR="009C304B" w:rsidRPr="00B809E1" w:rsidRDefault="009C304B" w:rsidP="00C80BC4">
      <w:pPr>
        <w:spacing w:line="360" w:lineRule="auto"/>
        <w:jc w:val="center"/>
        <w:rPr>
          <w:rFonts w:ascii="Arial" w:hAnsi="Arial" w:cs="Arial"/>
          <w:color w:val="000000" w:themeColor="text1"/>
          <w:sz w:val="36"/>
          <w:szCs w:val="36"/>
        </w:rPr>
      </w:pPr>
      <w:r w:rsidRPr="00B809E1">
        <w:rPr>
          <w:rFonts w:ascii="Arial" w:hAnsi="Arial" w:cs="Arial"/>
          <w:color w:val="000000" w:themeColor="text1"/>
          <w:sz w:val="36"/>
          <w:szCs w:val="36"/>
        </w:rPr>
        <w:t>Sabrina Cardoso</w:t>
      </w:r>
    </w:p>
    <w:p w14:paraId="767DDEC5"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b/>
          <w:bCs/>
          <w:color w:val="000000" w:themeColor="text1"/>
          <w:sz w:val="36"/>
          <w:szCs w:val="36"/>
        </w:rPr>
        <w:t>Student Number:</w:t>
      </w:r>
    </w:p>
    <w:p w14:paraId="55D814B1" w14:textId="77777777" w:rsidR="009C304B" w:rsidRPr="00B809E1" w:rsidRDefault="009C304B" w:rsidP="00C80BC4">
      <w:pPr>
        <w:spacing w:line="360" w:lineRule="auto"/>
        <w:jc w:val="center"/>
        <w:rPr>
          <w:rFonts w:ascii="Arial" w:hAnsi="Arial" w:cs="Arial"/>
          <w:color w:val="000000" w:themeColor="text1"/>
          <w:sz w:val="36"/>
          <w:szCs w:val="36"/>
        </w:rPr>
      </w:pPr>
      <w:r w:rsidRPr="00B809E1">
        <w:rPr>
          <w:rFonts w:ascii="Arial" w:hAnsi="Arial" w:cs="Arial"/>
          <w:color w:val="000000" w:themeColor="text1"/>
          <w:sz w:val="36"/>
          <w:szCs w:val="36"/>
        </w:rPr>
        <w:t>2431942</w:t>
      </w:r>
    </w:p>
    <w:p w14:paraId="5D9E9E25"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b/>
          <w:bCs/>
          <w:color w:val="000000" w:themeColor="text1"/>
          <w:sz w:val="36"/>
          <w:szCs w:val="36"/>
        </w:rPr>
        <w:t>Lecturer:</w:t>
      </w:r>
    </w:p>
    <w:p w14:paraId="2925D519" w14:textId="77777777" w:rsidR="009C304B" w:rsidRPr="00B809E1" w:rsidRDefault="009C304B" w:rsidP="00C80BC4">
      <w:pPr>
        <w:spacing w:line="360" w:lineRule="auto"/>
        <w:jc w:val="center"/>
        <w:rPr>
          <w:rFonts w:ascii="Arial" w:hAnsi="Arial" w:cs="Arial"/>
          <w:color w:val="000000" w:themeColor="text1"/>
          <w:sz w:val="36"/>
          <w:szCs w:val="36"/>
        </w:rPr>
      </w:pPr>
      <w:r w:rsidRPr="00B809E1">
        <w:rPr>
          <w:rFonts w:ascii="Arial" w:hAnsi="Arial" w:cs="Arial"/>
          <w:color w:val="000000" w:themeColor="text1"/>
          <w:sz w:val="36"/>
          <w:szCs w:val="36"/>
        </w:rPr>
        <w:t>Helen Parsons</w:t>
      </w:r>
    </w:p>
    <w:p w14:paraId="2B6CE9E3" w14:textId="77777777" w:rsidR="009C304B" w:rsidRPr="00B809E1" w:rsidRDefault="009C304B" w:rsidP="00C80BC4">
      <w:pPr>
        <w:spacing w:line="360" w:lineRule="auto"/>
        <w:jc w:val="center"/>
        <w:rPr>
          <w:rFonts w:ascii="Arial" w:hAnsi="Arial" w:cs="Arial"/>
          <w:b/>
          <w:bCs/>
          <w:color w:val="000000" w:themeColor="text1"/>
          <w:sz w:val="36"/>
          <w:szCs w:val="36"/>
        </w:rPr>
      </w:pPr>
      <w:r w:rsidRPr="00B809E1">
        <w:rPr>
          <w:rFonts w:ascii="Arial" w:hAnsi="Arial" w:cs="Arial"/>
          <w:b/>
          <w:bCs/>
          <w:color w:val="000000" w:themeColor="text1"/>
          <w:sz w:val="36"/>
          <w:szCs w:val="36"/>
        </w:rPr>
        <w:t>Word Count:</w:t>
      </w:r>
    </w:p>
    <w:p w14:paraId="0C558016" w14:textId="77777777" w:rsidR="009C304B" w:rsidRDefault="009C304B" w:rsidP="00C80BC4">
      <w:pPr>
        <w:spacing w:line="360" w:lineRule="auto"/>
        <w:jc w:val="center"/>
        <w:rPr>
          <w:rFonts w:ascii="Arial" w:hAnsi="Arial" w:cs="Arial"/>
          <w:color w:val="000000" w:themeColor="text1"/>
          <w:sz w:val="36"/>
          <w:szCs w:val="36"/>
        </w:rPr>
      </w:pPr>
      <w:r w:rsidRPr="00B809E1">
        <w:rPr>
          <w:rFonts w:ascii="Arial" w:hAnsi="Arial" w:cs="Arial"/>
          <w:color w:val="000000" w:themeColor="text1"/>
          <w:sz w:val="36"/>
          <w:szCs w:val="36"/>
        </w:rPr>
        <w:t>1500 words</w:t>
      </w:r>
    </w:p>
    <w:p w14:paraId="471F7E92" w14:textId="77777777" w:rsidR="009C304B" w:rsidRDefault="009C304B" w:rsidP="00C80BC4">
      <w:pPr>
        <w:spacing w:line="360" w:lineRule="auto"/>
        <w:jc w:val="center"/>
        <w:rPr>
          <w:rFonts w:ascii="Arial" w:hAnsi="Arial" w:cs="Arial"/>
          <w:color w:val="000000" w:themeColor="text1"/>
          <w:sz w:val="36"/>
          <w:szCs w:val="36"/>
        </w:rPr>
      </w:pPr>
    </w:p>
    <w:p w14:paraId="1E4771D2" w14:textId="77777777" w:rsidR="009C304B" w:rsidRPr="00B809E1" w:rsidRDefault="009C304B" w:rsidP="00C80BC4">
      <w:pPr>
        <w:spacing w:line="360" w:lineRule="auto"/>
        <w:jc w:val="center"/>
        <w:rPr>
          <w:rFonts w:ascii="Arial" w:hAnsi="Arial" w:cs="Arial"/>
          <w:color w:val="000000" w:themeColor="text1"/>
          <w:sz w:val="36"/>
          <w:szCs w:val="36"/>
        </w:rPr>
      </w:pPr>
    </w:p>
    <w:p w14:paraId="35E64368" w14:textId="77777777" w:rsidR="009C304B" w:rsidRPr="0087428C" w:rsidRDefault="009C304B" w:rsidP="004164E0">
      <w:pPr>
        <w:jc w:val="center"/>
        <w:rPr>
          <w:rFonts w:ascii="Arial" w:hAnsi="Arial" w:cs="Arial"/>
          <w:b/>
          <w:bCs/>
          <w:color w:val="002060"/>
          <w:sz w:val="22"/>
          <w:szCs w:val="22"/>
        </w:rPr>
      </w:pPr>
    </w:p>
    <w:p w14:paraId="5DB4B682" w14:textId="77777777" w:rsidR="009C304B" w:rsidRPr="004164E0" w:rsidRDefault="009C304B" w:rsidP="004164E0">
      <w:pPr>
        <w:spacing w:line="240" w:lineRule="auto"/>
        <w:jc w:val="center"/>
        <w:rPr>
          <w:rFonts w:ascii="Arial" w:hAnsi="Arial" w:cs="Arial"/>
          <w:b/>
          <w:bCs/>
          <w:color w:val="000000" w:themeColor="text1"/>
          <w:sz w:val="22"/>
          <w:szCs w:val="22"/>
        </w:rPr>
      </w:pPr>
      <w:r w:rsidRPr="004164E0">
        <w:rPr>
          <w:rFonts w:ascii="Arial" w:hAnsi="Arial" w:cs="Arial"/>
          <w:b/>
          <w:bCs/>
          <w:color w:val="000000" w:themeColor="text1"/>
          <w:sz w:val="22"/>
          <w:szCs w:val="22"/>
        </w:rPr>
        <w:t>Index</w:t>
      </w:r>
    </w:p>
    <w:p w14:paraId="78CA8F3C" w14:textId="56C360A6" w:rsidR="009C304B" w:rsidRDefault="00E254B0" w:rsidP="004164E0">
      <w:pPr>
        <w:spacing w:line="240" w:lineRule="auto"/>
        <w:jc w:val="center"/>
        <w:rPr>
          <w:rFonts w:ascii="Arial" w:hAnsi="Arial" w:cs="Arial"/>
          <w:color w:val="000000" w:themeColor="text1"/>
          <w:sz w:val="22"/>
          <w:szCs w:val="22"/>
        </w:rPr>
      </w:pPr>
      <w:r>
        <w:rPr>
          <w:rFonts w:ascii="Arial" w:hAnsi="Arial" w:cs="Arial"/>
          <w:color w:val="000000" w:themeColor="text1"/>
          <w:sz w:val="22"/>
          <w:szCs w:val="22"/>
        </w:rPr>
        <w:t>Introduction</w:t>
      </w:r>
      <w:r w:rsidR="009C304B" w:rsidRPr="00D64A30">
        <w:rPr>
          <w:rFonts w:ascii="Arial" w:hAnsi="Arial" w:cs="Arial"/>
          <w:color w:val="000000" w:themeColor="text1"/>
          <w:sz w:val="22"/>
          <w:szCs w:val="22"/>
        </w:rPr>
        <w:t>.................................................................. Page 3</w:t>
      </w:r>
    </w:p>
    <w:p w14:paraId="3F7FC2E0" w14:textId="305B7BF0" w:rsidR="00D736D3" w:rsidRPr="00D64A30" w:rsidRDefault="00D736D3" w:rsidP="004164E0">
      <w:pPr>
        <w:spacing w:line="240" w:lineRule="auto"/>
        <w:jc w:val="center"/>
        <w:rPr>
          <w:rFonts w:ascii="Arial" w:hAnsi="Arial" w:cs="Arial"/>
          <w:color w:val="000000" w:themeColor="text1"/>
          <w:sz w:val="22"/>
          <w:szCs w:val="22"/>
        </w:rPr>
      </w:pPr>
      <w:r>
        <w:rPr>
          <w:rFonts w:ascii="Arial" w:hAnsi="Arial" w:cs="Arial"/>
          <w:color w:val="000000" w:themeColor="text1"/>
          <w:sz w:val="22"/>
          <w:szCs w:val="22"/>
        </w:rPr>
        <w:t>Effective Communication in Mrs Mann’s Care................................</w:t>
      </w:r>
      <w:r w:rsidR="00B553EE">
        <w:rPr>
          <w:rFonts w:ascii="Arial" w:hAnsi="Arial" w:cs="Arial"/>
          <w:color w:val="000000" w:themeColor="text1"/>
          <w:sz w:val="22"/>
          <w:szCs w:val="22"/>
        </w:rPr>
        <w:t>..............................</w:t>
      </w:r>
      <w:r w:rsidR="002E7029">
        <w:rPr>
          <w:rFonts w:ascii="Arial" w:hAnsi="Arial" w:cs="Arial"/>
          <w:color w:val="000000" w:themeColor="text1"/>
          <w:sz w:val="22"/>
          <w:szCs w:val="22"/>
        </w:rPr>
        <w:t>page 3</w:t>
      </w:r>
    </w:p>
    <w:p w14:paraId="0DE5F439" w14:textId="42BDCDB1" w:rsidR="009C304B" w:rsidRPr="00D64A30" w:rsidRDefault="002F662A" w:rsidP="004164E0">
      <w:pPr>
        <w:spacing w:line="240" w:lineRule="auto"/>
        <w:jc w:val="center"/>
        <w:rPr>
          <w:rFonts w:ascii="Arial" w:hAnsi="Arial" w:cs="Arial"/>
          <w:color w:val="000000" w:themeColor="text1"/>
          <w:sz w:val="22"/>
          <w:szCs w:val="22"/>
        </w:rPr>
      </w:pPr>
      <w:r>
        <w:rPr>
          <w:rFonts w:ascii="Arial" w:hAnsi="Arial" w:cs="Arial"/>
          <w:color w:val="000000" w:themeColor="text1"/>
          <w:sz w:val="22"/>
          <w:szCs w:val="22"/>
        </w:rPr>
        <w:t xml:space="preserve">Administrative Skills and Record Keeping </w:t>
      </w:r>
      <w:r w:rsidR="009C304B" w:rsidRPr="00D64A30">
        <w:rPr>
          <w:rFonts w:ascii="Arial" w:hAnsi="Arial" w:cs="Arial"/>
          <w:color w:val="000000" w:themeColor="text1"/>
          <w:sz w:val="22"/>
          <w:szCs w:val="22"/>
        </w:rPr>
        <w:t>................................................................. Page 4-5</w:t>
      </w:r>
    </w:p>
    <w:p w14:paraId="49D6F91C" w14:textId="3DE3339A" w:rsidR="009C304B" w:rsidRDefault="00B553EE" w:rsidP="004164E0">
      <w:pPr>
        <w:spacing w:line="240" w:lineRule="auto"/>
        <w:jc w:val="center"/>
        <w:rPr>
          <w:rFonts w:ascii="Arial" w:hAnsi="Arial" w:cs="Arial"/>
          <w:color w:val="000000" w:themeColor="text1"/>
          <w:sz w:val="22"/>
          <w:szCs w:val="22"/>
        </w:rPr>
      </w:pPr>
      <w:r>
        <w:rPr>
          <w:rFonts w:ascii="Arial" w:hAnsi="Arial" w:cs="Arial"/>
          <w:color w:val="000000" w:themeColor="text1"/>
          <w:sz w:val="22"/>
          <w:szCs w:val="22"/>
        </w:rPr>
        <w:t xml:space="preserve">Collaborative Working in Mrs Mann’s Care </w:t>
      </w:r>
      <w:r w:rsidR="009C304B" w:rsidRPr="00D64A30">
        <w:rPr>
          <w:rFonts w:ascii="Arial" w:hAnsi="Arial" w:cs="Arial"/>
          <w:color w:val="000000" w:themeColor="text1"/>
          <w:sz w:val="22"/>
          <w:szCs w:val="22"/>
        </w:rPr>
        <w:t>..................................................... Page 6</w:t>
      </w:r>
    </w:p>
    <w:p w14:paraId="6000E318" w14:textId="205F9E1E" w:rsidR="002E7029" w:rsidRDefault="002E445D" w:rsidP="004164E0">
      <w:pPr>
        <w:spacing w:line="240" w:lineRule="auto"/>
        <w:jc w:val="center"/>
        <w:rPr>
          <w:rFonts w:ascii="Arial" w:hAnsi="Arial" w:cs="Arial"/>
          <w:color w:val="000000" w:themeColor="text1"/>
          <w:sz w:val="22"/>
          <w:szCs w:val="22"/>
        </w:rPr>
      </w:pPr>
      <w:r>
        <w:rPr>
          <w:rFonts w:ascii="Arial" w:hAnsi="Arial" w:cs="Arial"/>
          <w:color w:val="000000" w:themeColor="text1"/>
          <w:sz w:val="22"/>
          <w:szCs w:val="22"/>
        </w:rPr>
        <w:t>Conclusion............</w:t>
      </w:r>
      <w:r w:rsidR="002E7029">
        <w:rPr>
          <w:rFonts w:ascii="Arial" w:hAnsi="Arial" w:cs="Arial"/>
          <w:color w:val="000000" w:themeColor="text1"/>
          <w:sz w:val="22"/>
          <w:szCs w:val="22"/>
        </w:rPr>
        <w:t>.......................................................................................</w:t>
      </w:r>
      <w:r w:rsidR="006D693F">
        <w:rPr>
          <w:rFonts w:ascii="Arial" w:hAnsi="Arial" w:cs="Arial"/>
          <w:color w:val="000000" w:themeColor="text1"/>
          <w:sz w:val="22"/>
          <w:szCs w:val="22"/>
        </w:rPr>
        <w:t>page 7</w:t>
      </w:r>
    </w:p>
    <w:p w14:paraId="7FC93C00" w14:textId="5E9C284D" w:rsidR="006D693F" w:rsidRDefault="00306BE8" w:rsidP="004164E0">
      <w:pPr>
        <w:spacing w:line="240" w:lineRule="auto"/>
        <w:jc w:val="center"/>
        <w:rPr>
          <w:rFonts w:ascii="Arial" w:hAnsi="Arial" w:cs="Arial"/>
          <w:color w:val="000000" w:themeColor="text1"/>
          <w:sz w:val="22"/>
          <w:szCs w:val="22"/>
        </w:rPr>
      </w:pPr>
      <w:r>
        <w:rPr>
          <w:rFonts w:ascii="Arial" w:hAnsi="Arial" w:cs="Arial"/>
          <w:color w:val="000000" w:themeColor="text1"/>
          <w:sz w:val="22"/>
          <w:szCs w:val="22"/>
        </w:rPr>
        <w:t>Reference.........................................................................................................page 8</w:t>
      </w:r>
    </w:p>
    <w:p w14:paraId="2F01D923" w14:textId="77777777" w:rsidR="00FA79BC" w:rsidRPr="00D64A30" w:rsidRDefault="00FA79BC" w:rsidP="00C80BC4">
      <w:pPr>
        <w:spacing w:line="240" w:lineRule="auto"/>
        <w:jc w:val="center"/>
        <w:rPr>
          <w:rFonts w:ascii="Arial" w:hAnsi="Arial" w:cs="Arial"/>
          <w:color w:val="000000" w:themeColor="text1"/>
          <w:sz w:val="22"/>
          <w:szCs w:val="22"/>
        </w:rPr>
      </w:pPr>
    </w:p>
    <w:p w14:paraId="646E9AD8" w14:textId="77777777" w:rsidR="00693017" w:rsidRDefault="00693017" w:rsidP="008F5EA5">
      <w:pPr>
        <w:pStyle w:val="Heading2"/>
        <w:spacing w:line="360" w:lineRule="auto"/>
        <w:rPr>
          <w:rStyle w:val="Strong"/>
          <w:rFonts w:ascii="Arial" w:eastAsia="Times New Roman" w:hAnsi="Arial" w:cs="Arial"/>
          <w:color w:val="000000" w:themeColor="text1"/>
          <w:sz w:val="22"/>
          <w:szCs w:val="22"/>
        </w:rPr>
      </w:pPr>
    </w:p>
    <w:p w14:paraId="53C14ABB" w14:textId="77777777" w:rsidR="00992728" w:rsidRDefault="00992728" w:rsidP="008F5EA5">
      <w:pPr>
        <w:pStyle w:val="Heading2"/>
        <w:spacing w:line="360" w:lineRule="auto"/>
        <w:rPr>
          <w:rStyle w:val="Strong"/>
          <w:rFonts w:ascii="Arial" w:eastAsia="Times New Roman" w:hAnsi="Arial" w:cs="Arial"/>
          <w:color w:val="000000" w:themeColor="text1"/>
          <w:sz w:val="22"/>
          <w:szCs w:val="22"/>
        </w:rPr>
      </w:pPr>
    </w:p>
    <w:p w14:paraId="73425174" w14:textId="77777777" w:rsidR="002E6312" w:rsidRDefault="002E6312" w:rsidP="002E6312"/>
    <w:p w14:paraId="582A1BC5" w14:textId="77777777" w:rsidR="002E6312" w:rsidRDefault="002E6312" w:rsidP="002E6312"/>
    <w:p w14:paraId="3B1CD4FA" w14:textId="77777777" w:rsidR="002E6312" w:rsidRDefault="002E6312" w:rsidP="002E6312"/>
    <w:p w14:paraId="4ECD7319" w14:textId="77777777" w:rsidR="002E6312" w:rsidRDefault="002E6312" w:rsidP="002E6312"/>
    <w:p w14:paraId="406B1901" w14:textId="77777777" w:rsidR="002E6312" w:rsidRDefault="002E6312" w:rsidP="002E6312"/>
    <w:p w14:paraId="264880DF" w14:textId="77777777" w:rsidR="002E6312" w:rsidRDefault="002E6312" w:rsidP="002E6312"/>
    <w:p w14:paraId="6A8FBE42" w14:textId="77777777" w:rsidR="002E6312" w:rsidRDefault="002E6312" w:rsidP="002E6312"/>
    <w:p w14:paraId="629B6CAF" w14:textId="77777777" w:rsidR="002E6312" w:rsidRDefault="002E6312" w:rsidP="002E6312"/>
    <w:p w14:paraId="08CC8EAB" w14:textId="77777777" w:rsidR="002E6312" w:rsidRDefault="002E6312" w:rsidP="002E6312"/>
    <w:p w14:paraId="08186127" w14:textId="77777777" w:rsidR="002E6312" w:rsidRDefault="002E6312" w:rsidP="002E6312"/>
    <w:p w14:paraId="6DA0D874" w14:textId="77777777" w:rsidR="002E6312" w:rsidRDefault="002E6312" w:rsidP="002E6312"/>
    <w:p w14:paraId="6F29D97A" w14:textId="77777777" w:rsidR="002E6312" w:rsidRDefault="002E6312" w:rsidP="002E6312"/>
    <w:p w14:paraId="2B952E01" w14:textId="77777777" w:rsidR="002E6312" w:rsidRDefault="002E6312" w:rsidP="002E6312"/>
    <w:p w14:paraId="06B73F2A" w14:textId="77777777" w:rsidR="002E6312" w:rsidRDefault="002E6312" w:rsidP="002E6312"/>
    <w:p w14:paraId="5562C13B" w14:textId="77777777" w:rsidR="002E6312" w:rsidRDefault="002E6312" w:rsidP="002E6312"/>
    <w:p w14:paraId="1FC8DCA0" w14:textId="77777777" w:rsidR="002E6312" w:rsidRDefault="002E6312" w:rsidP="002E6312"/>
    <w:p w14:paraId="4E5F026F" w14:textId="77777777" w:rsidR="002E6312" w:rsidRDefault="002E6312" w:rsidP="002E6312"/>
    <w:p w14:paraId="7FB40164" w14:textId="77777777" w:rsidR="002E6312" w:rsidRDefault="002E6312" w:rsidP="002E6312"/>
    <w:p w14:paraId="05D6705C" w14:textId="77777777" w:rsidR="002E6312" w:rsidRDefault="002E6312" w:rsidP="002E6312"/>
    <w:p w14:paraId="5A974A74" w14:textId="77777777" w:rsidR="002E6312" w:rsidRPr="002E6312" w:rsidRDefault="002E6312" w:rsidP="002E6312"/>
    <w:p w14:paraId="56F6620A" w14:textId="5E1481B8" w:rsidR="00E756B1" w:rsidRPr="006325BD" w:rsidRDefault="00E756B1" w:rsidP="008F5EA5">
      <w:pPr>
        <w:pStyle w:val="Heading2"/>
        <w:spacing w:line="360" w:lineRule="auto"/>
        <w:rPr>
          <w:rFonts w:ascii="Arial" w:eastAsia="Times New Roman" w:hAnsi="Arial" w:cs="Arial"/>
          <w:color w:val="000000" w:themeColor="text1"/>
          <w:sz w:val="22"/>
          <w:szCs w:val="22"/>
        </w:rPr>
      </w:pPr>
      <w:r w:rsidRPr="006325BD">
        <w:rPr>
          <w:rStyle w:val="Strong"/>
          <w:rFonts w:ascii="Arial" w:eastAsia="Times New Roman" w:hAnsi="Arial" w:cs="Arial"/>
          <w:color w:val="000000" w:themeColor="text1"/>
          <w:sz w:val="22"/>
          <w:szCs w:val="22"/>
        </w:rPr>
        <w:t xml:space="preserve">Introduction </w:t>
      </w:r>
    </w:p>
    <w:p w14:paraId="451BF32C" w14:textId="64F1A57D" w:rsidR="00E756B1" w:rsidRPr="006325BD" w:rsidRDefault="001E73FA" w:rsidP="008F5EA5">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High-quality health and social care relies on effective communication, precise administrative processes, and strong collaborative practice. These components are especially significant in complex care situations, such as that of Mrs Mann, a 72-year-old woman recovering from hip replacement surgery who receives domiciliary care support. Her care involves a range of professionals, including care workers, a general practitioner, and a physiotherapist. This is further complicated by additional factors such as her limited proficiency in English and recent issues related to inconsistent documentation.</w:t>
      </w:r>
    </w:p>
    <w:p w14:paraId="5C4CBB25" w14:textId="367D4FD9"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 xml:space="preserve">This report critically examines the importance of effective communication in Mrs Mann’s care, </w:t>
      </w:r>
      <w:r w:rsidR="00DC7C1F" w:rsidRPr="00DC7C1F">
        <w:rPr>
          <w:rFonts w:ascii="Arial" w:hAnsi="Arial" w:cs="Arial"/>
          <w:color w:val="000000" w:themeColor="text1"/>
          <w:sz w:val="22"/>
          <w:szCs w:val="22"/>
        </w:rPr>
        <w:t>This report will examine communication practices in relation to Mrs Mann’s care, with reference to the Equality Act 2010 and relevant communication models. It will then critically assess the importance of administrative competencies, particularly record keeping, within the framework of the Data Protection Act 2018. Finally, the discussion will consider the role of collaborative working in multi-agency care, including strategies to address common barriers. Overall, the report will demonstrate how theoretical perspectives, legislative requirements, and practical application combine to support safe, effective, and person-centred care delivery.</w:t>
      </w:r>
    </w:p>
    <w:p w14:paraId="06B46452" w14:textId="7EA03756" w:rsidR="00E756B1" w:rsidRPr="006325BD" w:rsidRDefault="00E756B1" w:rsidP="008F5EA5">
      <w:pPr>
        <w:spacing w:line="360" w:lineRule="auto"/>
        <w:rPr>
          <w:rFonts w:ascii="Arial" w:eastAsia="Times New Roman" w:hAnsi="Arial" w:cs="Arial"/>
          <w:color w:val="000000" w:themeColor="text1"/>
          <w:sz w:val="22"/>
          <w:szCs w:val="22"/>
        </w:rPr>
      </w:pPr>
    </w:p>
    <w:p w14:paraId="51794427" w14:textId="033D959D" w:rsidR="00E756B1" w:rsidRPr="006325BD" w:rsidRDefault="00E756B1" w:rsidP="008F5EA5">
      <w:pPr>
        <w:pStyle w:val="Heading2"/>
        <w:spacing w:line="360" w:lineRule="auto"/>
        <w:rPr>
          <w:rFonts w:ascii="Arial" w:eastAsia="Times New Roman" w:hAnsi="Arial" w:cs="Arial"/>
          <w:color w:val="000000" w:themeColor="text1"/>
          <w:sz w:val="22"/>
          <w:szCs w:val="22"/>
        </w:rPr>
      </w:pPr>
      <w:r w:rsidRPr="006325BD">
        <w:rPr>
          <w:rStyle w:val="Strong"/>
          <w:rFonts w:ascii="Arial" w:eastAsia="Times New Roman" w:hAnsi="Arial" w:cs="Arial"/>
          <w:color w:val="000000" w:themeColor="text1"/>
          <w:sz w:val="22"/>
          <w:szCs w:val="22"/>
        </w:rPr>
        <w:t xml:space="preserve">1. Effective Communication in Mrs Mann’s Care </w:t>
      </w:r>
    </w:p>
    <w:p w14:paraId="34386602"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Effective communication is fundamental to ensuring safe, person-centred care, particularly in complex cases such as Mrs Mann’s. The recent delay in medication adjustment highlights how communication failures can directly compromise patient safety. According to NHS England (2024), ineffective communication is a significant contributor to avoidable harm, emphasising the need for structured and adaptive communication approaches.</w:t>
      </w:r>
    </w:p>
    <w:p w14:paraId="72AE2C65"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 xml:space="preserve">Mrs Mann’s limited English proficiency presents a key barrier to effective communication. Under the Equality Act 2010, healthcare providers are required to make reasonable adjustments to ensure individuals are not disadvantaged. In practice, this includes the use of professional interpreters and accessible communication methods. While her daughter provides informal interpretation, reliance on family members may lead to inaccuracies, </w:t>
      </w:r>
      <w:r w:rsidRPr="006325BD">
        <w:rPr>
          <w:rFonts w:ascii="Arial" w:hAnsi="Arial" w:cs="Arial"/>
          <w:color w:val="000000" w:themeColor="text1"/>
          <w:sz w:val="22"/>
          <w:szCs w:val="22"/>
        </w:rPr>
        <w:lastRenderedPageBreak/>
        <w:t>omissions, and potential breaches of confidentiality (Ali and Watson, 2018). Therefore, professionals must prioritise clear, accurate, and inclusive communication strategies.</w:t>
      </w:r>
    </w:p>
    <w:p w14:paraId="1EEA1E72"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 xml:space="preserve">The </w:t>
      </w:r>
      <w:proofErr w:type="spellStart"/>
      <w:r w:rsidRPr="006325BD">
        <w:rPr>
          <w:rFonts w:ascii="Arial" w:hAnsi="Arial" w:cs="Arial"/>
          <w:color w:val="000000" w:themeColor="text1"/>
          <w:sz w:val="22"/>
          <w:szCs w:val="22"/>
        </w:rPr>
        <w:t>Berlo's</w:t>
      </w:r>
      <w:proofErr w:type="spellEnd"/>
      <w:r w:rsidRPr="006325BD">
        <w:rPr>
          <w:rFonts w:ascii="Arial" w:hAnsi="Arial" w:cs="Arial"/>
          <w:color w:val="000000" w:themeColor="text1"/>
          <w:sz w:val="22"/>
          <w:szCs w:val="22"/>
        </w:rPr>
        <w:t xml:space="preserve"> SMCR Model provides a structured framework for analysing communication in this context. The model identifies four key components: source, message, channel, and receiver. In Mrs Mann’s care, the source (healthcare professionals) must demonstrate appropriate communication skills, knowledge, and cultural awareness. The message should be simplified and tailored to her needs, avoiding complex medical terminology. The channel may include verbal communication, written materials, or visual aids, while the receiver (Mrs Mann) interprets the message based on her language ability and cultural background.</w:t>
      </w:r>
    </w:p>
    <w:p w14:paraId="169EC9B8"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This process can be further understood through the Shannon and Weaver Model of Communication, which introduces the concept of ‘noise’ as a barrier to effective communication (Shannon and Weaver, 1949). In this case, language differences represent semantic noise, which can distort meaning and lead to misunderstanding. This highlights the importance of confirming understanding through feedback techniques such as teach-back, where Mrs Mann is asked to repeat information in her own words.</w:t>
      </w:r>
    </w:p>
    <w:p w14:paraId="64AD4433"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 xml:space="preserve">However, both models have limitations. The Shannon and Weaver model focuses primarily on one-way communication and does not fully account for feedback or emotional context. Similarly, the </w:t>
      </w:r>
      <w:proofErr w:type="spellStart"/>
      <w:r w:rsidRPr="006325BD">
        <w:rPr>
          <w:rFonts w:ascii="Arial" w:hAnsi="Arial" w:cs="Arial"/>
          <w:color w:val="000000" w:themeColor="text1"/>
          <w:sz w:val="22"/>
          <w:szCs w:val="22"/>
        </w:rPr>
        <w:t>Berlo</w:t>
      </w:r>
      <w:proofErr w:type="spellEnd"/>
      <w:r w:rsidRPr="006325BD">
        <w:rPr>
          <w:rFonts w:ascii="Arial" w:hAnsi="Arial" w:cs="Arial"/>
          <w:color w:val="000000" w:themeColor="text1"/>
          <w:sz w:val="22"/>
          <w:szCs w:val="22"/>
        </w:rPr>
        <w:t xml:space="preserve"> model does not explicitly address external organisational pressures that may influence communication. Therefore, while these models provide valuable frameworks, professionals must adopt a flexible, person-centred approach that incorporates empathy, active listening, and cultural sensitivity (Silverman et al., 2013).</w:t>
      </w:r>
    </w:p>
    <w:p w14:paraId="661E46BF"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In conclusion, effective communication in Mrs Mann’s care requires the integration of theoretical models, legal frameworks, and practical strategies. By addressing communication barriers and applying structured approaches, professionals can reduce risks, improve understanding, and deliver equitable, high-quality care.</w:t>
      </w:r>
    </w:p>
    <w:p w14:paraId="328CEEA5" w14:textId="6A0348D4" w:rsidR="00E756B1" w:rsidRPr="006325BD" w:rsidRDefault="00E756B1" w:rsidP="008F5EA5">
      <w:pPr>
        <w:spacing w:line="360" w:lineRule="auto"/>
        <w:rPr>
          <w:rFonts w:ascii="Arial" w:eastAsia="Times New Roman" w:hAnsi="Arial" w:cs="Arial"/>
          <w:color w:val="000000" w:themeColor="text1"/>
          <w:sz w:val="22"/>
          <w:szCs w:val="22"/>
        </w:rPr>
      </w:pPr>
    </w:p>
    <w:p w14:paraId="63AC00F0" w14:textId="77E6BD91" w:rsidR="00E756B1" w:rsidRPr="00F4614B" w:rsidRDefault="00E756B1" w:rsidP="008F5EA5">
      <w:pPr>
        <w:pStyle w:val="Heading2"/>
        <w:spacing w:line="360" w:lineRule="auto"/>
        <w:rPr>
          <w:rFonts w:ascii="Arial" w:eastAsia="Times New Roman" w:hAnsi="Arial" w:cs="Arial"/>
          <w:color w:val="000000" w:themeColor="text1"/>
          <w:sz w:val="22"/>
          <w:szCs w:val="22"/>
        </w:rPr>
      </w:pPr>
      <w:r w:rsidRPr="00F4614B">
        <w:rPr>
          <w:rStyle w:val="Strong"/>
          <w:rFonts w:ascii="Arial" w:eastAsia="Times New Roman" w:hAnsi="Arial" w:cs="Arial"/>
          <w:color w:val="000000" w:themeColor="text1"/>
          <w:sz w:val="22"/>
          <w:szCs w:val="22"/>
        </w:rPr>
        <w:t xml:space="preserve">2. Administrative Skills and Record Keeping </w:t>
      </w:r>
    </w:p>
    <w:p w14:paraId="45D7982C" w14:textId="77777777" w:rsidR="00130020" w:rsidRDefault="00130020" w:rsidP="008F5EA5">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Strong administrative competence, particularly in maintaining accurate records, is vital for ensuring safe, reliable, and accountable care. In Mrs Mann’s situation, concerns surrounding inconsistent documentation and a breakdown in communication, which resulted in a delayed medication adjustment, highlight the risks associated with ineffective administrative practice.</w:t>
      </w:r>
    </w:p>
    <w:p w14:paraId="7AE413CE" w14:textId="72F376F7" w:rsidR="00E756B1" w:rsidRPr="006325BD" w:rsidRDefault="00130020" w:rsidP="008F5EA5">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Record keeping is essential for maintaining continuity of care, as it ensures that all professionals involved have access to current and accurate information. The Nursing and Midwifery Council (2018) emphasises that records must be clear, precise, and completed promptly. Failure to meet these standards may lead to miscommunication, unnecessary duplication of tasks, or omissions in care, all of which can negatively impact patient sa</w:t>
      </w:r>
      <w:r w:rsidR="00CD257C">
        <w:rPr>
          <w:rFonts w:ascii="Arial" w:hAnsi="Arial" w:cs="Arial"/>
          <w:color w:val="000000" w:themeColor="text1"/>
          <w:sz w:val="22"/>
          <w:szCs w:val="22"/>
        </w:rPr>
        <w:t>fety.</w:t>
      </w:r>
    </w:p>
    <w:p w14:paraId="1AD8B495"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The Data Protection Act 2018 provides a legal framework for handling personal data, ensuring that information is processed lawfully, securely, and confidentially. In the context of Mrs Mann’s care, this includes safeguarding sensitive information while enabling appropriate information sharing between professionals. Given her reliance on family members for communication, it is particularly important to ensure that confidentiality is maintained and that information is only shared with authorised individuals.</w:t>
      </w:r>
    </w:p>
    <w:p w14:paraId="06947D71"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 xml:space="preserve">The </w:t>
      </w:r>
      <w:proofErr w:type="spellStart"/>
      <w:r w:rsidRPr="006325BD">
        <w:rPr>
          <w:rFonts w:ascii="Arial" w:hAnsi="Arial" w:cs="Arial"/>
          <w:color w:val="000000" w:themeColor="text1"/>
          <w:sz w:val="22"/>
          <w:szCs w:val="22"/>
        </w:rPr>
        <w:t>Caldicott</w:t>
      </w:r>
      <w:proofErr w:type="spellEnd"/>
      <w:r w:rsidRPr="006325BD">
        <w:rPr>
          <w:rFonts w:ascii="Arial" w:hAnsi="Arial" w:cs="Arial"/>
          <w:color w:val="000000" w:themeColor="text1"/>
          <w:sz w:val="22"/>
          <w:szCs w:val="22"/>
        </w:rPr>
        <w:t xml:space="preserve"> Principles further reinforce the importance of protecting patient information while enabling necessary data sharing (</w:t>
      </w:r>
      <w:proofErr w:type="spellStart"/>
      <w:r w:rsidRPr="006325BD">
        <w:rPr>
          <w:rFonts w:ascii="Arial" w:hAnsi="Arial" w:cs="Arial"/>
          <w:color w:val="000000" w:themeColor="text1"/>
          <w:sz w:val="22"/>
          <w:szCs w:val="22"/>
        </w:rPr>
        <w:t>Caldicott</w:t>
      </w:r>
      <w:proofErr w:type="spellEnd"/>
      <w:r w:rsidRPr="006325BD">
        <w:rPr>
          <w:rFonts w:ascii="Arial" w:hAnsi="Arial" w:cs="Arial"/>
          <w:color w:val="000000" w:themeColor="text1"/>
          <w:sz w:val="22"/>
          <w:szCs w:val="22"/>
        </w:rPr>
        <w:t xml:space="preserve"> Review, 2013). These principles emphasise that only the minimum required information should be shared and that it should be used for a justified purpose. In multi-agency care settings, such as Mrs Mann’s, adherence to these principles is essential to balance confidentiality with effective communication.</w:t>
      </w:r>
    </w:p>
    <w:p w14:paraId="099D0C34"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From a practical perspective, good administrative practice involves attention to detail, organisation, and the effective use of digital systems. Electronic health records can improve accessibility and coordination; however, they require consistent and accurate input from all professionals. In Mrs Mann’s case, improving documentation practices would reduce the risk of communication failures and ensure that all members of the care team are informed of changes in her condition or treatment.</w:t>
      </w:r>
    </w:p>
    <w:p w14:paraId="68E9EA8C"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Critically, while legislation and professional guidelines provide clear standards, their effectiveness depends on consistent implementation. Factors such as workload pressures and time constraints may contribute to poor record keeping; however, these do not justify compromised care. Professionals have a duty to maintain high standards of documentation to ensure patient safety and accountability.</w:t>
      </w:r>
    </w:p>
    <w:p w14:paraId="70D7FDE2"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In conclusion, strong administrative skills are fundamental to effective healthcare practice. In Mrs Mann’s case, improving record keeping and adhering to legal frameworks will enhance communication, reduce errors, and support the delivery of safe and coordinated care.</w:t>
      </w:r>
    </w:p>
    <w:p w14:paraId="2933BF10" w14:textId="0559ADD0" w:rsidR="00E756B1" w:rsidRPr="006325BD" w:rsidRDefault="00E756B1" w:rsidP="008F5EA5">
      <w:pPr>
        <w:spacing w:line="360" w:lineRule="auto"/>
        <w:rPr>
          <w:rFonts w:ascii="Arial" w:eastAsia="Times New Roman" w:hAnsi="Arial" w:cs="Arial"/>
          <w:color w:val="000000" w:themeColor="text1"/>
          <w:sz w:val="22"/>
          <w:szCs w:val="22"/>
        </w:rPr>
      </w:pPr>
    </w:p>
    <w:p w14:paraId="41359B4F" w14:textId="7C5FFF10" w:rsidR="00E756B1" w:rsidRPr="006325BD" w:rsidRDefault="00E756B1" w:rsidP="008F5EA5">
      <w:pPr>
        <w:pStyle w:val="Heading2"/>
        <w:spacing w:line="360" w:lineRule="auto"/>
        <w:rPr>
          <w:rFonts w:ascii="Arial" w:eastAsia="Times New Roman" w:hAnsi="Arial" w:cs="Arial"/>
          <w:color w:val="000000" w:themeColor="text1"/>
          <w:sz w:val="22"/>
          <w:szCs w:val="22"/>
        </w:rPr>
      </w:pPr>
      <w:r w:rsidRPr="006325BD">
        <w:rPr>
          <w:rStyle w:val="Strong"/>
          <w:rFonts w:ascii="Arial" w:eastAsia="Times New Roman" w:hAnsi="Arial" w:cs="Arial"/>
          <w:color w:val="000000" w:themeColor="text1"/>
          <w:sz w:val="22"/>
          <w:szCs w:val="22"/>
        </w:rPr>
        <w:lastRenderedPageBreak/>
        <w:t xml:space="preserve">3. Collaborative Working in Mrs Mann’s Care </w:t>
      </w:r>
    </w:p>
    <w:p w14:paraId="4093FF04" w14:textId="14220526" w:rsidR="00E756B1" w:rsidRPr="006325BD" w:rsidRDefault="009365E0" w:rsidP="008F5EA5">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Collaborative working is a key component in providing holistic and well-coordinated care, particularly for individuals with complex needs such as Mrs Mann. Her care requires input from multiple professionals, including domiciliary care staff, a general practitioner, and a physiotherapist, making effective multi-agency cooperation essential.</w:t>
      </w:r>
    </w:p>
    <w:p w14:paraId="08AB03B7"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According to NHS England (2024), integrated care systems aim to improve patient outcomes by promoting coordination between services. In Mrs Mann’s case, collaboration ensures that her rehabilitation, medication management, and daily care needs are addressed in a consistent and person-centred manner.</w:t>
      </w:r>
    </w:p>
    <w:p w14:paraId="23BA2CFE" w14:textId="56132FF0" w:rsidR="00E756B1" w:rsidRPr="006325BD" w:rsidRDefault="000C2F6E" w:rsidP="008F5EA5">
      <w:pPr>
        <w:pStyle w:val="NormalWeb"/>
        <w:spacing w:line="360" w:lineRule="auto"/>
        <w:rPr>
          <w:rFonts w:ascii="Arial" w:hAnsi="Arial" w:cs="Arial"/>
          <w:color w:val="000000" w:themeColor="text1"/>
          <w:sz w:val="22"/>
          <w:szCs w:val="22"/>
        </w:rPr>
      </w:pPr>
      <w:r w:rsidRPr="000C2F6E">
        <w:rPr>
          <w:rFonts w:ascii="Arial" w:hAnsi="Arial" w:cs="Arial"/>
          <w:color w:val="000000" w:themeColor="text1"/>
          <w:sz w:val="22"/>
          <w:szCs w:val="22"/>
        </w:rPr>
        <w:t>Effective collaboration can be facilitated through consistent communication, the use of shared care plans, and participation in multidisciplinary team (MDT) meetings. These approaches allow professionals to share relevant information, establish clear roles, and respond efficiently to any changes in Mrs Mann’s condition. Furthermore, actively involving both Mrs Mann and her daughter in care planning promotes a person-centred approach and encourages greater engagement in her care.</w:t>
      </w:r>
    </w:p>
    <w:p w14:paraId="385CD7E0"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However, challenges in multi-agency working are common. These may include communication barriers, professional differences, and organisational constraints (Reeves et al., 2017). In this case, language barriers and inconsistent documentation have already contributed to communication breakdowns. These challenges can reduce the effectiveness of care if not addressed appropriately.</w:t>
      </w:r>
    </w:p>
    <w:p w14:paraId="5CD290C7"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Strategies to overcome these challenges include the use of structured communication tools such as SBAR, which standardises information sharing and reduces the risk of misunderstanding. Furthermore, fostering mutual respect, clear role definitions, and shared goals among professionals can strengthen teamwork and improve care coordination.</w:t>
      </w:r>
    </w:p>
    <w:p w14:paraId="15090B6C"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In conclusion, collaborative working is essential for ensuring safe and effective care. By implementing structured approaches and addressing common challenges, professionals can enhance coordination and deliver high-quality care tailored to Mrs Mann’s needs.</w:t>
      </w:r>
    </w:p>
    <w:p w14:paraId="1707DBA5" w14:textId="100B5CF7" w:rsidR="00E756B1" w:rsidRPr="006325BD" w:rsidRDefault="00E756B1" w:rsidP="008F5EA5">
      <w:pPr>
        <w:spacing w:line="360" w:lineRule="auto"/>
        <w:rPr>
          <w:rFonts w:ascii="Arial" w:eastAsia="Times New Roman" w:hAnsi="Arial" w:cs="Arial"/>
          <w:color w:val="000000" w:themeColor="text1"/>
          <w:sz w:val="22"/>
          <w:szCs w:val="22"/>
        </w:rPr>
      </w:pPr>
    </w:p>
    <w:p w14:paraId="2381FF44" w14:textId="7893761D" w:rsidR="00E756B1" w:rsidRPr="006325BD" w:rsidRDefault="00E756B1" w:rsidP="008F5EA5">
      <w:pPr>
        <w:pStyle w:val="Heading2"/>
        <w:spacing w:line="360" w:lineRule="auto"/>
        <w:rPr>
          <w:rFonts w:ascii="Arial" w:eastAsia="Times New Roman" w:hAnsi="Arial" w:cs="Arial"/>
          <w:color w:val="000000" w:themeColor="text1"/>
          <w:sz w:val="22"/>
          <w:szCs w:val="22"/>
        </w:rPr>
      </w:pPr>
      <w:r w:rsidRPr="006325BD">
        <w:rPr>
          <w:rStyle w:val="Strong"/>
          <w:rFonts w:ascii="Arial" w:eastAsia="Times New Roman" w:hAnsi="Arial" w:cs="Arial"/>
          <w:color w:val="000000" w:themeColor="text1"/>
          <w:sz w:val="22"/>
          <w:szCs w:val="22"/>
        </w:rPr>
        <w:lastRenderedPageBreak/>
        <w:t xml:space="preserve">Conclusion </w:t>
      </w:r>
    </w:p>
    <w:p w14:paraId="4D2AA1A1" w14:textId="77777777"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In conclusion, effective communication, accurate administrative practice, and collaborative working are essential components of high-quality health and social care. In Mrs Mann’s case, communication barriers and documentation failures have highlighted the risks associated with poor practice. The application of the Equality Act 2010 ensures that her needs are addressed in an inclusive and equitable manner, while adherence to the Data Protection Act 2018 supports confidentiality and effective information management.</w:t>
      </w:r>
    </w:p>
    <w:p w14:paraId="1B7432B6" w14:textId="6042B655" w:rsidR="00E756B1" w:rsidRPr="006325BD" w:rsidRDefault="00E756B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 xml:space="preserve">Furthermore, the use of communication models such as </w:t>
      </w:r>
      <w:proofErr w:type="spellStart"/>
      <w:r w:rsidRPr="006325BD">
        <w:rPr>
          <w:rFonts w:ascii="Arial" w:hAnsi="Arial" w:cs="Arial"/>
          <w:color w:val="000000" w:themeColor="text1"/>
          <w:sz w:val="22"/>
          <w:szCs w:val="22"/>
        </w:rPr>
        <w:t>Berlo</w:t>
      </w:r>
      <w:proofErr w:type="spellEnd"/>
      <w:r w:rsidRPr="006325BD">
        <w:rPr>
          <w:rFonts w:ascii="Arial" w:hAnsi="Arial" w:cs="Arial"/>
          <w:color w:val="000000" w:themeColor="text1"/>
          <w:sz w:val="22"/>
          <w:szCs w:val="22"/>
        </w:rPr>
        <w:t xml:space="preserve"> and Shannon and Weaver provides a theoretical foundation for understanding communication processes and barriers. However, these must be applied alongside practical, person-centred approaches. Ultimately, by integrating theory, legislation, and professional practice, healthcare providers can improve communication, enhance collaboration, and deliver safe, effective, and patient-centred care.</w:t>
      </w:r>
    </w:p>
    <w:p w14:paraId="7AAD65B1" w14:textId="77777777" w:rsidR="00680508" w:rsidRPr="006325BD" w:rsidRDefault="00680508" w:rsidP="008F5EA5">
      <w:pPr>
        <w:pStyle w:val="NormalWeb"/>
        <w:spacing w:line="360" w:lineRule="auto"/>
        <w:rPr>
          <w:rFonts w:ascii="Arial" w:hAnsi="Arial" w:cs="Arial"/>
          <w:color w:val="000000" w:themeColor="text1"/>
          <w:sz w:val="22"/>
          <w:szCs w:val="22"/>
        </w:rPr>
      </w:pPr>
    </w:p>
    <w:p w14:paraId="07A1FB34" w14:textId="77777777" w:rsidR="00680508" w:rsidRPr="006325BD" w:rsidRDefault="00680508" w:rsidP="008F5EA5">
      <w:pPr>
        <w:pStyle w:val="NormalWeb"/>
        <w:spacing w:line="360" w:lineRule="auto"/>
        <w:rPr>
          <w:rFonts w:ascii="Arial" w:hAnsi="Arial" w:cs="Arial"/>
          <w:color w:val="000000" w:themeColor="text1"/>
          <w:sz w:val="22"/>
          <w:szCs w:val="22"/>
        </w:rPr>
      </w:pPr>
    </w:p>
    <w:p w14:paraId="5428730E" w14:textId="77777777" w:rsidR="00680508" w:rsidRPr="006325BD" w:rsidRDefault="00680508" w:rsidP="008F5EA5">
      <w:pPr>
        <w:pStyle w:val="NormalWeb"/>
        <w:spacing w:line="360" w:lineRule="auto"/>
        <w:rPr>
          <w:rFonts w:ascii="Arial" w:hAnsi="Arial" w:cs="Arial"/>
          <w:color w:val="000000" w:themeColor="text1"/>
          <w:sz w:val="22"/>
          <w:szCs w:val="22"/>
        </w:rPr>
      </w:pPr>
    </w:p>
    <w:p w14:paraId="65FCC1B7" w14:textId="77777777" w:rsidR="00680508" w:rsidRPr="006325BD" w:rsidRDefault="00680508" w:rsidP="008F5EA5">
      <w:pPr>
        <w:pStyle w:val="NormalWeb"/>
        <w:spacing w:line="360" w:lineRule="auto"/>
        <w:rPr>
          <w:rFonts w:ascii="Arial" w:hAnsi="Arial" w:cs="Arial"/>
          <w:color w:val="000000" w:themeColor="text1"/>
          <w:sz w:val="22"/>
          <w:szCs w:val="22"/>
        </w:rPr>
      </w:pPr>
    </w:p>
    <w:p w14:paraId="22C0F36D" w14:textId="77777777" w:rsidR="00680508" w:rsidRPr="006325BD" w:rsidRDefault="00680508" w:rsidP="008F5EA5">
      <w:pPr>
        <w:pStyle w:val="NormalWeb"/>
        <w:spacing w:line="360" w:lineRule="auto"/>
        <w:rPr>
          <w:rFonts w:ascii="Arial" w:hAnsi="Arial" w:cs="Arial"/>
          <w:color w:val="000000" w:themeColor="text1"/>
          <w:sz w:val="22"/>
          <w:szCs w:val="22"/>
        </w:rPr>
      </w:pPr>
    </w:p>
    <w:p w14:paraId="4F086CDD" w14:textId="77777777" w:rsidR="00680508" w:rsidRPr="006325BD" w:rsidRDefault="00680508" w:rsidP="008F5EA5">
      <w:pPr>
        <w:pStyle w:val="NormalWeb"/>
        <w:spacing w:line="360" w:lineRule="auto"/>
        <w:rPr>
          <w:rFonts w:ascii="Arial" w:hAnsi="Arial" w:cs="Arial"/>
          <w:color w:val="000000" w:themeColor="text1"/>
          <w:sz w:val="22"/>
          <w:szCs w:val="22"/>
        </w:rPr>
      </w:pPr>
    </w:p>
    <w:p w14:paraId="2A62D977" w14:textId="77777777" w:rsidR="00680508" w:rsidRPr="006325BD" w:rsidRDefault="00680508" w:rsidP="008F5EA5">
      <w:pPr>
        <w:pStyle w:val="NormalWeb"/>
        <w:spacing w:line="360" w:lineRule="auto"/>
        <w:rPr>
          <w:rFonts w:ascii="Arial" w:hAnsi="Arial" w:cs="Arial"/>
          <w:color w:val="000000" w:themeColor="text1"/>
          <w:sz w:val="22"/>
          <w:szCs w:val="22"/>
        </w:rPr>
      </w:pPr>
    </w:p>
    <w:p w14:paraId="2B70BEAE" w14:textId="77777777" w:rsidR="00680508" w:rsidRPr="006325BD" w:rsidRDefault="00680508" w:rsidP="008F5EA5">
      <w:pPr>
        <w:pStyle w:val="NormalWeb"/>
        <w:spacing w:line="360" w:lineRule="auto"/>
        <w:rPr>
          <w:rFonts w:ascii="Arial" w:hAnsi="Arial" w:cs="Arial"/>
          <w:color w:val="000000" w:themeColor="text1"/>
          <w:sz w:val="22"/>
          <w:szCs w:val="22"/>
        </w:rPr>
      </w:pPr>
    </w:p>
    <w:p w14:paraId="557D35D0" w14:textId="77777777" w:rsidR="00680508" w:rsidRPr="006325BD" w:rsidRDefault="00680508" w:rsidP="008F5EA5">
      <w:pPr>
        <w:pStyle w:val="NormalWeb"/>
        <w:spacing w:line="360" w:lineRule="auto"/>
        <w:rPr>
          <w:rFonts w:ascii="Arial" w:hAnsi="Arial" w:cs="Arial"/>
          <w:color w:val="000000" w:themeColor="text1"/>
          <w:sz w:val="22"/>
          <w:szCs w:val="22"/>
        </w:rPr>
      </w:pPr>
    </w:p>
    <w:p w14:paraId="1E8F6059" w14:textId="77777777" w:rsidR="00680508" w:rsidRPr="006325BD" w:rsidRDefault="00680508" w:rsidP="008F5EA5">
      <w:pPr>
        <w:pStyle w:val="NormalWeb"/>
        <w:spacing w:line="360" w:lineRule="auto"/>
        <w:rPr>
          <w:rFonts w:ascii="Arial" w:hAnsi="Arial" w:cs="Arial"/>
          <w:color w:val="000000" w:themeColor="text1"/>
          <w:sz w:val="22"/>
          <w:szCs w:val="22"/>
        </w:rPr>
      </w:pPr>
    </w:p>
    <w:p w14:paraId="4DADCABA" w14:textId="77777777" w:rsidR="00680508" w:rsidRPr="006325BD" w:rsidRDefault="00680508" w:rsidP="008F5EA5">
      <w:pPr>
        <w:pStyle w:val="NormalWeb"/>
        <w:spacing w:line="360" w:lineRule="auto"/>
        <w:rPr>
          <w:rFonts w:ascii="Arial" w:hAnsi="Arial" w:cs="Arial"/>
          <w:color w:val="000000" w:themeColor="text1"/>
          <w:sz w:val="22"/>
          <w:szCs w:val="22"/>
        </w:rPr>
      </w:pPr>
    </w:p>
    <w:p w14:paraId="06EA91B3" w14:textId="77777777" w:rsidR="00680508" w:rsidRPr="006325BD" w:rsidRDefault="00680508" w:rsidP="008F5EA5">
      <w:pPr>
        <w:pStyle w:val="NormalWeb"/>
        <w:spacing w:line="360" w:lineRule="auto"/>
        <w:rPr>
          <w:rFonts w:ascii="Arial" w:hAnsi="Arial" w:cs="Arial"/>
          <w:color w:val="000000" w:themeColor="text1"/>
          <w:sz w:val="22"/>
          <w:szCs w:val="22"/>
        </w:rPr>
      </w:pPr>
    </w:p>
    <w:p w14:paraId="60D2B411" w14:textId="77777777" w:rsidR="007C69AB" w:rsidRDefault="007C69AB" w:rsidP="008F5EA5">
      <w:pPr>
        <w:pStyle w:val="NormalWeb"/>
        <w:spacing w:line="360" w:lineRule="auto"/>
        <w:rPr>
          <w:rFonts w:ascii="Arial" w:hAnsi="Arial" w:cs="Arial"/>
          <w:b/>
          <w:bCs/>
          <w:color w:val="000000" w:themeColor="text1"/>
          <w:sz w:val="22"/>
          <w:szCs w:val="22"/>
        </w:rPr>
      </w:pPr>
    </w:p>
    <w:p w14:paraId="51653813" w14:textId="040C2421" w:rsidR="00FF2BB5" w:rsidRPr="006325BD" w:rsidRDefault="00A64ECE" w:rsidP="008F5EA5">
      <w:pPr>
        <w:pStyle w:val="NormalWeb"/>
        <w:spacing w:line="360" w:lineRule="auto"/>
        <w:rPr>
          <w:rFonts w:ascii="Arial" w:hAnsi="Arial" w:cs="Arial"/>
          <w:b/>
          <w:bCs/>
          <w:color w:val="000000" w:themeColor="text1"/>
          <w:sz w:val="22"/>
          <w:szCs w:val="22"/>
        </w:rPr>
      </w:pPr>
      <w:r w:rsidRPr="006325BD">
        <w:rPr>
          <w:rFonts w:ascii="Arial" w:hAnsi="Arial" w:cs="Arial"/>
          <w:b/>
          <w:bCs/>
          <w:color w:val="000000" w:themeColor="text1"/>
          <w:sz w:val="22"/>
          <w:szCs w:val="22"/>
        </w:rPr>
        <w:lastRenderedPageBreak/>
        <w:t>Reference</w:t>
      </w:r>
    </w:p>
    <w:p w14:paraId="41DCC975" w14:textId="77777777" w:rsidR="00A14FF1"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Ali, P.A. and Watson, R. (2018) ‘Language barriers and their impact on healthcare’, Nursing Standard, 32(23), pp. 41–47.</w:t>
      </w:r>
    </w:p>
    <w:p w14:paraId="4E29556F" w14:textId="77777777" w:rsidR="00A14FF1" w:rsidRPr="006325BD" w:rsidRDefault="00A14FF1" w:rsidP="008F5EA5">
      <w:pPr>
        <w:pStyle w:val="NormalWeb"/>
        <w:spacing w:line="360" w:lineRule="auto"/>
        <w:rPr>
          <w:rFonts w:ascii="Arial" w:hAnsi="Arial" w:cs="Arial"/>
          <w:color w:val="000000" w:themeColor="text1"/>
          <w:sz w:val="22"/>
          <w:szCs w:val="22"/>
        </w:rPr>
      </w:pPr>
      <w:proofErr w:type="spellStart"/>
      <w:r w:rsidRPr="006325BD">
        <w:rPr>
          <w:rFonts w:ascii="Arial" w:hAnsi="Arial" w:cs="Arial"/>
          <w:color w:val="000000" w:themeColor="text1"/>
          <w:sz w:val="22"/>
          <w:szCs w:val="22"/>
        </w:rPr>
        <w:t>Caldicott</w:t>
      </w:r>
      <w:proofErr w:type="spellEnd"/>
      <w:r w:rsidRPr="006325BD">
        <w:rPr>
          <w:rFonts w:ascii="Arial" w:hAnsi="Arial" w:cs="Arial"/>
          <w:color w:val="000000" w:themeColor="text1"/>
          <w:sz w:val="22"/>
          <w:szCs w:val="22"/>
        </w:rPr>
        <w:t xml:space="preserve"> Review (2013) Information Governance in Health and Care. London: Department of Health.</w:t>
      </w:r>
    </w:p>
    <w:p w14:paraId="22BF6B8D" w14:textId="0002203F" w:rsidR="00A14FF1"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Chambers, D., Cantrell, A. And Booth, A. (2021) Rapid evidence review: challenges to implementing digital and data-driven technologies in health and social care. Sheffield: The University of Sheffield.</w:t>
      </w:r>
    </w:p>
    <w:p w14:paraId="248DCD1A" w14:textId="73E63E0C" w:rsidR="00A14FF1"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Data Protection Act 2018 (2018) Data Protection Act 2018. Available at: https://www.legislation.gov.uk[Accessed 23 March 2026].</w:t>
      </w:r>
    </w:p>
    <w:p w14:paraId="6F021FDB" w14:textId="09821DCE" w:rsidR="00A14FF1"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Equality Act 2010 (2010) Equality Act 2010. Available at: https://www.legislation.gov.uk [Accessed 23 March 2026].</w:t>
      </w:r>
    </w:p>
    <w:p w14:paraId="3D150E5D" w14:textId="5CA1A6E1" w:rsidR="0091101C" w:rsidRPr="006325BD" w:rsidRDefault="0091101C" w:rsidP="008F5EA5">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Glasby, J. (2017) Understanding health and social care (3</w:t>
      </w:r>
      <w:r w:rsidRPr="0091101C">
        <w:rPr>
          <w:rFonts w:ascii="Arial" w:hAnsi="Arial" w:cs="Arial"/>
          <w:color w:val="000000" w:themeColor="text1"/>
          <w:sz w:val="22"/>
          <w:szCs w:val="22"/>
          <w:vertAlign w:val="superscript"/>
        </w:rPr>
        <w:t>rd</w:t>
      </w:r>
      <w:r>
        <w:rPr>
          <w:rFonts w:ascii="Arial" w:hAnsi="Arial" w:cs="Arial"/>
          <w:color w:val="000000" w:themeColor="text1"/>
          <w:sz w:val="22"/>
          <w:szCs w:val="22"/>
        </w:rPr>
        <w:t xml:space="preserve"> edition) Bristol: The Policy Press.</w:t>
      </w:r>
    </w:p>
    <w:p w14:paraId="3F8D045A" w14:textId="2EEE53C7" w:rsidR="00A14FF1" w:rsidRPr="006325BD" w:rsidRDefault="00A14FF1" w:rsidP="008F5EA5">
      <w:pPr>
        <w:pStyle w:val="NormalWeb"/>
        <w:spacing w:line="360" w:lineRule="auto"/>
        <w:rPr>
          <w:rFonts w:ascii="Arial" w:hAnsi="Arial" w:cs="Arial"/>
          <w:color w:val="000000" w:themeColor="text1"/>
          <w:sz w:val="22"/>
          <w:szCs w:val="22"/>
        </w:rPr>
      </w:pPr>
      <w:proofErr w:type="spellStart"/>
      <w:r w:rsidRPr="006325BD">
        <w:rPr>
          <w:rFonts w:ascii="Arial" w:hAnsi="Arial" w:cs="Arial"/>
          <w:color w:val="000000" w:themeColor="text1"/>
          <w:sz w:val="22"/>
          <w:szCs w:val="22"/>
        </w:rPr>
        <w:t>Haugan</w:t>
      </w:r>
      <w:proofErr w:type="spellEnd"/>
      <w:r w:rsidRPr="006325BD">
        <w:rPr>
          <w:rFonts w:ascii="Arial" w:hAnsi="Arial" w:cs="Arial"/>
          <w:color w:val="000000" w:themeColor="text1"/>
          <w:sz w:val="22"/>
          <w:szCs w:val="22"/>
        </w:rPr>
        <w:t>, G. And Eriksson, M. (2021) Health promotion in health care: vital theories and research. Cham: Springer.</w:t>
      </w:r>
    </w:p>
    <w:p w14:paraId="1FECCAD6" w14:textId="5B1E60AF" w:rsidR="00A14FF1"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NHS England (2024) Integrated care systems. Available at: https://www.england.nhs.uk [Accessed 23 March 2026].</w:t>
      </w:r>
    </w:p>
    <w:p w14:paraId="5A2E3AEC" w14:textId="05923C46" w:rsidR="00A14FF1"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Nursing and Midwifery Council (2018) The Code: Professional standards of practice and behaviour for nurses, midwives and nursing associates. Available at: https://www.nmc.org.uk [Accessed 23 March 2026].</w:t>
      </w:r>
    </w:p>
    <w:p w14:paraId="3A975F01" w14:textId="083B9422" w:rsidR="00A14FF1"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 xml:space="preserve">Reeves, S. Et al. (2017) </w:t>
      </w:r>
      <w:proofErr w:type="spellStart"/>
      <w:r w:rsidRPr="006325BD">
        <w:rPr>
          <w:rFonts w:ascii="Arial" w:hAnsi="Arial" w:cs="Arial"/>
          <w:color w:val="000000" w:themeColor="text1"/>
          <w:sz w:val="22"/>
          <w:szCs w:val="22"/>
        </w:rPr>
        <w:t>Interprofessional</w:t>
      </w:r>
      <w:proofErr w:type="spellEnd"/>
      <w:r w:rsidRPr="006325BD">
        <w:rPr>
          <w:rFonts w:ascii="Arial" w:hAnsi="Arial" w:cs="Arial"/>
          <w:color w:val="000000" w:themeColor="text1"/>
          <w:sz w:val="22"/>
          <w:szCs w:val="22"/>
        </w:rPr>
        <w:t xml:space="preserve"> teamwork in health and social care. Oxford: Wiley-Blackwell.</w:t>
      </w:r>
    </w:p>
    <w:p w14:paraId="5C247916" w14:textId="77777777" w:rsidR="00A14FF1"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Shannon, C.E. and Weaver, W. (1949) The mathematical theory of communication. Illinois: University of Illinois Press.</w:t>
      </w:r>
    </w:p>
    <w:p w14:paraId="13F46BF6" w14:textId="2A16ABDE" w:rsidR="00A64ECE" w:rsidRPr="006325BD" w:rsidRDefault="00A14FF1" w:rsidP="008F5EA5">
      <w:pPr>
        <w:pStyle w:val="NormalWeb"/>
        <w:spacing w:line="360" w:lineRule="auto"/>
        <w:rPr>
          <w:rFonts w:ascii="Arial" w:hAnsi="Arial" w:cs="Arial"/>
          <w:color w:val="000000" w:themeColor="text1"/>
          <w:sz w:val="22"/>
          <w:szCs w:val="22"/>
        </w:rPr>
      </w:pPr>
      <w:r w:rsidRPr="006325BD">
        <w:rPr>
          <w:rFonts w:ascii="Arial" w:hAnsi="Arial" w:cs="Arial"/>
          <w:color w:val="000000" w:themeColor="text1"/>
          <w:sz w:val="22"/>
          <w:szCs w:val="22"/>
        </w:rPr>
        <w:t>Silverman, J., Kurtz, S. And Draper, J. (2013) Skills for communicating with patients. 3</w:t>
      </w:r>
      <w:r w:rsidRPr="006325BD">
        <w:rPr>
          <w:rFonts w:ascii="Arial" w:hAnsi="Arial" w:cs="Arial"/>
          <w:color w:val="000000" w:themeColor="text1"/>
          <w:sz w:val="22"/>
          <w:szCs w:val="22"/>
          <w:vertAlign w:val="superscript"/>
        </w:rPr>
        <w:t>rd</w:t>
      </w:r>
      <w:r w:rsidRPr="006325BD">
        <w:rPr>
          <w:rFonts w:ascii="Arial" w:hAnsi="Arial" w:cs="Arial"/>
          <w:color w:val="000000" w:themeColor="text1"/>
          <w:sz w:val="22"/>
          <w:szCs w:val="22"/>
        </w:rPr>
        <w:t xml:space="preserve"> </w:t>
      </w:r>
      <w:proofErr w:type="spellStart"/>
      <w:r w:rsidRPr="006325BD">
        <w:rPr>
          <w:rFonts w:ascii="Arial" w:hAnsi="Arial" w:cs="Arial"/>
          <w:color w:val="000000" w:themeColor="text1"/>
          <w:sz w:val="22"/>
          <w:szCs w:val="22"/>
        </w:rPr>
        <w:t>edn</w:t>
      </w:r>
      <w:proofErr w:type="spellEnd"/>
      <w:r w:rsidRPr="006325BD">
        <w:rPr>
          <w:rFonts w:ascii="Arial" w:hAnsi="Arial" w:cs="Arial"/>
          <w:color w:val="000000" w:themeColor="text1"/>
          <w:sz w:val="22"/>
          <w:szCs w:val="22"/>
        </w:rPr>
        <w:t>. London: Radcliffe.</w:t>
      </w:r>
    </w:p>
    <w:sectPr w:rsidR="00A64ECE" w:rsidRPr="006325B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B6D81" w14:textId="77777777" w:rsidR="004C58FF" w:rsidRDefault="004C58FF" w:rsidP="002E6312">
      <w:pPr>
        <w:spacing w:after="0" w:line="240" w:lineRule="auto"/>
      </w:pPr>
      <w:r>
        <w:separator/>
      </w:r>
    </w:p>
  </w:endnote>
  <w:endnote w:type="continuationSeparator" w:id="0">
    <w:p w14:paraId="420965C9" w14:textId="77777777" w:rsidR="004C58FF" w:rsidRDefault="004C58FF" w:rsidP="002E6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5886915"/>
      <w:docPartObj>
        <w:docPartGallery w:val="Page Numbers (Bottom of Page)"/>
        <w:docPartUnique/>
      </w:docPartObj>
    </w:sdtPr>
    <w:sdtContent>
      <w:p w14:paraId="2E399483" w14:textId="7F57EB24" w:rsidR="002E6312" w:rsidRDefault="002E6312" w:rsidP="00C40B5A">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33B971" w14:textId="77777777" w:rsidR="002E6312" w:rsidRDefault="002E63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8858740"/>
      <w:docPartObj>
        <w:docPartGallery w:val="Page Numbers (Bottom of Page)"/>
        <w:docPartUnique/>
      </w:docPartObj>
    </w:sdtPr>
    <w:sdtContent>
      <w:p w14:paraId="0554FD59" w14:textId="0FF390D4" w:rsidR="002E6312" w:rsidRDefault="002E6312" w:rsidP="00C40B5A">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C2C76A0" w14:textId="77777777" w:rsidR="002E6312" w:rsidRDefault="002E63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EF150" w14:textId="77777777" w:rsidR="004C58FF" w:rsidRDefault="004C58FF" w:rsidP="002E6312">
      <w:pPr>
        <w:spacing w:after="0" w:line="240" w:lineRule="auto"/>
      </w:pPr>
      <w:r>
        <w:separator/>
      </w:r>
    </w:p>
  </w:footnote>
  <w:footnote w:type="continuationSeparator" w:id="0">
    <w:p w14:paraId="10365743" w14:textId="77777777" w:rsidR="004C58FF" w:rsidRDefault="004C58FF" w:rsidP="002E63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D6A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8970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6B1"/>
    <w:rsid w:val="00046AB0"/>
    <w:rsid w:val="000C2F6E"/>
    <w:rsid w:val="00130020"/>
    <w:rsid w:val="0019178A"/>
    <w:rsid w:val="001C7C5B"/>
    <w:rsid w:val="001E73FA"/>
    <w:rsid w:val="001F748D"/>
    <w:rsid w:val="002C3670"/>
    <w:rsid w:val="002E445D"/>
    <w:rsid w:val="002E6312"/>
    <w:rsid w:val="002E7029"/>
    <w:rsid w:val="002F662A"/>
    <w:rsid w:val="00306BE8"/>
    <w:rsid w:val="003C6A04"/>
    <w:rsid w:val="004164E0"/>
    <w:rsid w:val="004C58FF"/>
    <w:rsid w:val="004D638C"/>
    <w:rsid w:val="0059619C"/>
    <w:rsid w:val="006325BD"/>
    <w:rsid w:val="006507E3"/>
    <w:rsid w:val="00654461"/>
    <w:rsid w:val="00680508"/>
    <w:rsid w:val="00693017"/>
    <w:rsid w:val="00697183"/>
    <w:rsid w:val="006D693F"/>
    <w:rsid w:val="007705A0"/>
    <w:rsid w:val="00794C73"/>
    <w:rsid w:val="007C69AB"/>
    <w:rsid w:val="00831C43"/>
    <w:rsid w:val="008F5EA5"/>
    <w:rsid w:val="0091101C"/>
    <w:rsid w:val="009365E0"/>
    <w:rsid w:val="00992728"/>
    <w:rsid w:val="009C304B"/>
    <w:rsid w:val="00A14FF1"/>
    <w:rsid w:val="00A15531"/>
    <w:rsid w:val="00A64ECE"/>
    <w:rsid w:val="00A809E9"/>
    <w:rsid w:val="00B553EE"/>
    <w:rsid w:val="00B633D8"/>
    <w:rsid w:val="00C137B7"/>
    <w:rsid w:val="00CC2627"/>
    <w:rsid w:val="00CD257C"/>
    <w:rsid w:val="00D736D3"/>
    <w:rsid w:val="00DC7C1F"/>
    <w:rsid w:val="00E254B0"/>
    <w:rsid w:val="00E756B1"/>
    <w:rsid w:val="00F4614B"/>
    <w:rsid w:val="00FA79BC"/>
    <w:rsid w:val="00FF2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024E0C"/>
  <w15:chartTrackingRefBased/>
  <w15:docId w15:val="{DE7A6487-7782-CF47-B55B-6F78862E3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6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56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6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6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6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6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56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6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6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6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6B1"/>
    <w:rPr>
      <w:rFonts w:eastAsiaTheme="majorEastAsia" w:cstheme="majorBidi"/>
      <w:color w:val="272727" w:themeColor="text1" w:themeTint="D8"/>
    </w:rPr>
  </w:style>
  <w:style w:type="paragraph" w:styleId="Title">
    <w:name w:val="Title"/>
    <w:basedOn w:val="Normal"/>
    <w:next w:val="Normal"/>
    <w:link w:val="TitleChar"/>
    <w:uiPriority w:val="10"/>
    <w:qFormat/>
    <w:rsid w:val="00E75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6B1"/>
    <w:pPr>
      <w:spacing w:before="160"/>
      <w:jc w:val="center"/>
    </w:pPr>
    <w:rPr>
      <w:i/>
      <w:iCs/>
      <w:color w:val="404040" w:themeColor="text1" w:themeTint="BF"/>
    </w:rPr>
  </w:style>
  <w:style w:type="character" w:customStyle="1" w:styleId="QuoteChar">
    <w:name w:val="Quote Char"/>
    <w:basedOn w:val="DefaultParagraphFont"/>
    <w:link w:val="Quote"/>
    <w:uiPriority w:val="29"/>
    <w:rsid w:val="00E756B1"/>
    <w:rPr>
      <w:i/>
      <w:iCs/>
      <w:color w:val="404040" w:themeColor="text1" w:themeTint="BF"/>
    </w:rPr>
  </w:style>
  <w:style w:type="paragraph" w:styleId="ListParagraph">
    <w:name w:val="List Paragraph"/>
    <w:basedOn w:val="Normal"/>
    <w:uiPriority w:val="34"/>
    <w:qFormat/>
    <w:rsid w:val="00E756B1"/>
    <w:pPr>
      <w:ind w:left="720"/>
      <w:contextualSpacing/>
    </w:pPr>
  </w:style>
  <w:style w:type="character" w:styleId="IntenseEmphasis">
    <w:name w:val="Intense Emphasis"/>
    <w:basedOn w:val="DefaultParagraphFont"/>
    <w:uiPriority w:val="21"/>
    <w:qFormat/>
    <w:rsid w:val="00E756B1"/>
    <w:rPr>
      <w:i/>
      <w:iCs/>
      <w:color w:val="0F4761" w:themeColor="accent1" w:themeShade="BF"/>
    </w:rPr>
  </w:style>
  <w:style w:type="paragraph" w:styleId="IntenseQuote">
    <w:name w:val="Intense Quote"/>
    <w:basedOn w:val="Normal"/>
    <w:next w:val="Normal"/>
    <w:link w:val="IntenseQuoteChar"/>
    <w:uiPriority w:val="30"/>
    <w:qFormat/>
    <w:rsid w:val="00E756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6B1"/>
    <w:rPr>
      <w:i/>
      <w:iCs/>
      <w:color w:val="0F4761" w:themeColor="accent1" w:themeShade="BF"/>
    </w:rPr>
  </w:style>
  <w:style w:type="character" w:styleId="IntenseReference">
    <w:name w:val="Intense Reference"/>
    <w:basedOn w:val="DefaultParagraphFont"/>
    <w:uiPriority w:val="32"/>
    <w:qFormat/>
    <w:rsid w:val="00E756B1"/>
    <w:rPr>
      <w:b/>
      <w:bCs/>
      <w:smallCaps/>
      <w:color w:val="0F4761" w:themeColor="accent1" w:themeShade="BF"/>
      <w:spacing w:val="5"/>
    </w:rPr>
  </w:style>
  <w:style w:type="paragraph" w:styleId="NormalWeb">
    <w:name w:val="Normal (Web)"/>
    <w:basedOn w:val="Normal"/>
    <w:uiPriority w:val="99"/>
    <w:unhideWhenUsed/>
    <w:rsid w:val="00E756B1"/>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E756B1"/>
    <w:rPr>
      <w:b/>
      <w:bCs/>
    </w:rPr>
  </w:style>
  <w:style w:type="paragraph" w:styleId="Header">
    <w:name w:val="header"/>
    <w:basedOn w:val="Normal"/>
    <w:link w:val="HeaderChar"/>
    <w:uiPriority w:val="99"/>
    <w:unhideWhenUsed/>
    <w:rsid w:val="002E6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312"/>
  </w:style>
  <w:style w:type="paragraph" w:styleId="Footer">
    <w:name w:val="footer"/>
    <w:basedOn w:val="Normal"/>
    <w:link w:val="FooterChar"/>
    <w:uiPriority w:val="99"/>
    <w:unhideWhenUsed/>
    <w:rsid w:val="002E6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312"/>
  </w:style>
  <w:style w:type="character" w:styleId="PageNumber">
    <w:name w:val="page number"/>
    <w:basedOn w:val="DefaultParagraphFont"/>
    <w:uiPriority w:val="99"/>
    <w:semiHidden/>
    <w:unhideWhenUsed/>
    <w:rsid w:val="002E63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1671</Words>
  <Characters>11353</Characters>
  <Application>Microsoft Office Word</Application>
  <DocSecurity>0</DocSecurity>
  <Lines>227</Lines>
  <Paragraphs>72</Paragraphs>
  <ScaleCrop>false</ScaleCrop>
  <Company/>
  <LinksUpToDate>false</LinksUpToDate>
  <CharactersWithSpaces>12952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Cardoso</dc:creator>
  <cp:keywords/>
  <dc:description/>
  <cp:lastModifiedBy>Fabio Cardoso</cp:lastModifiedBy>
  <cp:revision>23</cp:revision>
  <dcterms:created xsi:type="dcterms:W3CDTF">2026-03-27T22:31:00Z</dcterms:created>
  <dcterms:modified xsi:type="dcterms:W3CDTF">2026-03-30T13:25:00Z</dcterms:modified>
</cp:coreProperties>
</file>