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BC8" w:rsidRDefault="00510BC8" w:rsidP="00510BC8">
      <w:pPr>
        <w:spacing w:after="0" w:line="360" w:lineRule="auto"/>
        <w:jc w:val="center"/>
        <w:rPr>
          <w:rFonts w:ascii="Arial" w:hAnsi="Arial" w:cs="Arial"/>
          <w:b/>
          <w:sz w:val="28"/>
          <w:szCs w:val="28"/>
        </w:rPr>
      </w:pPr>
      <w:r>
        <w:rPr>
          <w:noProof/>
          <w:lang w:eastAsia="en-GB"/>
        </w:rPr>
        <w:drawing>
          <wp:inline distT="0" distB="0" distL="0" distR="0" wp14:anchorId="7EE8F8E0" wp14:editId="4AA0A35C">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rsidR="00510BC8" w:rsidRDefault="00510BC8" w:rsidP="00510BC8">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rsidR="00510BC8" w:rsidRPr="0072034D" w:rsidRDefault="00510BC8" w:rsidP="00510BC8">
      <w:pPr>
        <w:spacing w:after="0" w:line="36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Academic Discipline of Social Justice and Inclusion</w:t>
      </w:r>
    </w:p>
    <w:p w:rsidR="00510BC8" w:rsidRPr="0072034D" w:rsidRDefault="00510BC8" w:rsidP="00510BC8">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rsidR="00510BC8" w:rsidRDefault="00510BC8" w:rsidP="00510BC8">
      <w:pPr>
        <w:spacing w:after="0" w:line="240" w:lineRule="auto"/>
        <w:jc w:val="center"/>
        <w:rPr>
          <w:rFonts w:ascii="Arial" w:hAnsi="Arial" w:cs="Arial"/>
          <w:b/>
          <w:color w:val="1F3864" w:themeColor="accent1" w:themeShade="80"/>
          <w:sz w:val="32"/>
          <w:szCs w:val="32"/>
        </w:rPr>
      </w:pPr>
    </w:p>
    <w:p w:rsidR="00593FB9" w:rsidRDefault="00510BC8" w:rsidP="00510BC8">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Pr>
          <w:rFonts w:ascii="Arial" w:hAnsi="Arial" w:cs="Arial"/>
          <w:b/>
          <w:color w:val="1F3864" w:themeColor="accent1" w:themeShade="80"/>
          <w:sz w:val="32"/>
          <w:szCs w:val="32"/>
        </w:rPr>
        <w:t xml:space="preserve">Practicum </w:t>
      </w:r>
      <w:r w:rsidR="00593FB9">
        <w:rPr>
          <w:rFonts w:ascii="Arial" w:hAnsi="Arial" w:cs="Arial"/>
          <w:b/>
          <w:color w:val="1F3864" w:themeColor="accent1" w:themeShade="80"/>
          <w:sz w:val="32"/>
          <w:szCs w:val="32"/>
        </w:rPr>
        <w:t xml:space="preserve">Assignment Two </w:t>
      </w:r>
    </w:p>
    <w:p w:rsidR="00510BC8" w:rsidRPr="0072034D" w:rsidRDefault="00510BC8" w:rsidP="00510BC8">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Level 4 </w:t>
      </w:r>
      <w:r w:rsidRPr="0072034D">
        <w:rPr>
          <w:rFonts w:ascii="Arial" w:hAnsi="Arial" w:cs="Arial"/>
          <w:b/>
          <w:color w:val="1F3864" w:themeColor="accent1" w:themeShade="80"/>
          <w:sz w:val="32"/>
          <w:szCs w:val="32"/>
        </w:rPr>
        <w:t>ECHC400</w:t>
      </w:r>
      <w:r>
        <w:rPr>
          <w:rFonts w:ascii="Arial" w:hAnsi="Arial" w:cs="Arial"/>
          <w:b/>
          <w:color w:val="1F3864" w:themeColor="accent1" w:themeShade="80"/>
          <w:sz w:val="32"/>
          <w:szCs w:val="32"/>
        </w:rPr>
        <w:t>5</w:t>
      </w:r>
    </w:p>
    <w:p w:rsidR="00510BC8" w:rsidRPr="0072034D" w:rsidRDefault="00510BC8" w:rsidP="00510BC8">
      <w:pPr>
        <w:spacing w:after="0" w:line="240" w:lineRule="auto"/>
        <w:jc w:val="center"/>
        <w:rPr>
          <w:rFonts w:ascii="Arial" w:hAnsi="Arial" w:cs="Arial"/>
          <w:b/>
          <w:color w:val="1F3864" w:themeColor="accent1" w:themeShade="80"/>
          <w:sz w:val="32"/>
          <w:szCs w:val="32"/>
        </w:rPr>
      </w:pPr>
    </w:p>
    <w:p w:rsidR="00510BC8" w:rsidRPr="0072034D" w:rsidRDefault="00510BC8" w:rsidP="00510BC8">
      <w:pPr>
        <w:spacing w:after="0" w:line="240" w:lineRule="auto"/>
        <w:jc w:val="center"/>
        <w:rPr>
          <w:rFonts w:ascii="Arial" w:hAnsi="Arial" w:cs="Arial"/>
          <w:b/>
          <w:color w:val="1F3864" w:themeColor="accent1" w:themeShade="80"/>
          <w:sz w:val="32"/>
          <w:szCs w:val="32"/>
        </w:rPr>
      </w:pPr>
    </w:p>
    <w:p w:rsidR="00510BC8" w:rsidRDefault="00510BC8" w:rsidP="00510BC8">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Two</w:t>
      </w:r>
    </w:p>
    <w:p w:rsidR="00510BC8" w:rsidRDefault="00510BC8" w:rsidP="00510BC8">
      <w:pPr>
        <w:spacing w:after="0" w:line="240" w:lineRule="auto"/>
        <w:jc w:val="center"/>
        <w:rPr>
          <w:rFonts w:ascii="Arial" w:hAnsi="Arial" w:cs="Arial"/>
          <w:b/>
          <w:color w:val="1F3864" w:themeColor="accent1" w:themeShade="80"/>
          <w:sz w:val="32"/>
          <w:szCs w:val="32"/>
        </w:rPr>
      </w:pPr>
    </w:p>
    <w:p w:rsidR="00510BC8" w:rsidRDefault="00510BC8" w:rsidP="00510BC8">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w:t>
      </w:r>
      <w:r>
        <w:rPr>
          <w:rFonts w:ascii="Arial" w:hAnsi="Arial" w:cs="Arial"/>
          <w:b/>
          <w:color w:val="1F3864" w:themeColor="accent1" w:themeShade="80"/>
          <w:sz w:val="32"/>
          <w:szCs w:val="32"/>
        </w:rPr>
        <w:t>1809565</w:t>
      </w:r>
    </w:p>
    <w:p w:rsidR="00510BC8" w:rsidRDefault="00510BC8" w:rsidP="00510BC8">
      <w:pPr>
        <w:spacing w:after="0" w:line="240" w:lineRule="auto"/>
        <w:jc w:val="center"/>
        <w:rPr>
          <w:rFonts w:ascii="Arial" w:hAnsi="Arial" w:cs="Arial"/>
          <w:b/>
          <w:color w:val="1F3864" w:themeColor="accent1" w:themeShade="80"/>
          <w:sz w:val="32"/>
          <w:szCs w:val="32"/>
        </w:rPr>
      </w:pPr>
    </w:p>
    <w:p w:rsidR="00510BC8" w:rsidRPr="0072034D" w:rsidRDefault="00510BC8" w:rsidP="00510BC8">
      <w:pPr>
        <w:spacing w:after="0" w:line="240" w:lineRule="auto"/>
        <w:jc w:val="center"/>
        <w:rPr>
          <w:rFonts w:ascii="Arial" w:hAnsi="Arial" w:cs="Arial"/>
          <w:b/>
          <w:color w:val="1F3864" w:themeColor="accent1" w:themeShade="80"/>
          <w:sz w:val="32"/>
          <w:szCs w:val="32"/>
        </w:rPr>
      </w:pPr>
    </w:p>
    <w:p w:rsidR="00510BC8" w:rsidRDefault="00510BC8"/>
    <w:p w:rsidR="00B50D99" w:rsidRDefault="00510BC8">
      <w:pPr>
        <w:rPr>
          <w:rFonts w:ascii="Arial" w:hAnsi="Arial" w:cs="Arial"/>
          <w:sz w:val="24"/>
          <w:szCs w:val="24"/>
        </w:rPr>
      </w:pPr>
      <w:r>
        <w:rPr>
          <w:rFonts w:ascii="Arial" w:hAnsi="Arial" w:cs="Arial"/>
          <w:sz w:val="24"/>
          <w:szCs w:val="24"/>
        </w:rPr>
        <w:t>My Task will cover “</w:t>
      </w:r>
      <w:r w:rsidR="005C1A37" w:rsidRPr="00510BC8">
        <w:rPr>
          <w:rFonts w:ascii="Arial" w:hAnsi="Arial" w:cs="Arial"/>
          <w:sz w:val="24"/>
          <w:szCs w:val="24"/>
        </w:rPr>
        <w:t>Client Assessment</w:t>
      </w:r>
      <w:r>
        <w:rPr>
          <w:rFonts w:ascii="Arial" w:hAnsi="Arial" w:cs="Arial"/>
          <w:sz w:val="24"/>
          <w:szCs w:val="24"/>
        </w:rPr>
        <w:t>”</w:t>
      </w:r>
    </w:p>
    <w:p w:rsidR="00510BC8" w:rsidRDefault="00510BC8">
      <w:pPr>
        <w:rPr>
          <w:rFonts w:ascii="Arial" w:hAnsi="Arial" w:cs="Arial"/>
          <w:sz w:val="24"/>
          <w:szCs w:val="24"/>
        </w:rPr>
      </w:pPr>
      <w:r>
        <w:rPr>
          <w:rFonts w:ascii="Arial" w:hAnsi="Arial" w:cs="Arial"/>
          <w:sz w:val="24"/>
          <w:szCs w:val="24"/>
        </w:rPr>
        <w:t xml:space="preserve">Introduction </w:t>
      </w:r>
    </w:p>
    <w:p w:rsidR="00C17EC9" w:rsidRDefault="00C17EC9">
      <w:pPr>
        <w:rPr>
          <w:rFonts w:ascii="Arial" w:hAnsi="Arial" w:cs="Arial"/>
          <w:sz w:val="24"/>
          <w:szCs w:val="24"/>
        </w:rPr>
      </w:pPr>
      <w:r>
        <w:rPr>
          <w:rFonts w:ascii="Arial" w:hAnsi="Arial" w:cs="Arial"/>
          <w:sz w:val="24"/>
          <w:szCs w:val="24"/>
        </w:rPr>
        <w:t>Would be to cover Why Assessment is important?</w:t>
      </w:r>
    </w:p>
    <w:p w:rsidR="00C17EC9" w:rsidRDefault="00C17EC9" w:rsidP="00C17EC9">
      <w:pPr>
        <w:rPr>
          <w:rFonts w:ascii="Arial" w:hAnsi="Arial" w:cs="Arial"/>
          <w:sz w:val="24"/>
          <w:szCs w:val="24"/>
        </w:rPr>
      </w:pPr>
      <w:r w:rsidRPr="00510BC8">
        <w:rPr>
          <w:rFonts w:ascii="Arial" w:hAnsi="Arial" w:cs="Arial"/>
          <w:sz w:val="24"/>
          <w:szCs w:val="24"/>
        </w:rPr>
        <w:t>To start with I will begin with discussing client assessment, clients will come from all walks of life, we need to be aware when assessing clients. Assessments is important in whether and how to work with a client.</w:t>
      </w:r>
    </w:p>
    <w:p w:rsidR="00C17EC9" w:rsidRPr="00510BC8" w:rsidRDefault="00C17EC9" w:rsidP="00C17EC9">
      <w:pPr>
        <w:rPr>
          <w:rFonts w:ascii="Arial" w:hAnsi="Arial" w:cs="Arial"/>
          <w:sz w:val="24"/>
          <w:szCs w:val="24"/>
        </w:rPr>
      </w:pPr>
      <w:r w:rsidRPr="00510BC8">
        <w:rPr>
          <w:rFonts w:ascii="Arial" w:hAnsi="Arial" w:cs="Arial"/>
          <w:sz w:val="24"/>
          <w:szCs w:val="24"/>
        </w:rPr>
        <w:t>Assessment start from the first initial contact and is the building block of the therapeutic relationship.</w:t>
      </w:r>
    </w:p>
    <w:p w:rsidR="00593FB9" w:rsidRDefault="00593FB9">
      <w:pPr>
        <w:rPr>
          <w:rFonts w:ascii="Arial" w:hAnsi="Arial" w:cs="Arial"/>
          <w:sz w:val="24"/>
          <w:szCs w:val="24"/>
        </w:rPr>
      </w:pPr>
      <w:r>
        <w:rPr>
          <w:rFonts w:ascii="Arial" w:hAnsi="Arial" w:cs="Arial"/>
          <w:sz w:val="24"/>
          <w:szCs w:val="24"/>
        </w:rPr>
        <w:t>Background would cover, what we can offer? and what are our limits?</w:t>
      </w:r>
    </w:p>
    <w:p w:rsidR="00C17EC9" w:rsidRPr="00510BC8" w:rsidRDefault="00C17EC9" w:rsidP="00C17EC9">
      <w:pPr>
        <w:rPr>
          <w:rFonts w:ascii="Arial" w:hAnsi="Arial" w:cs="Arial"/>
          <w:sz w:val="24"/>
          <w:szCs w:val="24"/>
        </w:rPr>
      </w:pPr>
      <w:r w:rsidRPr="00510BC8">
        <w:rPr>
          <w:rFonts w:ascii="Arial" w:hAnsi="Arial" w:cs="Arial"/>
          <w:sz w:val="24"/>
          <w:szCs w:val="24"/>
        </w:rPr>
        <w:t xml:space="preserve">Assessment enhances the capacity to form a bond, this is important and could help the client engage in therapeutic tasks. </w:t>
      </w:r>
    </w:p>
    <w:p w:rsidR="00593FB9" w:rsidRDefault="00593FB9">
      <w:pPr>
        <w:rPr>
          <w:rFonts w:ascii="Arial" w:hAnsi="Arial" w:cs="Arial"/>
          <w:sz w:val="24"/>
          <w:szCs w:val="24"/>
        </w:rPr>
      </w:pPr>
    </w:p>
    <w:p w:rsidR="00593FB9" w:rsidRDefault="00593FB9">
      <w:pPr>
        <w:rPr>
          <w:rFonts w:ascii="Arial" w:hAnsi="Arial" w:cs="Arial"/>
          <w:sz w:val="24"/>
          <w:szCs w:val="24"/>
        </w:rPr>
      </w:pPr>
      <w:r>
        <w:rPr>
          <w:rFonts w:ascii="Arial" w:hAnsi="Arial" w:cs="Arial"/>
          <w:sz w:val="24"/>
          <w:szCs w:val="24"/>
        </w:rPr>
        <w:t xml:space="preserve">How would we process, clients? </w:t>
      </w:r>
    </w:p>
    <w:p w:rsidR="00593FB9" w:rsidRDefault="00593FB9">
      <w:pPr>
        <w:rPr>
          <w:rFonts w:ascii="Arial" w:hAnsi="Arial" w:cs="Arial"/>
          <w:sz w:val="24"/>
          <w:szCs w:val="24"/>
        </w:rPr>
      </w:pPr>
      <w:r>
        <w:rPr>
          <w:rFonts w:ascii="Arial" w:hAnsi="Arial" w:cs="Arial"/>
          <w:sz w:val="24"/>
          <w:szCs w:val="24"/>
        </w:rPr>
        <w:t xml:space="preserve">                                        Initial contract </w:t>
      </w:r>
    </w:p>
    <w:p w:rsidR="00C17EC9" w:rsidRPr="00510BC8" w:rsidRDefault="00C17EC9" w:rsidP="00C17EC9">
      <w:pPr>
        <w:rPr>
          <w:rFonts w:ascii="Arial" w:hAnsi="Arial" w:cs="Arial"/>
          <w:sz w:val="24"/>
          <w:szCs w:val="24"/>
        </w:rPr>
      </w:pPr>
      <w:r w:rsidRPr="00510BC8">
        <w:rPr>
          <w:rFonts w:ascii="Arial" w:hAnsi="Arial" w:cs="Arial"/>
          <w:sz w:val="24"/>
          <w:szCs w:val="24"/>
        </w:rPr>
        <w:t>Listening and how motivated does the client seem to engage.</w:t>
      </w:r>
    </w:p>
    <w:p w:rsidR="00C17EC9" w:rsidRDefault="00C17EC9">
      <w:pPr>
        <w:rPr>
          <w:rFonts w:ascii="Arial" w:hAnsi="Arial" w:cs="Arial"/>
          <w:sz w:val="24"/>
          <w:szCs w:val="24"/>
        </w:rPr>
      </w:pPr>
    </w:p>
    <w:p w:rsidR="00593FB9" w:rsidRDefault="00593FB9">
      <w:pPr>
        <w:rPr>
          <w:rFonts w:ascii="Arial" w:hAnsi="Arial" w:cs="Arial"/>
          <w:sz w:val="24"/>
          <w:szCs w:val="24"/>
        </w:rPr>
      </w:pPr>
      <w:r>
        <w:rPr>
          <w:rFonts w:ascii="Arial" w:hAnsi="Arial" w:cs="Arial"/>
          <w:sz w:val="24"/>
          <w:szCs w:val="24"/>
        </w:rPr>
        <w:lastRenderedPageBreak/>
        <w:t>Registration - clients background</w:t>
      </w:r>
      <w:r w:rsidR="00C17EC9" w:rsidRPr="00C17EC9">
        <w:rPr>
          <w:rFonts w:ascii="Arial" w:hAnsi="Arial" w:cs="Arial"/>
          <w:sz w:val="24"/>
          <w:szCs w:val="24"/>
        </w:rPr>
        <w:t xml:space="preserve"> </w:t>
      </w:r>
      <w:r w:rsidR="00C17EC9" w:rsidRPr="00510BC8">
        <w:rPr>
          <w:rFonts w:ascii="Arial" w:hAnsi="Arial" w:cs="Arial"/>
          <w:sz w:val="24"/>
          <w:szCs w:val="24"/>
        </w:rPr>
        <w:t>Obtaining information on family history, key relationships, any form of diagnosis</w:t>
      </w:r>
    </w:p>
    <w:p w:rsidR="009229DF" w:rsidRPr="00510BC8" w:rsidRDefault="009229DF" w:rsidP="009229DF">
      <w:pPr>
        <w:rPr>
          <w:rFonts w:ascii="Arial" w:hAnsi="Arial" w:cs="Arial"/>
          <w:sz w:val="24"/>
          <w:szCs w:val="24"/>
        </w:rPr>
      </w:pPr>
      <w:r w:rsidRPr="00510BC8">
        <w:rPr>
          <w:rFonts w:ascii="Arial" w:hAnsi="Arial" w:cs="Arial"/>
          <w:sz w:val="24"/>
          <w:szCs w:val="24"/>
        </w:rPr>
        <w:t>Be open and as stated conversational style is generally more sensitive and informative that a series of direct questions</w:t>
      </w:r>
    </w:p>
    <w:p w:rsidR="009229DF" w:rsidRDefault="009229DF">
      <w:pPr>
        <w:rPr>
          <w:rFonts w:ascii="Arial" w:hAnsi="Arial" w:cs="Arial"/>
          <w:sz w:val="24"/>
          <w:szCs w:val="24"/>
        </w:rPr>
      </w:pPr>
    </w:p>
    <w:p w:rsidR="00593FB9" w:rsidRDefault="00593FB9">
      <w:pPr>
        <w:rPr>
          <w:rFonts w:ascii="Arial" w:hAnsi="Arial" w:cs="Arial"/>
          <w:sz w:val="24"/>
          <w:szCs w:val="24"/>
        </w:rPr>
      </w:pPr>
      <w:r>
        <w:rPr>
          <w:rFonts w:ascii="Arial" w:hAnsi="Arial" w:cs="Arial"/>
          <w:sz w:val="24"/>
          <w:szCs w:val="24"/>
        </w:rPr>
        <w:t xml:space="preserve">                    -  Previous counselling </w:t>
      </w:r>
    </w:p>
    <w:p w:rsidR="00593FB9" w:rsidRDefault="00593FB9">
      <w:pPr>
        <w:rPr>
          <w:rFonts w:ascii="Arial" w:hAnsi="Arial" w:cs="Arial"/>
          <w:sz w:val="24"/>
          <w:szCs w:val="24"/>
        </w:rPr>
      </w:pPr>
      <w:r>
        <w:rPr>
          <w:rFonts w:ascii="Arial" w:hAnsi="Arial" w:cs="Arial"/>
          <w:sz w:val="24"/>
          <w:szCs w:val="24"/>
        </w:rPr>
        <w:t xml:space="preserve">                    - medication </w:t>
      </w:r>
    </w:p>
    <w:p w:rsidR="00593FB9" w:rsidRDefault="00593FB9">
      <w:pPr>
        <w:rPr>
          <w:rFonts w:ascii="Arial" w:hAnsi="Arial" w:cs="Arial"/>
          <w:sz w:val="24"/>
          <w:szCs w:val="24"/>
        </w:rPr>
      </w:pPr>
      <w:r>
        <w:rPr>
          <w:rFonts w:ascii="Arial" w:hAnsi="Arial" w:cs="Arial"/>
          <w:sz w:val="24"/>
          <w:szCs w:val="24"/>
        </w:rPr>
        <w:t xml:space="preserve">                    - capacity</w:t>
      </w:r>
    </w:p>
    <w:p w:rsidR="00593FB9" w:rsidRDefault="00593FB9">
      <w:pPr>
        <w:rPr>
          <w:rFonts w:ascii="Arial" w:hAnsi="Arial" w:cs="Arial"/>
          <w:sz w:val="24"/>
          <w:szCs w:val="24"/>
        </w:rPr>
      </w:pPr>
      <w:r>
        <w:rPr>
          <w:rFonts w:ascii="Arial" w:hAnsi="Arial" w:cs="Arial"/>
          <w:sz w:val="24"/>
          <w:szCs w:val="24"/>
        </w:rPr>
        <w:t xml:space="preserve">                    - alcohol / drugs</w:t>
      </w:r>
    </w:p>
    <w:p w:rsidR="00593FB9" w:rsidRDefault="00593FB9">
      <w:pPr>
        <w:rPr>
          <w:rFonts w:ascii="Arial" w:hAnsi="Arial" w:cs="Arial"/>
          <w:sz w:val="24"/>
          <w:szCs w:val="24"/>
        </w:rPr>
      </w:pPr>
      <w:r>
        <w:rPr>
          <w:rFonts w:ascii="Arial" w:hAnsi="Arial" w:cs="Arial"/>
          <w:sz w:val="24"/>
          <w:szCs w:val="24"/>
        </w:rPr>
        <w:t xml:space="preserve">                    - Mental Health</w:t>
      </w:r>
    </w:p>
    <w:p w:rsidR="00593FB9" w:rsidRDefault="00593FB9">
      <w:pPr>
        <w:rPr>
          <w:rFonts w:ascii="Arial" w:hAnsi="Arial" w:cs="Arial"/>
          <w:sz w:val="24"/>
          <w:szCs w:val="24"/>
        </w:rPr>
      </w:pPr>
      <w:r>
        <w:rPr>
          <w:rFonts w:ascii="Arial" w:hAnsi="Arial" w:cs="Arial"/>
          <w:sz w:val="24"/>
          <w:szCs w:val="24"/>
        </w:rPr>
        <w:t xml:space="preserve"> Clients understanding of counselling and person centred</w:t>
      </w:r>
    </w:p>
    <w:p w:rsidR="00593FB9" w:rsidRDefault="00593FB9">
      <w:pPr>
        <w:rPr>
          <w:rFonts w:ascii="Arial" w:hAnsi="Arial" w:cs="Arial"/>
          <w:sz w:val="24"/>
          <w:szCs w:val="24"/>
        </w:rPr>
      </w:pPr>
      <w:r>
        <w:rPr>
          <w:rFonts w:ascii="Arial" w:hAnsi="Arial" w:cs="Arial"/>
          <w:sz w:val="24"/>
          <w:szCs w:val="24"/>
        </w:rPr>
        <w:t xml:space="preserve"> The ability to form a relationship</w:t>
      </w:r>
    </w:p>
    <w:p w:rsidR="009229DF" w:rsidRPr="00510BC8" w:rsidRDefault="009229DF" w:rsidP="009229DF">
      <w:pPr>
        <w:rPr>
          <w:rFonts w:ascii="Arial" w:hAnsi="Arial" w:cs="Arial"/>
          <w:sz w:val="24"/>
          <w:szCs w:val="24"/>
        </w:rPr>
      </w:pPr>
      <w:r w:rsidRPr="00510BC8">
        <w:rPr>
          <w:rFonts w:ascii="Arial" w:hAnsi="Arial" w:cs="Arial"/>
          <w:sz w:val="24"/>
          <w:szCs w:val="24"/>
        </w:rPr>
        <w:t>Where</w:t>
      </w:r>
    </w:p>
    <w:p w:rsidR="009229DF" w:rsidRDefault="009229DF" w:rsidP="009229DF">
      <w:pPr>
        <w:rPr>
          <w:rFonts w:ascii="Arial" w:hAnsi="Arial" w:cs="Arial"/>
          <w:sz w:val="24"/>
          <w:szCs w:val="24"/>
        </w:rPr>
      </w:pPr>
      <w:r w:rsidRPr="00510BC8">
        <w:rPr>
          <w:rFonts w:ascii="Arial" w:hAnsi="Arial" w:cs="Arial"/>
          <w:sz w:val="24"/>
          <w:szCs w:val="24"/>
        </w:rPr>
        <w:t xml:space="preserve"> A suitable </w:t>
      </w:r>
      <w:r>
        <w:rPr>
          <w:rFonts w:ascii="Arial" w:hAnsi="Arial" w:cs="Arial"/>
          <w:sz w:val="24"/>
          <w:szCs w:val="24"/>
        </w:rPr>
        <w:t>location /</w:t>
      </w:r>
      <w:r w:rsidRPr="00510BC8">
        <w:rPr>
          <w:rFonts w:ascii="Arial" w:hAnsi="Arial" w:cs="Arial"/>
          <w:sz w:val="24"/>
          <w:szCs w:val="24"/>
        </w:rPr>
        <w:t>room would entail a quiet and private location, that would be light an airy and away from any distraction or disturbances. The room would need to be</w:t>
      </w:r>
      <w:r>
        <w:rPr>
          <w:rFonts w:ascii="Arial" w:hAnsi="Arial" w:cs="Arial"/>
          <w:sz w:val="24"/>
          <w:szCs w:val="24"/>
        </w:rPr>
        <w:t>……</w:t>
      </w:r>
    </w:p>
    <w:p w:rsidR="00593FB9" w:rsidRDefault="00593FB9">
      <w:pPr>
        <w:rPr>
          <w:rFonts w:ascii="Arial" w:hAnsi="Arial" w:cs="Arial"/>
          <w:sz w:val="24"/>
          <w:szCs w:val="24"/>
        </w:rPr>
      </w:pPr>
      <w:r>
        <w:rPr>
          <w:rFonts w:ascii="Arial" w:hAnsi="Arial" w:cs="Arial"/>
          <w:sz w:val="24"/>
          <w:szCs w:val="24"/>
        </w:rPr>
        <w:t xml:space="preserve">Do we have the resources </w:t>
      </w:r>
      <w:r w:rsidR="00C17EC9">
        <w:rPr>
          <w:rFonts w:ascii="Arial" w:hAnsi="Arial" w:cs="Arial"/>
          <w:sz w:val="24"/>
          <w:szCs w:val="24"/>
        </w:rPr>
        <w:t xml:space="preserve">available? </w:t>
      </w:r>
    </w:p>
    <w:p w:rsidR="00C17EC9" w:rsidRDefault="00C17EC9">
      <w:pPr>
        <w:rPr>
          <w:rFonts w:ascii="Arial" w:hAnsi="Arial" w:cs="Arial"/>
          <w:sz w:val="24"/>
          <w:szCs w:val="24"/>
        </w:rPr>
      </w:pPr>
      <w:r>
        <w:rPr>
          <w:rFonts w:ascii="Arial" w:hAnsi="Arial" w:cs="Arial"/>
          <w:sz w:val="24"/>
          <w:szCs w:val="24"/>
        </w:rPr>
        <w:t>Are we the right protocol? Such as ‘are they referred? GP</w:t>
      </w:r>
    </w:p>
    <w:p w:rsidR="00C17EC9" w:rsidRDefault="00C17EC9">
      <w:pPr>
        <w:rPr>
          <w:rFonts w:ascii="Arial" w:hAnsi="Arial" w:cs="Arial"/>
          <w:sz w:val="24"/>
          <w:szCs w:val="24"/>
        </w:rPr>
      </w:pPr>
      <w:r>
        <w:rPr>
          <w:rFonts w:ascii="Arial" w:hAnsi="Arial" w:cs="Arial"/>
          <w:sz w:val="24"/>
          <w:szCs w:val="24"/>
        </w:rPr>
        <w:t>Organisations – capacity</w:t>
      </w:r>
    </w:p>
    <w:p w:rsidR="00C17EC9" w:rsidRDefault="00C17EC9" w:rsidP="00C17EC9">
      <w:pPr>
        <w:pStyle w:val="ListParagraph"/>
        <w:numPr>
          <w:ilvl w:val="0"/>
          <w:numId w:val="2"/>
        </w:numPr>
        <w:rPr>
          <w:rFonts w:ascii="Arial" w:hAnsi="Arial" w:cs="Arial"/>
          <w:sz w:val="24"/>
          <w:szCs w:val="24"/>
        </w:rPr>
      </w:pPr>
      <w:r>
        <w:rPr>
          <w:rFonts w:ascii="Arial" w:hAnsi="Arial" w:cs="Arial"/>
          <w:sz w:val="24"/>
          <w:szCs w:val="24"/>
        </w:rPr>
        <w:t>Skills</w:t>
      </w:r>
    </w:p>
    <w:p w:rsidR="00C17EC9" w:rsidRDefault="00C17EC9" w:rsidP="00C17EC9">
      <w:pPr>
        <w:rPr>
          <w:rFonts w:ascii="Arial" w:hAnsi="Arial" w:cs="Arial"/>
          <w:sz w:val="24"/>
          <w:szCs w:val="24"/>
        </w:rPr>
      </w:pPr>
      <w:r>
        <w:rPr>
          <w:rFonts w:ascii="Arial" w:hAnsi="Arial" w:cs="Arial"/>
          <w:sz w:val="24"/>
          <w:szCs w:val="24"/>
        </w:rPr>
        <w:t>Questions</w:t>
      </w:r>
    </w:p>
    <w:p w:rsidR="00C17EC9" w:rsidRDefault="00C17EC9" w:rsidP="00C17EC9">
      <w:pPr>
        <w:rPr>
          <w:rFonts w:ascii="Arial" w:hAnsi="Arial" w:cs="Arial"/>
          <w:sz w:val="24"/>
          <w:szCs w:val="24"/>
        </w:rPr>
      </w:pPr>
      <w:r>
        <w:rPr>
          <w:rFonts w:ascii="Arial" w:hAnsi="Arial" w:cs="Arial"/>
          <w:sz w:val="24"/>
          <w:szCs w:val="24"/>
        </w:rPr>
        <w:t>Who can we support?</w:t>
      </w:r>
    </w:p>
    <w:p w:rsidR="00C17EC9" w:rsidRDefault="00C17EC9" w:rsidP="00C17EC9">
      <w:pPr>
        <w:rPr>
          <w:rFonts w:ascii="Arial" w:hAnsi="Arial" w:cs="Arial"/>
          <w:sz w:val="24"/>
          <w:szCs w:val="24"/>
        </w:rPr>
      </w:pPr>
      <w:r>
        <w:rPr>
          <w:rFonts w:ascii="Arial" w:hAnsi="Arial" w:cs="Arial"/>
          <w:sz w:val="24"/>
          <w:szCs w:val="24"/>
        </w:rPr>
        <w:t>Who we cannot?</w:t>
      </w:r>
    </w:p>
    <w:p w:rsidR="00C17EC9" w:rsidRDefault="00C17EC9" w:rsidP="00C17EC9">
      <w:pPr>
        <w:rPr>
          <w:rFonts w:ascii="Arial" w:hAnsi="Arial" w:cs="Arial"/>
          <w:sz w:val="24"/>
          <w:szCs w:val="24"/>
        </w:rPr>
      </w:pPr>
      <w:r>
        <w:rPr>
          <w:rFonts w:ascii="Arial" w:hAnsi="Arial" w:cs="Arial"/>
          <w:sz w:val="24"/>
          <w:szCs w:val="24"/>
        </w:rPr>
        <w:t>Why?</w:t>
      </w:r>
    </w:p>
    <w:p w:rsidR="00C17EC9" w:rsidRDefault="00C17EC9" w:rsidP="00C17EC9">
      <w:pPr>
        <w:rPr>
          <w:rFonts w:ascii="Arial" w:hAnsi="Arial" w:cs="Arial"/>
          <w:sz w:val="24"/>
          <w:szCs w:val="24"/>
        </w:rPr>
      </w:pPr>
      <w:r>
        <w:rPr>
          <w:rFonts w:ascii="Arial" w:hAnsi="Arial" w:cs="Arial"/>
          <w:sz w:val="24"/>
          <w:szCs w:val="24"/>
        </w:rPr>
        <w:t>Legal / Best Practice BACP</w:t>
      </w:r>
    </w:p>
    <w:p w:rsidR="00C17EC9" w:rsidRPr="00510BC8" w:rsidRDefault="00C17EC9" w:rsidP="00C17EC9">
      <w:pPr>
        <w:rPr>
          <w:rFonts w:ascii="Arial" w:hAnsi="Arial" w:cs="Arial"/>
          <w:sz w:val="24"/>
          <w:szCs w:val="24"/>
        </w:rPr>
      </w:pPr>
      <w:bookmarkStart w:id="0" w:name="_GoBack"/>
      <w:bookmarkEnd w:id="0"/>
    </w:p>
    <w:p w:rsidR="00C17EC9" w:rsidRPr="00510BC8" w:rsidRDefault="00C17EC9" w:rsidP="00C17EC9">
      <w:pPr>
        <w:rPr>
          <w:rFonts w:ascii="Arial" w:hAnsi="Arial" w:cs="Arial"/>
          <w:sz w:val="24"/>
          <w:szCs w:val="24"/>
        </w:rPr>
      </w:pPr>
      <w:r w:rsidRPr="00510BC8">
        <w:rPr>
          <w:rFonts w:ascii="Arial" w:hAnsi="Arial" w:cs="Arial"/>
          <w:sz w:val="24"/>
          <w:szCs w:val="24"/>
        </w:rPr>
        <w:t>Data protection and confidentiality</w:t>
      </w:r>
    </w:p>
    <w:p w:rsidR="00C17EC9" w:rsidRPr="00510BC8" w:rsidRDefault="00C17EC9" w:rsidP="00C17EC9">
      <w:pPr>
        <w:rPr>
          <w:rFonts w:ascii="Arial" w:hAnsi="Arial" w:cs="Arial"/>
          <w:sz w:val="24"/>
          <w:szCs w:val="24"/>
        </w:rPr>
      </w:pPr>
      <w:r w:rsidRPr="00510BC8">
        <w:rPr>
          <w:rFonts w:ascii="Arial" w:hAnsi="Arial" w:cs="Arial"/>
          <w:sz w:val="24"/>
          <w:szCs w:val="24"/>
        </w:rPr>
        <w:t xml:space="preserve">Anything discussed with the counsellor or even attending an appointment is confidential to the service. Information about their attendance will only be shared with others in very specific circumstances, except under very exceptional circumstances with the client’s explicit consent </w:t>
      </w:r>
    </w:p>
    <w:p w:rsidR="00C17EC9" w:rsidRPr="00510BC8" w:rsidRDefault="00C17EC9" w:rsidP="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593FB9" w:rsidRDefault="00593FB9">
      <w:pPr>
        <w:rPr>
          <w:rFonts w:ascii="Arial" w:hAnsi="Arial" w:cs="Arial"/>
          <w:sz w:val="24"/>
          <w:szCs w:val="24"/>
        </w:rPr>
      </w:pPr>
    </w:p>
    <w:p w:rsidR="00593FB9" w:rsidRDefault="00593FB9">
      <w:pPr>
        <w:rPr>
          <w:rFonts w:ascii="Arial" w:hAnsi="Arial" w:cs="Arial"/>
          <w:sz w:val="24"/>
          <w:szCs w:val="24"/>
        </w:rPr>
      </w:pPr>
      <w:r>
        <w:rPr>
          <w:rFonts w:ascii="Arial" w:hAnsi="Arial" w:cs="Arial"/>
          <w:sz w:val="24"/>
          <w:szCs w:val="24"/>
        </w:rPr>
        <w:t xml:space="preserve"> </w:t>
      </w: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C17EC9" w:rsidRDefault="00C17EC9">
      <w:pPr>
        <w:rPr>
          <w:rFonts w:ascii="Arial" w:hAnsi="Arial" w:cs="Arial"/>
          <w:sz w:val="24"/>
          <w:szCs w:val="24"/>
        </w:rPr>
      </w:pPr>
    </w:p>
    <w:p w:rsidR="00593FB9" w:rsidRPr="00510BC8" w:rsidRDefault="00593FB9">
      <w:pPr>
        <w:rPr>
          <w:rFonts w:ascii="Arial" w:hAnsi="Arial" w:cs="Arial"/>
          <w:sz w:val="24"/>
          <w:szCs w:val="24"/>
        </w:rPr>
      </w:pPr>
      <w:r>
        <w:rPr>
          <w:rFonts w:ascii="Arial" w:hAnsi="Arial" w:cs="Arial"/>
          <w:sz w:val="24"/>
          <w:szCs w:val="24"/>
        </w:rPr>
        <w:t xml:space="preserve">          </w:t>
      </w:r>
    </w:p>
    <w:sectPr w:rsidR="00593FB9" w:rsidRPr="00510B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E0B66"/>
    <w:multiLevelType w:val="hybridMultilevel"/>
    <w:tmpl w:val="78EEA1A8"/>
    <w:lvl w:ilvl="0" w:tplc="EB888428">
      <w:numFmt w:val="bullet"/>
      <w:lvlText w:val="-"/>
      <w:lvlJc w:val="left"/>
      <w:pPr>
        <w:ind w:left="1890" w:hanging="360"/>
      </w:pPr>
      <w:rPr>
        <w:rFonts w:ascii="Arial" w:eastAsiaTheme="minorHAnsi" w:hAnsi="Arial" w:cs="Aria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 w15:restartNumberingAfterBreak="0">
    <w:nsid w:val="2BFC2FB1"/>
    <w:multiLevelType w:val="hybridMultilevel"/>
    <w:tmpl w:val="F976CD2E"/>
    <w:lvl w:ilvl="0" w:tplc="84925F3C">
      <w:numFmt w:val="bullet"/>
      <w:lvlText w:val="-"/>
      <w:lvlJc w:val="left"/>
      <w:pPr>
        <w:ind w:left="1890" w:hanging="360"/>
      </w:pPr>
      <w:rPr>
        <w:rFonts w:ascii="Arial" w:eastAsiaTheme="minorHAnsi" w:hAnsi="Arial" w:cs="Aria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37"/>
    <w:rsid w:val="000B0A1A"/>
    <w:rsid w:val="00510BC8"/>
    <w:rsid w:val="00593FB9"/>
    <w:rsid w:val="005C1A37"/>
    <w:rsid w:val="00625885"/>
    <w:rsid w:val="009229DF"/>
    <w:rsid w:val="00C17EC9"/>
    <w:rsid w:val="00F14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93A64"/>
  <w15:chartTrackingRefBased/>
  <w15:docId w15:val="{E093DFBC-82D3-410F-AEB0-6232363BD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Evans</dc:creator>
  <cp:keywords/>
  <dc:description/>
  <cp:lastModifiedBy>Annette Evans</cp:lastModifiedBy>
  <cp:revision>1</cp:revision>
  <dcterms:created xsi:type="dcterms:W3CDTF">2019-03-04T22:52:00Z</dcterms:created>
  <dcterms:modified xsi:type="dcterms:W3CDTF">2019-03-04T23:53:00Z</dcterms:modified>
</cp:coreProperties>
</file>