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E1AB32" w14:textId="77777777" w:rsidR="00667472" w:rsidRPr="006C4C0E" w:rsidRDefault="00667472" w:rsidP="00667472">
      <w:pPr>
        <w:spacing w:before="240" w:after="240" w:line="360" w:lineRule="auto"/>
        <w:jc w:val="center"/>
        <w:rPr>
          <w:b/>
          <w:sz w:val="32"/>
          <w:szCs w:val="24"/>
        </w:rPr>
      </w:pPr>
      <w:r w:rsidRPr="006C4C0E">
        <w:rPr>
          <w:noProof/>
        </w:rPr>
        <w:drawing>
          <wp:inline distT="0" distB="0" distL="0" distR="0" wp14:anchorId="534A8630" wp14:editId="6D0ABF7E">
            <wp:extent cx="2985924" cy="1246505"/>
            <wp:effectExtent l="0" t="0" r="5080" b="0"/>
            <wp:docPr id="53584239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7825" cy="1255648"/>
                    </a:xfrm>
                    <a:prstGeom prst="rect">
                      <a:avLst/>
                    </a:prstGeom>
                    <a:noFill/>
                    <a:ln>
                      <a:noFill/>
                    </a:ln>
                  </pic:spPr>
                </pic:pic>
              </a:graphicData>
            </a:graphic>
          </wp:inline>
        </w:drawing>
      </w:r>
    </w:p>
    <w:p w14:paraId="1771543D" w14:textId="77777777" w:rsidR="00667472" w:rsidRPr="006C4C0E" w:rsidRDefault="00667472" w:rsidP="00667472">
      <w:pPr>
        <w:spacing w:before="240" w:after="240" w:line="360" w:lineRule="auto"/>
        <w:jc w:val="center"/>
        <w:rPr>
          <w:b/>
          <w:sz w:val="32"/>
          <w:szCs w:val="24"/>
        </w:rPr>
      </w:pPr>
      <w:r w:rsidRPr="006C4C0E">
        <w:rPr>
          <w:b/>
          <w:sz w:val="32"/>
          <w:szCs w:val="24"/>
        </w:rPr>
        <w:t>Module Name: Human Capital Management</w:t>
      </w:r>
    </w:p>
    <w:p w14:paraId="71B96F0A" w14:textId="77777777" w:rsidR="00667472" w:rsidRPr="006C4C0E" w:rsidRDefault="00667472" w:rsidP="00667472">
      <w:pPr>
        <w:spacing w:before="240" w:after="240" w:line="360" w:lineRule="auto"/>
        <w:jc w:val="center"/>
        <w:rPr>
          <w:b/>
          <w:sz w:val="32"/>
          <w:szCs w:val="24"/>
        </w:rPr>
      </w:pPr>
      <w:r w:rsidRPr="006C4C0E">
        <w:rPr>
          <w:b/>
          <w:sz w:val="32"/>
          <w:szCs w:val="24"/>
        </w:rPr>
        <w:t>Module Code: LCMB7023</w:t>
      </w:r>
    </w:p>
    <w:p w14:paraId="71E5CC63" w14:textId="77777777" w:rsidR="00667472" w:rsidRPr="006C4C0E" w:rsidRDefault="00667472" w:rsidP="00667472">
      <w:pPr>
        <w:spacing w:before="240" w:after="240" w:line="360" w:lineRule="auto"/>
        <w:jc w:val="center"/>
        <w:rPr>
          <w:b/>
          <w:sz w:val="32"/>
          <w:szCs w:val="24"/>
        </w:rPr>
      </w:pPr>
      <w:r w:rsidRPr="006C4C0E">
        <w:rPr>
          <w:b/>
          <w:sz w:val="32"/>
          <w:szCs w:val="24"/>
        </w:rPr>
        <w:t>Topic: Designing a Human Capital Architecture for Strategic Renewal</w:t>
      </w:r>
    </w:p>
    <w:p w14:paraId="17DEF89D" w14:textId="7F7057A2" w:rsidR="00667472" w:rsidRPr="006C4C0E" w:rsidRDefault="00667472" w:rsidP="00667472">
      <w:pPr>
        <w:spacing w:before="240" w:after="240" w:line="360" w:lineRule="auto"/>
        <w:jc w:val="center"/>
        <w:rPr>
          <w:b/>
          <w:sz w:val="32"/>
          <w:szCs w:val="24"/>
        </w:rPr>
      </w:pPr>
      <w:r w:rsidRPr="006C4C0E">
        <w:rPr>
          <w:b/>
          <w:sz w:val="32"/>
          <w:szCs w:val="24"/>
        </w:rPr>
        <w:t>Student Name:</w:t>
      </w:r>
      <w:r w:rsidR="00EE13ED">
        <w:rPr>
          <w:b/>
          <w:sz w:val="32"/>
          <w:szCs w:val="24"/>
        </w:rPr>
        <w:t xml:space="preserve"> Humbal Shivani Gagubhai</w:t>
      </w:r>
    </w:p>
    <w:p w14:paraId="5FF4623F" w14:textId="1B617C15" w:rsidR="00667472" w:rsidRPr="006C4C0E" w:rsidRDefault="00667472" w:rsidP="00667472">
      <w:pPr>
        <w:jc w:val="center"/>
        <w:rPr>
          <w:b/>
          <w:sz w:val="32"/>
          <w:szCs w:val="24"/>
        </w:rPr>
      </w:pPr>
      <w:r w:rsidRPr="006C4C0E">
        <w:rPr>
          <w:b/>
          <w:sz w:val="32"/>
          <w:szCs w:val="24"/>
        </w:rPr>
        <w:t>Student ID:</w:t>
      </w:r>
      <w:r w:rsidR="00EE13ED">
        <w:rPr>
          <w:b/>
          <w:sz w:val="32"/>
          <w:szCs w:val="24"/>
        </w:rPr>
        <w:t xml:space="preserve"> 2544428</w:t>
      </w:r>
    </w:p>
    <w:p w14:paraId="3D69E21B" w14:textId="77777777" w:rsidR="00667472" w:rsidRPr="006C4C0E" w:rsidRDefault="00667472">
      <w:pPr>
        <w:rPr>
          <w:b/>
          <w:sz w:val="32"/>
          <w:szCs w:val="24"/>
        </w:rPr>
      </w:pPr>
      <w:r w:rsidRPr="006C4C0E">
        <w:rPr>
          <w:b/>
          <w:sz w:val="32"/>
          <w:szCs w:val="24"/>
        </w:rPr>
        <w:br w:type="page"/>
      </w:r>
    </w:p>
    <w:sdt>
      <w:sdtPr>
        <w:rPr>
          <w:rFonts w:ascii="Arial" w:eastAsia="Arial" w:hAnsi="Arial" w:cs="Arial"/>
          <w:b w:val="0"/>
          <w:color w:val="auto"/>
          <w:sz w:val="22"/>
          <w:szCs w:val="22"/>
        </w:rPr>
        <w:id w:val="-1051842979"/>
        <w:docPartObj>
          <w:docPartGallery w:val="Table of Contents"/>
          <w:docPartUnique/>
        </w:docPartObj>
      </w:sdtPr>
      <w:sdtEndPr>
        <w:rPr>
          <w:bCs/>
          <w:sz w:val="24"/>
          <w:szCs w:val="24"/>
        </w:rPr>
      </w:sdtEndPr>
      <w:sdtContent>
        <w:p w14:paraId="2213E9C5" w14:textId="77777777" w:rsidR="00667472" w:rsidRPr="006C4C0E" w:rsidRDefault="00667472" w:rsidP="00667472">
          <w:pPr>
            <w:pStyle w:val="TOCHeading"/>
            <w:spacing w:after="240"/>
            <w:jc w:val="center"/>
            <w:rPr>
              <w:rFonts w:ascii="Arial" w:hAnsi="Arial" w:cs="Arial"/>
              <w:b w:val="0"/>
              <w:color w:val="auto"/>
              <w:sz w:val="28"/>
            </w:rPr>
          </w:pPr>
          <w:r w:rsidRPr="006C4C0E">
            <w:rPr>
              <w:rFonts w:ascii="Arial" w:hAnsi="Arial" w:cs="Arial"/>
              <w:color w:val="auto"/>
              <w:sz w:val="28"/>
            </w:rPr>
            <w:t>Table of Contents</w:t>
          </w:r>
        </w:p>
        <w:p w14:paraId="70FBFABD" w14:textId="77777777" w:rsidR="006C4C0E" w:rsidRPr="006C4C0E" w:rsidRDefault="00667472"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r w:rsidRPr="006C4C0E">
            <w:rPr>
              <w:sz w:val="24"/>
              <w:szCs w:val="24"/>
            </w:rPr>
            <w:fldChar w:fldCharType="begin"/>
          </w:r>
          <w:r w:rsidRPr="006C4C0E">
            <w:rPr>
              <w:sz w:val="24"/>
              <w:szCs w:val="24"/>
            </w:rPr>
            <w:instrText xml:space="preserve"> TOC \o "1-3" \h \z \u </w:instrText>
          </w:r>
          <w:r w:rsidRPr="006C4C0E">
            <w:rPr>
              <w:sz w:val="24"/>
              <w:szCs w:val="24"/>
            </w:rPr>
            <w:fldChar w:fldCharType="separate"/>
          </w:r>
          <w:hyperlink w:anchor="_Toc234861971" w:history="1">
            <w:r w:rsidR="006C4C0E" w:rsidRPr="006C4C0E">
              <w:rPr>
                <w:rStyle w:val="Hyperlink"/>
                <w:noProof/>
                <w:sz w:val="24"/>
                <w:szCs w:val="24"/>
              </w:rPr>
              <w:t>Introduction</w:t>
            </w:r>
            <w:r w:rsidR="006C4C0E" w:rsidRPr="006C4C0E">
              <w:rPr>
                <w:noProof/>
                <w:webHidden/>
                <w:sz w:val="24"/>
                <w:szCs w:val="24"/>
              </w:rPr>
              <w:tab/>
            </w:r>
            <w:r w:rsidR="006C4C0E" w:rsidRPr="006C4C0E">
              <w:rPr>
                <w:noProof/>
                <w:webHidden/>
                <w:sz w:val="24"/>
                <w:szCs w:val="24"/>
              </w:rPr>
              <w:fldChar w:fldCharType="begin"/>
            </w:r>
            <w:r w:rsidR="006C4C0E" w:rsidRPr="006C4C0E">
              <w:rPr>
                <w:noProof/>
                <w:webHidden/>
                <w:sz w:val="24"/>
                <w:szCs w:val="24"/>
              </w:rPr>
              <w:instrText xml:space="preserve"> PAGEREF _Toc234861971 \h </w:instrText>
            </w:r>
            <w:r w:rsidR="006C4C0E" w:rsidRPr="006C4C0E">
              <w:rPr>
                <w:noProof/>
                <w:webHidden/>
                <w:sz w:val="24"/>
                <w:szCs w:val="24"/>
              </w:rPr>
            </w:r>
            <w:r w:rsidR="006C4C0E" w:rsidRPr="006C4C0E">
              <w:rPr>
                <w:noProof/>
                <w:webHidden/>
                <w:sz w:val="24"/>
                <w:szCs w:val="24"/>
              </w:rPr>
              <w:fldChar w:fldCharType="separate"/>
            </w:r>
            <w:r w:rsidR="006C4C0E" w:rsidRPr="006C4C0E">
              <w:rPr>
                <w:noProof/>
                <w:webHidden/>
                <w:sz w:val="24"/>
                <w:szCs w:val="24"/>
              </w:rPr>
              <w:t>3</w:t>
            </w:r>
            <w:r w:rsidR="006C4C0E" w:rsidRPr="006C4C0E">
              <w:rPr>
                <w:noProof/>
                <w:webHidden/>
                <w:sz w:val="24"/>
                <w:szCs w:val="24"/>
              </w:rPr>
              <w:fldChar w:fldCharType="end"/>
            </w:r>
          </w:hyperlink>
        </w:p>
        <w:p w14:paraId="0DCF0C24"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2" w:history="1">
            <w:r w:rsidRPr="006C4C0E">
              <w:rPr>
                <w:rStyle w:val="Hyperlink"/>
                <w:noProof/>
                <w:sz w:val="24"/>
                <w:szCs w:val="24"/>
              </w:rPr>
              <w:t>Task A: Socialisation, Identity &amp; Business Activism</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_Toc234861972 \h </w:instrText>
            </w:r>
            <w:r w:rsidRPr="006C4C0E">
              <w:rPr>
                <w:noProof/>
                <w:webHidden/>
                <w:sz w:val="24"/>
                <w:szCs w:val="24"/>
              </w:rPr>
            </w:r>
            <w:r w:rsidRPr="006C4C0E">
              <w:rPr>
                <w:noProof/>
                <w:webHidden/>
                <w:sz w:val="24"/>
                <w:szCs w:val="24"/>
              </w:rPr>
              <w:fldChar w:fldCharType="separate"/>
            </w:r>
            <w:r w:rsidRPr="006C4C0E">
              <w:rPr>
                <w:noProof/>
                <w:webHidden/>
                <w:sz w:val="24"/>
                <w:szCs w:val="24"/>
              </w:rPr>
              <w:t>3</w:t>
            </w:r>
            <w:r w:rsidRPr="006C4C0E">
              <w:rPr>
                <w:noProof/>
                <w:webHidden/>
                <w:sz w:val="24"/>
                <w:szCs w:val="24"/>
              </w:rPr>
              <w:fldChar w:fldCharType="end"/>
            </w:r>
          </w:hyperlink>
        </w:p>
        <w:p w14:paraId="5B116EB5"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3" w:history="1">
            <w:r w:rsidRPr="006C4C0E">
              <w:rPr>
                <w:rStyle w:val="Hyperlink"/>
                <w:noProof/>
                <w:sz w:val="24"/>
                <w:szCs w:val="24"/>
              </w:rPr>
              <w:t>2.1 Traditional Onboarding versus Strategic Organisational Socialisation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_Toc234861973 \h </w:instrText>
            </w:r>
            <w:r w:rsidRPr="006C4C0E">
              <w:rPr>
                <w:noProof/>
                <w:webHidden/>
                <w:sz w:val="24"/>
                <w:szCs w:val="24"/>
              </w:rPr>
            </w:r>
            <w:r w:rsidRPr="006C4C0E">
              <w:rPr>
                <w:noProof/>
                <w:webHidden/>
                <w:sz w:val="24"/>
                <w:szCs w:val="24"/>
              </w:rPr>
              <w:fldChar w:fldCharType="separate"/>
            </w:r>
            <w:r w:rsidRPr="006C4C0E">
              <w:rPr>
                <w:noProof/>
                <w:webHidden/>
                <w:sz w:val="24"/>
                <w:szCs w:val="24"/>
              </w:rPr>
              <w:t>3</w:t>
            </w:r>
            <w:r w:rsidRPr="006C4C0E">
              <w:rPr>
                <w:noProof/>
                <w:webHidden/>
                <w:sz w:val="24"/>
                <w:szCs w:val="24"/>
              </w:rPr>
              <w:fldChar w:fldCharType="end"/>
            </w:r>
          </w:hyperlink>
        </w:p>
        <w:p w14:paraId="46D10758"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4" w:history="1">
            <w:r w:rsidRPr="006C4C0E">
              <w:rPr>
                <w:rStyle w:val="Hyperlink"/>
                <w:noProof/>
                <w:sz w:val="24"/>
                <w:szCs w:val="24"/>
              </w:rPr>
              <w:t>2.2 Design a Strategic Socialisation Framework</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_Toc234861974 \h </w:instrText>
            </w:r>
            <w:r w:rsidRPr="006C4C0E">
              <w:rPr>
                <w:noProof/>
                <w:webHidden/>
                <w:sz w:val="24"/>
                <w:szCs w:val="24"/>
              </w:rPr>
            </w:r>
            <w:r w:rsidRPr="006C4C0E">
              <w:rPr>
                <w:noProof/>
                <w:webHidden/>
                <w:sz w:val="24"/>
                <w:szCs w:val="24"/>
              </w:rPr>
              <w:fldChar w:fldCharType="separate"/>
            </w:r>
            <w:r w:rsidRPr="006C4C0E">
              <w:rPr>
                <w:noProof/>
                <w:webHidden/>
                <w:sz w:val="24"/>
                <w:szCs w:val="24"/>
              </w:rPr>
              <w:t>6</w:t>
            </w:r>
            <w:r w:rsidRPr="006C4C0E">
              <w:rPr>
                <w:noProof/>
                <w:webHidden/>
                <w:sz w:val="24"/>
                <w:szCs w:val="24"/>
              </w:rPr>
              <w:fldChar w:fldCharType="end"/>
            </w:r>
          </w:hyperlink>
        </w:p>
        <w:p w14:paraId="5C13A2E5"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5" w:history="1">
            <w:r w:rsidRPr="006C4C0E">
              <w:rPr>
                <w:rStyle w:val="Hyperlink"/>
                <w:noProof/>
                <w:sz w:val="24"/>
                <w:szCs w:val="24"/>
              </w:rPr>
              <w:t>2.3 Developing Organisational Citizens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_Toc234861975 \h </w:instrText>
            </w:r>
            <w:r w:rsidRPr="006C4C0E">
              <w:rPr>
                <w:noProof/>
                <w:webHidden/>
                <w:sz w:val="24"/>
                <w:szCs w:val="24"/>
              </w:rPr>
            </w:r>
            <w:r w:rsidRPr="006C4C0E">
              <w:rPr>
                <w:noProof/>
                <w:webHidden/>
                <w:sz w:val="24"/>
                <w:szCs w:val="24"/>
              </w:rPr>
              <w:fldChar w:fldCharType="separate"/>
            </w:r>
            <w:r w:rsidRPr="006C4C0E">
              <w:rPr>
                <w:noProof/>
                <w:webHidden/>
                <w:sz w:val="24"/>
                <w:szCs w:val="24"/>
              </w:rPr>
              <w:t>7</w:t>
            </w:r>
            <w:r w:rsidRPr="006C4C0E">
              <w:rPr>
                <w:noProof/>
                <w:webHidden/>
                <w:sz w:val="24"/>
                <w:szCs w:val="24"/>
              </w:rPr>
              <w:fldChar w:fldCharType="end"/>
            </w:r>
          </w:hyperlink>
        </w:p>
        <w:p w14:paraId="785D028E"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6" w:history="1">
            <w:r w:rsidRPr="006C4C0E">
              <w:rPr>
                <w:rStyle w:val="Hyperlink"/>
                <w:noProof/>
                <w:sz w:val="24"/>
                <w:szCs w:val="24"/>
              </w:rPr>
              <w:t>Task B: Innovative Job Design Strategy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_Toc234861976 \h </w:instrText>
            </w:r>
            <w:r w:rsidRPr="006C4C0E">
              <w:rPr>
                <w:noProof/>
                <w:webHidden/>
                <w:sz w:val="24"/>
                <w:szCs w:val="24"/>
              </w:rPr>
            </w:r>
            <w:r w:rsidRPr="006C4C0E">
              <w:rPr>
                <w:noProof/>
                <w:webHidden/>
                <w:sz w:val="24"/>
                <w:szCs w:val="24"/>
              </w:rPr>
              <w:fldChar w:fldCharType="separate"/>
            </w:r>
            <w:r w:rsidRPr="006C4C0E">
              <w:rPr>
                <w:noProof/>
                <w:webHidden/>
                <w:sz w:val="24"/>
                <w:szCs w:val="24"/>
              </w:rPr>
              <w:t>8</w:t>
            </w:r>
            <w:r w:rsidRPr="006C4C0E">
              <w:rPr>
                <w:noProof/>
                <w:webHidden/>
                <w:sz w:val="24"/>
                <w:szCs w:val="24"/>
              </w:rPr>
              <w:fldChar w:fldCharType="end"/>
            </w:r>
          </w:hyperlink>
        </w:p>
        <w:p w14:paraId="2337F9D9"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7" w:history="1">
            <w:r w:rsidRPr="006C4C0E">
              <w:rPr>
                <w:rStyle w:val="Hyperlink"/>
                <w:noProof/>
                <w:sz w:val="24"/>
                <w:szCs w:val="24"/>
              </w:rPr>
              <w:t>3.1 Why Current Job Design No Longer Works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_Toc234861977 \h </w:instrText>
            </w:r>
            <w:r w:rsidRPr="006C4C0E">
              <w:rPr>
                <w:noProof/>
                <w:webHidden/>
                <w:sz w:val="24"/>
                <w:szCs w:val="24"/>
              </w:rPr>
            </w:r>
            <w:r w:rsidRPr="006C4C0E">
              <w:rPr>
                <w:noProof/>
                <w:webHidden/>
                <w:sz w:val="24"/>
                <w:szCs w:val="24"/>
              </w:rPr>
              <w:fldChar w:fldCharType="separate"/>
            </w:r>
            <w:r w:rsidRPr="006C4C0E">
              <w:rPr>
                <w:noProof/>
                <w:webHidden/>
                <w:sz w:val="24"/>
                <w:szCs w:val="24"/>
              </w:rPr>
              <w:t>8</w:t>
            </w:r>
            <w:r w:rsidRPr="006C4C0E">
              <w:rPr>
                <w:noProof/>
                <w:webHidden/>
                <w:sz w:val="24"/>
                <w:szCs w:val="24"/>
              </w:rPr>
              <w:fldChar w:fldCharType="end"/>
            </w:r>
          </w:hyperlink>
        </w:p>
        <w:p w14:paraId="3578C1D7"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8" w:history="1">
            <w:r w:rsidRPr="006C4C0E">
              <w:rPr>
                <w:rStyle w:val="Hyperlink"/>
                <w:noProof/>
                <w:sz w:val="24"/>
                <w:szCs w:val="24"/>
              </w:rPr>
              <w:t>3.2 Integrated Job Design Model</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_Toc234861978 \h </w:instrText>
            </w:r>
            <w:r w:rsidRPr="006C4C0E">
              <w:rPr>
                <w:noProof/>
                <w:webHidden/>
                <w:sz w:val="24"/>
                <w:szCs w:val="24"/>
              </w:rPr>
            </w:r>
            <w:r w:rsidRPr="006C4C0E">
              <w:rPr>
                <w:noProof/>
                <w:webHidden/>
                <w:sz w:val="24"/>
                <w:szCs w:val="24"/>
              </w:rPr>
              <w:fldChar w:fldCharType="separate"/>
            </w:r>
            <w:r w:rsidRPr="006C4C0E">
              <w:rPr>
                <w:noProof/>
                <w:webHidden/>
                <w:sz w:val="24"/>
                <w:szCs w:val="24"/>
              </w:rPr>
              <w:t>10</w:t>
            </w:r>
            <w:r w:rsidRPr="006C4C0E">
              <w:rPr>
                <w:noProof/>
                <w:webHidden/>
                <w:sz w:val="24"/>
                <w:szCs w:val="24"/>
              </w:rPr>
              <w:fldChar w:fldCharType="end"/>
            </w:r>
          </w:hyperlink>
        </w:p>
        <w:p w14:paraId="74B11DEF"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79" w:history="1">
            <w:r w:rsidRPr="006C4C0E">
              <w:rPr>
                <w:rStyle w:val="Hyperlink"/>
                <w:noProof/>
                <w:sz w:val="24"/>
                <w:szCs w:val="24"/>
              </w:rPr>
              <w:t>3.2.1 Job Characteristics Model</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_Toc234861979 \h </w:instrText>
            </w:r>
            <w:r w:rsidRPr="006C4C0E">
              <w:rPr>
                <w:noProof/>
                <w:webHidden/>
                <w:sz w:val="24"/>
                <w:szCs w:val="24"/>
              </w:rPr>
            </w:r>
            <w:r w:rsidRPr="006C4C0E">
              <w:rPr>
                <w:noProof/>
                <w:webHidden/>
                <w:sz w:val="24"/>
                <w:szCs w:val="24"/>
              </w:rPr>
              <w:fldChar w:fldCharType="separate"/>
            </w:r>
            <w:r w:rsidRPr="006C4C0E">
              <w:rPr>
                <w:noProof/>
                <w:webHidden/>
                <w:sz w:val="24"/>
                <w:szCs w:val="24"/>
              </w:rPr>
              <w:t>10</w:t>
            </w:r>
            <w:r w:rsidRPr="006C4C0E">
              <w:rPr>
                <w:noProof/>
                <w:webHidden/>
                <w:sz w:val="24"/>
                <w:szCs w:val="24"/>
              </w:rPr>
              <w:fldChar w:fldCharType="end"/>
            </w:r>
          </w:hyperlink>
        </w:p>
        <w:p w14:paraId="49D648F1"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0" w:history="1">
            <w:r w:rsidRPr="006C4C0E">
              <w:rPr>
                <w:rStyle w:val="Hyperlink"/>
                <w:noProof/>
                <w:sz w:val="24"/>
                <w:szCs w:val="24"/>
              </w:rPr>
              <w:t>3.2.2 Job crafting theory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_Toc234861980 \h </w:instrText>
            </w:r>
            <w:r w:rsidRPr="006C4C0E">
              <w:rPr>
                <w:noProof/>
                <w:webHidden/>
                <w:sz w:val="24"/>
                <w:szCs w:val="24"/>
              </w:rPr>
            </w:r>
            <w:r w:rsidRPr="006C4C0E">
              <w:rPr>
                <w:noProof/>
                <w:webHidden/>
                <w:sz w:val="24"/>
                <w:szCs w:val="24"/>
              </w:rPr>
              <w:fldChar w:fldCharType="separate"/>
            </w:r>
            <w:r w:rsidRPr="006C4C0E">
              <w:rPr>
                <w:noProof/>
                <w:webHidden/>
                <w:sz w:val="24"/>
                <w:szCs w:val="24"/>
              </w:rPr>
              <w:t>11</w:t>
            </w:r>
            <w:r w:rsidRPr="006C4C0E">
              <w:rPr>
                <w:noProof/>
                <w:webHidden/>
                <w:sz w:val="24"/>
                <w:szCs w:val="24"/>
              </w:rPr>
              <w:fldChar w:fldCharType="end"/>
            </w:r>
          </w:hyperlink>
        </w:p>
        <w:p w14:paraId="3CB92DC7" w14:textId="77777777" w:rsidR="006C4C0E" w:rsidRPr="006C4C0E" w:rsidRDefault="006C4C0E" w:rsidP="006C4C0E">
          <w:pPr>
            <w:pStyle w:val="TOC3"/>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1" w:history="1">
            <w:r w:rsidRPr="006C4C0E">
              <w:rPr>
                <w:rStyle w:val="Hyperlink"/>
                <w:noProof/>
                <w:sz w:val="24"/>
                <w:szCs w:val="24"/>
              </w:rPr>
              <w:t>3.2.3 Skills-based architecture</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_Toc234861981 \h </w:instrText>
            </w:r>
            <w:r w:rsidRPr="006C4C0E">
              <w:rPr>
                <w:noProof/>
                <w:webHidden/>
                <w:sz w:val="24"/>
                <w:szCs w:val="24"/>
              </w:rPr>
            </w:r>
            <w:r w:rsidRPr="006C4C0E">
              <w:rPr>
                <w:noProof/>
                <w:webHidden/>
                <w:sz w:val="24"/>
                <w:szCs w:val="24"/>
              </w:rPr>
              <w:fldChar w:fldCharType="separate"/>
            </w:r>
            <w:r w:rsidRPr="006C4C0E">
              <w:rPr>
                <w:noProof/>
                <w:webHidden/>
                <w:sz w:val="24"/>
                <w:szCs w:val="24"/>
              </w:rPr>
              <w:t>11</w:t>
            </w:r>
            <w:r w:rsidRPr="006C4C0E">
              <w:rPr>
                <w:noProof/>
                <w:webHidden/>
                <w:sz w:val="24"/>
                <w:szCs w:val="24"/>
              </w:rPr>
              <w:fldChar w:fldCharType="end"/>
            </w:r>
          </w:hyperlink>
        </w:p>
        <w:p w14:paraId="271DF82C"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2" w:history="1">
            <w:r w:rsidRPr="006C4C0E">
              <w:rPr>
                <w:rStyle w:val="Hyperlink"/>
                <w:noProof/>
                <w:sz w:val="24"/>
                <w:szCs w:val="24"/>
              </w:rPr>
              <w:t>3.3 Design Drives Motivation and Innovation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_Toc234861982 \h </w:instrText>
            </w:r>
            <w:r w:rsidRPr="006C4C0E">
              <w:rPr>
                <w:noProof/>
                <w:webHidden/>
                <w:sz w:val="24"/>
                <w:szCs w:val="24"/>
              </w:rPr>
            </w:r>
            <w:r w:rsidRPr="006C4C0E">
              <w:rPr>
                <w:noProof/>
                <w:webHidden/>
                <w:sz w:val="24"/>
                <w:szCs w:val="24"/>
              </w:rPr>
              <w:fldChar w:fldCharType="separate"/>
            </w:r>
            <w:r w:rsidRPr="006C4C0E">
              <w:rPr>
                <w:noProof/>
                <w:webHidden/>
                <w:sz w:val="24"/>
                <w:szCs w:val="24"/>
              </w:rPr>
              <w:t>12</w:t>
            </w:r>
            <w:r w:rsidRPr="006C4C0E">
              <w:rPr>
                <w:noProof/>
                <w:webHidden/>
                <w:sz w:val="24"/>
                <w:szCs w:val="24"/>
              </w:rPr>
              <w:fldChar w:fldCharType="end"/>
            </w:r>
          </w:hyperlink>
        </w:p>
        <w:p w14:paraId="43C67166"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3" w:history="1">
            <w:r w:rsidRPr="006C4C0E">
              <w:rPr>
                <w:rStyle w:val="Hyperlink"/>
                <w:noProof/>
                <w:sz w:val="24"/>
                <w:szCs w:val="24"/>
              </w:rPr>
              <w:t>Task C: Reflective report</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_Toc234861983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2EF91F7C"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4" w:history="1">
            <w:r w:rsidRPr="006C4C0E">
              <w:rPr>
                <w:rStyle w:val="Hyperlink"/>
                <w:noProof/>
                <w:sz w:val="24"/>
                <w:szCs w:val="24"/>
              </w:rPr>
              <w:t>4.1 Using AI without Losing Human Judgement</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_Toc234861984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2639B230"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5" w:history="1">
            <w:r w:rsidRPr="006C4C0E">
              <w:rPr>
                <w:rStyle w:val="Hyperlink"/>
                <w:noProof/>
                <w:sz w:val="24"/>
                <w:szCs w:val="24"/>
              </w:rPr>
              <w:t>4.2 Personal Capability Development Plan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_Toc234861985 \h </w:instrText>
            </w:r>
            <w:r w:rsidRPr="006C4C0E">
              <w:rPr>
                <w:noProof/>
                <w:webHidden/>
                <w:sz w:val="24"/>
                <w:szCs w:val="24"/>
              </w:rPr>
            </w:r>
            <w:r w:rsidRPr="006C4C0E">
              <w:rPr>
                <w:noProof/>
                <w:webHidden/>
                <w:sz w:val="24"/>
                <w:szCs w:val="24"/>
              </w:rPr>
              <w:fldChar w:fldCharType="separate"/>
            </w:r>
            <w:r w:rsidRPr="006C4C0E">
              <w:rPr>
                <w:noProof/>
                <w:webHidden/>
                <w:sz w:val="24"/>
                <w:szCs w:val="24"/>
              </w:rPr>
              <w:t>13</w:t>
            </w:r>
            <w:r w:rsidRPr="006C4C0E">
              <w:rPr>
                <w:noProof/>
                <w:webHidden/>
                <w:sz w:val="24"/>
                <w:szCs w:val="24"/>
              </w:rPr>
              <w:fldChar w:fldCharType="end"/>
            </w:r>
          </w:hyperlink>
        </w:p>
        <w:p w14:paraId="0E75A29F"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6" w:history="1">
            <w:r w:rsidRPr="006C4C0E">
              <w:rPr>
                <w:rStyle w:val="Hyperlink"/>
                <w:noProof/>
                <w:sz w:val="24"/>
                <w:szCs w:val="24"/>
              </w:rPr>
              <w:t>Conclusion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_Toc234861986 \h </w:instrText>
            </w:r>
            <w:r w:rsidRPr="006C4C0E">
              <w:rPr>
                <w:noProof/>
                <w:webHidden/>
                <w:sz w:val="24"/>
                <w:szCs w:val="24"/>
              </w:rPr>
            </w:r>
            <w:r w:rsidRPr="006C4C0E">
              <w:rPr>
                <w:noProof/>
                <w:webHidden/>
                <w:sz w:val="24"/>
                <w:szCs w:val="24"/>
              </w:rPr>
              <w:fldChar w:fldCharType="separate"/>
            </w:r>
            <w:r w:rsidRPr="006C4C0E">
              <w:rPr>
                <w:noProof/>
                <w:webHidden/>
                <w:sz w:val="24"/>
                <w:szCs w:val="24"/>
              </w:rPr>
              <w:t>14</w:t>
            </w:r>
            <w:r w:rsidRPr="006C4C0E">
              <w:rPr>
                <w:noProof/>
                <w:webHidden/>
                <w:sz w:val="24"/>
                <w:szCs w:val="24"/>
              </w:rPr>
              <w:fldChar w:fldCharType="end"/>
            </w:r>
          </w:hyperlink>
        </w:p>
        <w:p w14:paraId="51EC76AB"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7" w:history="1">
            <w:r w:rsidRPr="006C4C0E">
              <w:rPr>
                <w:rStyle w:val="Hyperlink"/>
                <w:noProof/>
                <w:sz w:val="24"/>
                <w:szCs w:val="24"/>
              </w:rPr>
              <w:t>References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_Toc234861987 \h </w:instrText>
            </w:r>
            <w:r w:rsidRPr="006C4C0E">
              <w:rPr>
                <w:noProof/>
                <w:webHidden/>
                <w:sz w:val="24"/>
                <w:szCs w:val="24"/>
              </w:rPr>
            </w:r>
            <w:r w:rsidRPr="006C4C0E">
              <w:rPr>
                <w:noProof/>
                <w:webHidden/>
                <w:sz w:val="24"/>
                <w:szCs w:val="24"/>
              </w:rPr>
              <w:fldChar w:fldCharType="separate"/>
            </w:r>
            <w:r w:rsidRPr="006C4C0E">
              <w:rPr>
                <w:noProof/>
                <w:webHidden/>
                <w:sz w:val="24"/>
                <w:szCs w:val="24"/>
              </w:rPr>
              <w:t>15</w:t>
            </w:r>
            <w:r w:rsidRPr="006C4C0E">
              <w:rPr>
                <w:noProof/>
                <w:webHidden/>
                <w:sz w:val="24"/>
                <w:szCs w:val="24"/>
              </w:rPr>
              <w:fldChar w:fldCharType="end"/>
            </w:r>
          </w:hyperlink>
        </w:p>
        <w:p w14:paraId="77914DD7" w14:textId="77777777" w:rsidR="006C4C0E" w:rsidRPr="006C4C0E" w:rsidRDefault="006C4C0E" w:rsidP="006C4C0E">
          <w:pPr>
            <w:pStyle w:val="TOC1"/>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8" w:history="1">
            <w:r w:rsidRPr="006C4C0E">
              <w:rPr>
                <w:rStyle w:val="Hyperlink"/>
                <w:noProof/>
                <w:sz w:val="24"/>
                <w:szCs w:val="24"/>
              </w:rPr>
              <w:t>Appendices</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_Toc234861988 \h </w:instrText>
            </w:r>
            <w:r w:rsidRPr="006C4C0E">
              <w:rPr>
                <w:noProof/>
                <w:webHidden/>
                <w:sz w:val="24"/>
                <w:szCs w:val="24"/>
              </w:rPr>
            </w:r>
            <w:r w:rsidRPr="006C4C0E">
              <w:rPr>
                <w:noProof/>
                <w:webHidden/>
                <w:sz w:val="24"/>
                <w:szCs w:val="24"/>
              </w:rPr>
              <w:fldChar w:fldCharType="separate"/>
            </w:r>
            <w:r w:rsidRPr="006C4C0E">
              <w:rPr>
                <w:noProof/>
                <w:webHidden/>
                <w:sz w:val="24"/>
                <w:szCs w:val="24"/>
              </w:rPr>
              <w:t>19</w:t>
            </w:r>
            <w:r w:rsidRPr="006C4C0E">
              <w:rPr>
                <w:noProof/>
                <w:webHidden/>
                <w:sz w:val="24"/>
                <w:szCs w:val="24"/>
              </w:rPr>
              <w:fldChar w:fldCharType="end"/>
            </w:r>
          </w:hyperlink>
        </w:p>
        <w:p w14:paraId="1C643B80"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89" w:history="1">
            <w:r w:rsidRPr="006C4C0E">
              <w:rPr>
                <w:rStyle w:val="Hyperlink"/>
                <w:noProof/>
                <w:sz w:val="24"/>
                <w:szCs w:val="24"/>
              </w:rPr>
              <w:t>Appendix 1: Proposed Socialisation Framework for Helios Urban Mobility</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_Toc234861989 \h </w:instrText>
            </w:r>
            <w:r w:rsidRPr="006C4C0E">
              <w:rPr>
                <w:noProof/>
                <w:webHidden/>
                <w:sz w:val="24"/>
                <w:szCs w:val="24"/>
              </w:rPr>
            </w:r>
            <w:r w:rsidRPr="006C4C0E">
              <w:rPr>
                <w:noProof/>
                <w:webHidden/>
                <w:sz w:val="24"/>
                <w:szCs w:val="24"/>
              </w:rPr>
              <w:fldChar w:fldCharType="separate"/>
            </w:r>
            <w:r w:rsidRPr="006C4C0E">
              <w:rPr>
                <w:noProof/>
                <w:webHidden/>
                <w:sz w:val="24"/>
                <w:szCs w:val="24"/>
              </w:rPr>
              <w:t>19</w:t>
            </w:r>
            <w:r w:rsidRPr="006C4C0E">
              <w:rPr>
                <w:noProof/>
                <w:webHidden/>
                <w:sz w:val="24"/>
                <w:szCs w:val="24"/>
              </w:rPr>
              <w:fldChar w:fldCharType="end"/>
            </w:r>
          </w:hyperlink>
        </w:p>
        <w:p w14:paraId="4C4B63DB" w14:textId="77777777" w:rsidR="006C4C0E" w:rsidRPr="006C4C0E" w:rsidRDefault="006C4C0E" w:rsidP="006C4C0E">
          <w:pPr>
            <w:pStyle w:val="TOC2"/>
            <w:tabs>
              <w:tab w:val="right" w:leader="dot" w:pos="9019"/>
            </w:tabs>
            <w:spacing w:line="240" w:lineRule="auto"/>
            <w:jc w:val="both"/>
            <w:rPr>
              <w:rFonts w:asciiTheme="minorHAnsi" w:eastAsiaTheme="minorEastAsia" w:hAnsiTheme="minorHAnsi" w:cstheme="minorBidi"/>
              <w:noProof/>
              <w:sz w:val="24"/>
              <w:szCs w:val="24"/>
              <w:lang w:val="en-US"/>
            </w:rPr>
          </w:pPr>
          <w:hyperlink w:anchor="_Toc234861990" w:history="1">
            <w:r w:rsidRPr="006C4C0E">
              <w:rPr>
                <w:rStyle w:val="Hyperlink"/>
                <w:noProof/>
                <w:sz w:val="24"/>
                <w:szCs w:val="24"/>
              </w:rPr>
              <w:t>Appendix 2: Personal Capability Development Plan</w:t>
            </w:r>
            <w:r w:rsidRPr="006C4C0E">
              <w:rPr>
                <w:noProof/>
                <w:webHidden/>
                <w:sz w:val="24"/>
                <w:szCs w:val="24"/>
              </w:rPr>
              <w:tab/>
            </w:r>
            <w:r w:rsidRPr="006C4C0E">
              <w:rPr>
                <w:noProof/>
                <w:webHidden/>
                <w:sz w:val="24"/>
                <w:szCs w:val="24"/>
              </w:rPr>
              <w:fldChar w:fldCharType="begin"/>
            </w:r>
            <w:r w:rsidRPr="006C4C0E">
              <w:rPr>
                <w:noProof/>
                <w:webHidden/>
                <w:sz w:val="24"/>
                <w:szCs w:val="24"/>
              </w:rPr>
              <w:instrText xml:space="preserve"> PAGEREF _Toc234861990 \h </w:instrText>
            </w:r>
            <w:r w:rsidRPr="006C4C0E">
              <w:rPr>
                <w:noProof/>
                <w:webHidden/>
                <w:sz w:val="24"/>
                <w:szCs w:val="24"/>
              </w:rPr>
            </w:r>
            <w:r w:rsidRPr="006C4C0E">
              <w:rPr>
                <w:noProof/>
                <w:webHidden/>
                <w:sz w:val="24"/>
                <w:szCs w:val="24"/>
              </w:rPr>
              <w:fldChar w:fldCharType="separate"/>
            </w:r>
            <w:r w:rsidRPr="006C4C0E">
              <w:rPr>
                <w:noProof/>
                <w:webHidden/>
                <w:sz w:val="24"/>
                <w:szCs w:val="24"/>
              </w:rPr>
              <w:t>20</w:t>
            </w:r>
            <w:r w:rsidRPr="006C4C0E">
              <w:rPr>
                <w:noProof/>
                <w:webHidden/>
                <w:sz w:val="24"/>
                <w:szCs w:val="24"/>
              </w:rPr>
              <w:fldChar w:fldCharType="end"/>
            </w:r>
          </w:hyperlink>
        </w:p>
        <w:p w14:paraId="0342B7E8" w14:textId="77777777" w:rsidR="00667472" w:rsidRPr="006C4C0E" w:rsidRDefault="00667472" w:rsidP="006C4C0E">
          <w:pPr>
            <w:spacing w:line="240" w:lineRule="auto"/>
            <w:jc w:val="both"/>
            <w:rPr>
              <w:b/>
              <w:bCs/>
              <w:noProof/>
              <w:sz w:val="24"/>
              <w:szCs w:val="24"/>
            </w:rPr>
          </w:pPr>
          <w:r w:rsidRPr="006C4C0E">
            <w:rPr>
              <w:b/>
              <w:bCs/>
              <w:noProof/>
              <w:sz w:val="24"/>
              <w:szCs w:val="24"/>
            </w:rPr>
            <w:fldChar w:fldCharType="end"/>
          </w:r>
        </w:p>
      </w:sdtContent>
    </w:sdt>
    <w:p w14:paraId="3195EF9C" w14:textId="77777777" w:rsidR="0054289B" w:rsidRPr="006C4C0E" w:rsidRDefault="00667472" w:rsidP="00B84D90">
      <w:pPr>
        <w:spacing w:line="360" w:lineRule="auto"/>
        <w:jc w:val="both"/>
        <w:rPr>
          <w:b/>
          <w:sz w:val="24"/>
          <w:szCs w:val="24"/>
        </w:rPr>
      </w:pPr>
      <w:r w:rsidRPr="006C4C0E">
        <w:rPr>
          <w:b/>
          <w:sz w:val="24"/>
          <w:szCs w:val="24"/>
        </w:rPr>
        <w:br w:type="page"/>
      </w:r>
    </w:p>
    <w:p w14:paraId="60161395" w14:textId="77777777" w:rsidR="0054289B" w:rsidRPr="006C4C0E" w:rsidRDefault="00475F10" w:rsidP="00667472">
      <w:pPr>
        <w:pStyle w:val="Heading1"/>
      </w:pPr>
      <w:bookmarkStart w:id="0" w:name="_Toc234861971"/>
      <w:r w:rsidRPr="006C4C0E">
        <w:lastRenderedPageBreak/>
        <w:t>Introduction</w:t>
      </w:r>
      <w:bookmarkEnd w:id="0"/>
      <w:r w:rsidRPr="006C4C0E">
        <w:t xml:space="preserve"> </w:t>
      </w:r>
    </w:p>
    <w:p w14:paraId="49FA18CA"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Helios Urban Mobility is a well-known smart transport start-up expanding in Europe, where almost 450 employees serve the company across London, Singapore and Berlin [refer to case study]. This firm raises AI-empowered smart infrastructure analytics and electric mobility systems for city governments that ruin in an innovation-driven and highly competitive environment. As a result, this continuous global growth has raised their market position; it also brings human capital issues that raise competitiveness in long-term organisational performance. </w:t>
      </w:r>
    </w:p>
    <w:p w14:paraId="1A95D92C"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These firms face significant issues such as an “Eight-month onboarding period”, and these reflect a weak organisational socialisation; “Employee engagement at only 54%” outlines a declining staff engagement within the company and “High attrition among high-potential graduates”. These issues weaken organisational commitment, reduce productivity, and raise the challenge of losing talent required to aid future growth and innovation. </w:t>
      </w:r>
    </w:p>
    <w:p w14:paraId="01B93405"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These studies create a strategic human capital architecture to improve organisational commitment, build long-term organisational capability, stimulate innovation and raise employees' engagement. Therefore, it begins with the strategic organisational socialisation framework, and then, to support the agility and motivation, structured an innovative job architecture, and at the end it demonstrates a reflective discussion based on HR decision-making where AI is used and will develop a personal capability development plan.</w:t>
      </w:r>
    </w:p>
    <w:p w14:paraId="390D5EC9" w14:textId="77777777" w:rsidR="0054289B" w:rsidRPr="006C4C0E" w:rsidRDefault="006C4C0E" w:rsidP="0081680C">
      <w:pPr>
        <w:pStyle w:val="Heading1"/>
      </w:pPr>
      <w:bookmarkStart w:id="1" w:name="_Toc234861972"/>
      <w:r w:rsidRPr="006C4C0E">
        <w:t xml:space="preserve">Task A: </w:t>
      </w:r>
      <w:r w:rsidR="00475F10" w:rsidRPr="006C4C0E">
        <w:t>Socialisation, Identity &amp; Business Activism</w:t>
      </w:r>
      <w:bookmarkEnd w:id="1"/>
      <w:r w:rsidR="00475F10" w:rsidRPr="006C4C0E">
        <w:t xml:space="preserve">  </w:t>
      </w:r>
    </w:p>
    <w:p w14:paraId="50FA1CFD" w14:textId="77777777" w:rsidR="0054289B" w:rsidRPr="006C4C0E" w:rsidRDefault="00475F10" w:rsidP="0081680C">
      <w:pPr>
        <w:pStyle w:val="Heading2"/>
        <w:rPr>
          <w:b w:val="0"/>
        </w:rPr>
      </w:pPr>
      <w:bookmarkStart w:id="2" w:name="_Toc234861973"/>
      <w:r w:rsidRPr="006C4C0E">
        <w:t>2.1 Traditional Onboarding versus Strategic Organisational Socialisation</w:t>
      </w:r>
      <w:bookmarkEnd w:id="2"/>
      <w:r w:rsidRPr="006C4C0E">
        <w:t xml:space="preserve">  </w:t>
      </w:r>
    </w:p>
    <w:p w14:paraId="2636E9D5"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Traditional onboarding has historically evolved into an administrative process that prioritises delivering fundamental information, conveying organisational procedures, and filing documentation required for employees to begin work (Bandini, 2024, p.29). Within the context of HUM, this can help reduce uncertainty and provide initial clarity to a staff member’s roles; however, it sometimes appears to render staff as blank slates and simply objects in an organisation’s repository of knowledge. In the case of Helios Urban Mobility company, a globally operated and technology-focused company, a Traditional onboarding model is entirely unsuitable, as the organisation </w:t>
      </w:r>
      <w:r w:rsidRPr="006C4C0E">
        <w:rPr>
          <w:rFonts w:eastAsia="Times New Roman"/>
          <w:sz w:val="24"/>
          <w:szCs w:val="24"/>
        </w:rPr>
        <w:lastRenderedPageBreak/>
        <w:t>require an ethical workforce that possesses cultural awareness and operational knowledge and is highly aligned with its overarching strategic goals.</w:t>
      </w:r>
    </w:p>
    <w:p w14:paraId="23B554A4" w14:textId="77777777" w:rsidR="0081680C" w:rsidRPr="006C4C0E" w:rsidRDefault="0081680C">
      <w:pPr>
        <w:spacing w:after="200" w:line="360" w:lineRule="auto"/>
        <w:jc w:val="both"/>
        <w:rPr>
          <w:rFonts w:eastAsia="Times New Roman"/>
          <w:sz w:val="24"/>
          <w:szCs w:val="24"/>
        </w:rPr>
      </w:pPr>
      <w:r w:rsidRPr="006C4C0E">
        <w:rPr>
          <w:rFonts w:eastAsia="Times New Roman"/>
          <w:noProof/>
          <w:sz w:val="24"/>
          <w:szCs w:val="24"/>
        </w:rPr>
        <w:drawing>
          <wp:inline distT="0" distB="0" distL="0" distR="0" wp14:anchorId="5DEEB670" wp14:editId="29D9C3FA">
            <wp:extent cx="5638800" cy="4419600"/>
            <wp:effectExtent l="0" t="0" r="762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E7CDD42"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Figure 1: Difference between traditional onboarding and strategic organisational socialisation</w:t>
      </w:r>
    </w:p>
    <w:p w14:paraId="17412A56"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Self-Developed)</w:t>
      </w:r>
    </w:p>
    <w:p w14:paraId="3A01D45F"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On the other hand, </w:t>
      </w:r>
      <w:r w:rsidRPr="006C4C0E">
        <w:rPr>
          <w:rFonts w:eastAsia="Times New Roman"/>
          <w:b/>
          <w:bCs/>
          <w:i/>
          <w:iCs/>
          <w:sz w:val="24"/>
          <w:szCs w:val="24"/>
        </w:rPr>
        <w:t>Strategic organisational socialisation</w:t>
      </w:r>
      <w:r w:rsidRPr="006C4C0E">
        <w:rPr>
          <w:rFonts w:eastAsia="Times New Roman"/>
          <w:sz w:val="24"/>
          <w:szCs w:val="24"/>
        </w:rPr>
        <w:t xml:space="preserve"> offers a larger approach through concentrating on in what way staff</w:t>
      </w:r>
      <w:r w:rsidR="0081680C" w:rsidRPr="006C4C0E">
        <w:rPr>
          <w:rFonts w:eastAsia="Times New Roman"/>
          <w:sz w:val="24"/>
          <w:szCs w:val="24"/>
        </w:rPr>
        <w:t xml:space="preserve"> </w:t>
      </w:r>
      <w:r w:rsidRPr="006C4C0E">
        <w:rPr>
          <w:rFonts w:eastAsia="Times New Roman"/>
          <w:sz w:val="24"/>
          <w:szCs w:val="24"/>
        </w:rPr>
        <w:t>raise their relationships, behaviours and attitudes that need to become efficient organisational members (Chowdhury et al., 2022, p.1). Therefore,</w:t>
      </w:r>
      <w:r w:rsidRPr="006C4C0E">
        <w:rPr>
          <w:rFonts w:eastAsia="Times New Roman"/>
          <w:b/>
          <w:bCs/>
          <w:i/>
          <w:iCs/>
          <w:sz w:val="24"/>
          <w:szCs w:val="24"/>
        </w:rPr>
        <w:t xml:space="preserve"> Van Maanen and Schein’s socialisation theory </w:t>
      </w:r>
      <w:r w:rsidRPr="006C4C0E">
        <w:rPr>
          <w:rFonts w:eastAsia="Times New Roman"/>
          <w:sz w:val="24"/>
          <w:szCs w:val="24"/>
        </w:rPr>
        <w:t xml:space="preserve">outline that firms like HUM can deliberately </w:t>
      </w:r>
      <w:r w:rsidR="0081680C" w:rsidRPr="006C4C0E">
        <w:rPr>
          <w:rFonts w:eastAsia="Times New Roman"/>
          <w:sz w:val="24"/>
          <w:szCs w:val="24"/>
        </w:rPr>
        <w:t>structure</w:t>
      </w:r>
      <w:r w:rsidRPr="006C4C0E">
        <w:rPr>
          <w:rFonts w:eastAsia="Times New Roman"/>
          <w:sz w:val="24"/>
          <w:szCs w:val="24"/>
        </w:rPr>
        <w:t xml:space="preserve"> staff adjustments with the help of designing socialisation tactics where role modelling, monitoring and collective learning are included (Petrov, 2024). In contrast, highly formalised socialisation procedures have restricted individual creativity if staff are assumed to conform instead of </w:t>
      </w:r>
      <w:proofErr w:type="gramStart"/>
      <w:r w:rsidRPr="006C4C0E">
        <w:rPr>
          <w:rFonts w:eastAsia="Times New Roman"/>
          <w:sz w:val="24"/>
          <w:szCs w:val="24"/>
        </w:rPr>
        <w:t>offer</w:t>
      </w:r>
      <w:proofErr w:type="gramEnd"/>
      <w:r w:rsidRPr="006C4C0E">
        <w:rPr>
          <w:rFonts w:eastAsia="Times New Roman"/>
          <w:sz w:val="24"/>
          <w:szCs w:val="24"/>
        </w:rPr>
        <w:t xml:space="preserve"> new insights. In the context of HUM, it must manage innovation with cultural </w:t>
      </w:r>
      <w:r w:rsidRPr="006C4C0E">
        <w:rPr>
          <w:rFonts w:eastAsia="Times New Roman"/>
          <w:sz w:val="24"/>
          <w:szCs w:val="24"/>
        </w:rPr>
        <w:lastRenderedPageBreak/>
        <w:t>impl</w:t>
      </w:r>
      <w:r w:rsidR="0081680C" w:rsidRPr="006C4C0E">
        <w:rPr>
          <w:rFonts w:eastAsia="Times New Roman"/>
          <w:sz w:val="24"/>
          <w:szCs w:val="24"/>
        </w:rPr>
        <w:t xml:space="preserve">ementation, </w:t>
      </w:r>
      <w:r w:rsidRPr="006C4C0E">
        <w:rPr>
          <w:rFonts w:eastAsia="Times New Roman"/>
          <w:sz w:val="24"/>
          <w:szCs w:val="24"/>
        </w:rPr>
        <w:t xml:space="preserve">and it gives assurance that new staff get knowledge about the company's values (Skala, 2022, p.1). </w:t>
      </w:r>
    </w:p>
    <w:p w14:paraId="733D2404" w14:textId="77777777" w:rsidR="0054289B" w:rsidRPr="006C4C0E" w:rsidRDefault="00475F10">
      <w:pPr>
        <w:spacing w:after="200" w:line="360" w:lineRule="auto"/>
        <w:jc w:val="center"/>
        <w:rPr>
          <w:rFonts w:eastAsia="Times New Roman"/>
          <w:sz w:val="24"/>
          <w:szCs w:val="24"/>
        </w:rPr>
      </w:pPr>
      <w:r w:rsidRPr="006C4C0E">
        <w:rPr>
          <w:rFonts w:eastAsia="Times New Roman"/>
          <w:noProof/>
          <w:sz w:val="24"/>
          <w:szCs w:val="24"/>
        </w:rPr>
        <w:drawing>
          <wp:inline distT="114300" distB="114300" distL="114300" distR="114300" wp14:anchorId="224006C5" wp14:editId="0D5068D8">
            <wp:extent cx="4414838" cy="332212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414838" cy="3322129"/>
                    </a:xfrm>
                    <a:prstGeom prst="rect">
                      <a:avLst/>
                    </a:prstGeom>
                    <a:ln/>
                  </pic:spPr>
                </pic:pic>
              </a:graphicData>
            </a:graphic>
          </wp:inline>
        </w:drawing>
      </w:r>
    </w:p>
    <w:p w14:paraId="0B9B8FB0"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 xml:space="preserve">Figure 2: Psychological </w:t>
      </w:r>
      <w:r w:rsidR="0093361B" w:rsidRPr="006C4C0E">
        <w:rPr>
          <w:rFonts w:eastAsia="Times New Roman"/>
          <w:b/>
          <w:bCs/>
          <w:sz w:val="24"/>
          <w:szCs w:val="24"/>
        </w:rPr>
        <w:t>Contract Theory</w:t>
      </w:r>
    </w:p>
    <w:p w14:paraId="69E40B82"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Cuofano, 2024).</w:t>
      </w:r>
    </w:p>
    <w:p w14:paraId="6C9A5962"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On the other hand, the </w:t>
      </w:r>
      <w:r w:rsidRPr="006C4C0E">
        <w:rPr>
          <w:rFonts w:eastAsia="Times New Roman"/>
          <w:b/>
          <w:bCs/>
          <w:i/>
          <w:iCs/>
          <w:sz w:val="24"/>
          <w:szCs w:val="24"/>
        </w:rPr>
        <w:t xml:space="preserve">Psychological Contract Theory </w:t>
      </w:r>
      <w:r w:rsidRPr="006C4C0E">
        <w:rPr>
          <w:rFonts w:eastAsia="Times New Roman"/>
          <w:sz w:val="24"/>
          <w:szCs w:val="24"/>
        </w:rPr>
        <w:t>seeks to explain how this has not happened in these constantly changing organisations (Powers, 2023, p.5). Inside organisations, the staff have certain psychological expectations regarding meaningful work, career advancement and support. Therefore, if these expectations aren't fulfilled, especially for a high-potential graduate wanting meaningful, purpose-driven work and wanting to learn more, the psychological contract could be broken and cause a lack of employee engagement. Regarding Helios Urban Mobility, an eight-month period has made clear that the recent steps are not contributing to building effective expectations between the organisation and its staff.</w:t>
      </w:r>
    </w:p>
    <w:p w14:paraId="7863F8AA"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In addition,</w:t>
      </w:r>
      <w:r w:rsidRPr="006C4C0E">
        <w:rPr>
          <w:rFonts w:eastAsia="Times New Roman"/>
          <w:b/>
          <w:bCs/>
          <w:i/>
          <w:iCs/>
          <w:sz w:val="24"/>
          <w:szCs w:val="24"/>
        </w:rPr>
        <w:t xml:space="preserve"> Identity Construction Theory</w:t>
      </w:r>
      <w:r w:rsidRPr="006C4C0E">
        <w:rPr>
          <w:rFonts w:eastAsia="Times New Roman"/>
          <w:sz w:val="24"/>
          <w:szCs w:val="24"/>
        </w:rPr>
        <w:t xml:space="preserve"> indicated that employees are loyal towards organisations if they see a connection between their organisational values and personal identity (Nguyen and Ngo, 2025, p. 3488). Within the HUM, like an AI-empowered mobility company, finding out urban </w:t>
      </w:r>
      <w:r w:rsidR="0093361B" w:rsidRPr="006C4C0E">
        <w:rPr>
          <w:rFonts w:eastAsia="Times New Roman"/>
          <w:sz w:val="24"/>
          <w:szCs w:val="24"/>
        </w:rPr>
        <w:t>sustainability</w:t>
      </w:r>
      <w:r w:rsidRPr="006C4C0E">
        <w:rPr>
          <w:rFonts w:eastAsia="Times New Roman"/>
          <w:sz w:val="24"/>
          <w:szCs w:val="24"/>
        </w:rPr>
        <w:t xml:space="preserve"> issues, staff are </w:t>
      </w:r>
      <w:r w:rsidRPr="006C4C0E">
        <w:rPr>
          <w:rFonts w:eastAsia="Times New Roman"/>
          <w:sz w:val="24"/>
          <w:szCs w:val="24"/>
        </w:rPr>
        <w:lastRenderedPageBreak/>
        <w:t>required to find</w:t>
      </w:r>
      <w:r w:rsidR="0093361B" w:rsidRPr="006C4C0E">
        <w:rPr>
          <w:rFonts w:eastAsia="Times New Roman"/>
          <w:sz w:val="24"/>
          <w:szCs w:val="24"/>
        </w:rPr>
        <w:t xml:space="preserve"> </w:t>
      </w:r>
      <w:r w:rsidRPr="006C4C0E">
        <w:rPr>
          <w:rFonts w:eastAsia="Times New Roman"/>
          <w:sz w:val="24"/>
          <w:szCs w:val="24"/>
        </w:rPr>
        <w:t xml:space="preserve">out </w:t>
      </w:r>
      <w:r w:rsidR="0093361B" w:rsidRPr="006C4C0E">
        <w:rPr>
          <w:rFonts w:eastAsia="Times New Roman"/>
          <w:sz w:val="24"/>
          <w:szCs w:val="24"/>
        </w:rPr>
        <w:t>company’s</w:t>
      </w:r>
      <w:r w:rsidRPr="006C4C0E">
        <w:rPr>
          <w:rFonts w:eastAsia="Times New Roman"/>
          <w:sz w:val="24"/>
          <w:szCs w:val="24"/>
        </w:rPr>
        <w:t xml:space="preserve"> broader social purpose instead of technical roles. Here, deeper connections have rarely been created through applying traditional onboarding. </w:t>
      </w:r>
    </w:p>
    <w:p w14:paraId="2E477989"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At the end, with the critical analysis, it has concluded that strategic organisational socialisation emerges as more accurate for the company Helios Urban Mobility, as it changes the newcomers from job occupants and transforms them into organisational citizens. Through implementing opportunities, cultural alignment, mentoring and </w:t>
      </w:r>
      <w:r w:rsidR="00B74EFF" w:rsidRPr="006C4C0E">
        <w:rPr>
          <w:rFonts w:eastAsia="Times New Roman"/>
          <w:sz w:val="24"/>
          <w:szCs w:val="24"/>
        </w:rPr>
        <w:t>structured</w:t>
      </w:r>
      <w:r w:rsidRPr="006C4C0E">
        <w:rPr>
          <w:rFonts w:eastAsia="Times New Roman"/>
          <w:sz w:val="24"/>
          <w:szCs w:val="24"/>
        </w:rPr>
        <w:t xml:space="preserve"> learning for contribution, the Helios Urban Mobility company can strengthen retention, improve engagement and decrease adjustment time for high-potential talent.</w:t>
      </w:r>
    </w:p>
    <w:p w14:paraId="070E4647" w14:textId="77777777" w:rsidR="0054289B" w:rsidRPr="006C4C0E" w:rsidRDefault="00475F10" w:rsidP="00822B3E">
      <w:pPr>
        <w:pStyle w:val="Heading2"/>
      </w:pPr>
      <w:bookmarkStart w:id="3" w:name="_Toc234861974"/>
      <w:r w:rsidRPr="006C4C0E">
        <w:t>2.2 Design a Strategic Socialisation Framework</w:t>
      </w:r>
      <w:bookmarkEnd w:id="3"/>
    </w:p>
    <w:p w14:paraId="49AACC89"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sz w:val="24"/>
          <w:szCs w:val="24"/>
        </w:rPr>
        <w:t xml:space="preserve">To mitigate the HUM’s challenge “eight-month ramp-up period and graduate attrition”, a well-established socialisation framework has been employed to raise long-term commitment, organisational </w:t>
      </w:r>
      <w:r w:rsidR="00822B3E" w:rsidRPr="006C4C0E">
        <w:rPr>
          <w:rFonts w:eastAsia="Times New Roman"/>
          <w:sz w:val="24"/>
          <w:szCs w:val="24"/>
        </w:rPr>
        <w:t>identification and</w:t>
      </w:r>
      <w:r w:rsidRPr="006C4C0E">
        <w:rPr>
          <w:rFonts w:eastAsia="Times New Roman"/>
          <w:sz w:val="24"/>
          <w:szCs w:val="24"/>
        </w:rPr>
        <w:t xml:space="preserve"> capability.  </w:t>
      </w:r>
    </w:p>
    <w:p w14:paraId="38758D32" w14:textId="77777777" w:rsidR="0054289B" w:rsidRPr="006C4C0E" w:rsidRDefault="00475F10">
      <w:pPr>
        <w:spacing w:after="200" w:line="360" w:lineRule="auto"/>
        <w:rPr>
          <w:rFonts w:eastAsia="Times New Roman"/>
          <w:b/>
          <w:bCs/>
          <w:i/>
          <w:iCs/>
          <w:sz w:val="24"/>
          <w:szCs w:val="24"/>
        </w:rPr>
      </w:pPr>
      <w:r w:rsidRPr="006C4C0E">
        <w:rPr>
          <w:rFonts w:eastAsia="Times New Roman"/>
          <w:b/>
          <w:bCs/>
          <w:i/>
          <w:iCs/>
          <w:sz w:val="24"/>
          <w:szCs w:val="24"/>
        </w:rPr>
        <w:t>Stage 1: Pre-boarding – “Creating Early Connection”</w:t>
      </w:r>
    </w:p>
    <w:p w14:paraId="10B68072"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Through joining, new staff get manager contact, buddy assignment, welcome videos, and an AI onboarding portal, as well as personalised learning pathways</w:t>
      </w:r>
      <w:r w:rsidR="004C4061" w:rsidRPr="006C4C0E">
        <w:rPr>
          <w:rFonts w:eastAsia="Times New Roman"/>
          <w:sz w:val="24"/>
          <w:szCs w:val="24"/>
        </w:rPr>
        <w:t xml:space="preserve"> </w:t>
      </w:r>
      <w:r w:rsidR="004C4061" w:rsidRPr="006C4C0E">
        <w:rPr>
          <w:rFonts w:eastAsia="Times New Roman"/>
          <w:b/>
          <w:i/>
          <w:sz w:val="24"/>
          <w:szCs w:val="24"/>
        </w:rPr>
        <w:t>[refer to Appendix 1]</w:t>
      </w:r>
      <w:r w:rsidRPr="006C4C0E">
        <w:rPr>
          <w:rFonts w:eastAsia="Times New Roman"/>
          <w:b/>
          <w:i/>
          <w:sz w:val="24"/>
          <w:szCs w:val="24"/>
        </w:rPr>
        <w:t>.</w:t>
      </w:r>
      <w:r w:rsidRPr="006C4C0E">
        <w:rPr>
          <w:rFonts w:eastAsia="Times New Roman"/>
          <w:sz w:val="24"/>
          <w:szCs w:val="24"/>
        </w:rPr>
        <w:t xml:space="preserve"> As a result, these activities strengthen the psychological contract and decrease the uncertainty through establishing a link with </w:t>
      </w:r>
      <w:r w:rsidR="00AE4D88" w:rsidRPr="006C4C0E">
        <w:rPr>
          <w:rFonts w:eastAsia="Times New Roman"/>
          <w:sz w:val="24"/>
          <w:szCs w:val="24"/>
        </w:rPr>
        <w:t>the Helios</w:t>
      </w:r>
      <w:r w:rsidRPr="006C4C0E">
        <w:rPr>
          <w:rFonts w:eastAsia="Times New Roman"/>
          <w:sz w:val="24"/>
          <w:szCs w:val="24"/>
        </w:rPr>
        <w:t xml:space="preserve"> Urban Mobility values and creating early trust. </w:t>
      </w:r>
    </w:p>
    <w:p w14:paraId="446A619E"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Stage 2: First 90 Days – “Building Capability and Belonging”</w:t>
      </w:r>
    </w:p>
    <w:p w14:paraId="402FB9D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 first week concentrates on leadership and interactions, which include role learning and monitoring in the </w:t>
      </w:r>
      <w:r w:rsidRPr="006C4C0E">
        <w:rPr>
          <w:rFonts w:eastAsia="Times New Roman"/>
          <w:b/>
          <w:bCs/>
          <w:i/>
          <w:iCs/>
          <w:sz w:val="24"/>
          <w:szCs w:val="24"/>
        </w:rPr>
        <w:t>first month</w:t>
      </w:r>
      <w:r w:rsidRPr="006C4C0E">
        <w:rPr>
          <w:rFonts w:eastAsia="Times New Roman"/>
          <w:sz w:val="24"/>
          <w:szCs w:val="24"/>
        </w:rPr>
        <w:t xml:space="preserve">, innovation workshops and project immersion in </w:t>
      </w:r>
      <w:r w:rsidRPr="006C4C0E">
        <w:rPr>
          <w:rFonts w:eastAsia="Times New Roman"/>
          <w:b/>
          <w:bCs/>
          <w:i/>
          <w:iCs/>
          <w:sz w:val="24"/>
          <w:szCs w:val="24"/>
        </w:rPr>
        <w:t xml:space="preserve">month two </w:t>
      </w:r>
      <w:r w:rsidRPr="006C4C0E">
        <w:rPr>
          <w:rFonts w:eastAsia="Times New Roman"/>
          <w:sz w:val="24"/>
          <w:szCs w:val="24"/>
        </w:rPr>
        <w:t xml:space="preserve">and cultural integration in </w:t>
      </w:r>
      <w:r w:rsidRPr="006C4C0E">
        <w:rPr>
          <w:rFonts w:eastAsia="Times New Roman"/>
          <w:b/>
          <w:bCs/>
          <w:i/>
          <w:iCs/>
          <w:sz w:val="24"/>
          <w:szCs w:val="24"/>
        </w:rPr>
        <w:t>month three</w:t>
      </w:r>
      <w:r w:rsidRPr="006C4C0E">
        <w:rPr>
          <w:rFonts w:eastAsia="Times New Roman"/>
          <w:sz w:val="24"/>
          <w:szCs w:val="24"/>
        </w:rPr>
        <w:t>, with feedback reviews. These strengthen employee confidence and accelerate adjustment.</w:t>
      </w:r>
    </w:p>
    <w:p w14:paraId="01F89BD0"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Stage 3: Year One – “Developing Commitment”</w:t>
      </w:r>
    </w:p>
    <w:p w14:paraId="397E2AF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Continuous learning, internal networking, innovation challenges, global mobility opportunities, leadership mentoring, along with career planning, aid long-term retention. A</w:t>
      </w:r>
      <w:r w:rsidR="006C4C0E" w:rsidRPr="006C4C0E">
        <w:rPr>
          <w:rFonts w:eastAsia="Times New Roman"/>
          <w:sz w:val="24"/>
          <w:szCs w:val="24"/>
        </w:rPr>
        <w:t>s</w:t>
      </w:r>
      <w:r w:rsidRPr="006C4C0E">
        <w:rPr>
          <w:rFonts w:eastAsia="Times New Roman"/>
          <w:sz w:val="24"/>
          <w:szCs w:val="24"/>
        </w:rPr>
        <w:t xml:space="preserve"> a result, these initiatives develop future career opportunities and strengthen organisational identification for high-potential employees.</w:t>
      </w:r>
    </w:p>
    <w:p w14:paraId="38432C9C"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 xml:space="preserve">Justification </w:t>
      </w:r>
    </w:p>
    <w:p w14:paraId="04133637"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lastRenderedPageBreak/>
        <w:t xml:space="preserve">These models identify the HUM issues with the help of transforming onboarding within continuous socialisation. Overall, these frameworks change onboarding to strategic human capital system administrative process that aided sustainable growth, innovation an engagement at HUM. </w:t>
      </w:r>
    </w:p>
    <w:p w14:paraId="701391C7" w14:textId="77777777" w:rsidR="0054289B" w:rsidRPr="006C4C0E" w:rsidRDefault="00475F10" w:rsidP="00AE4D88">
      <w:pPr>
        <w:pStyle w:val="Heading2"/>
      </w:pPr>
      <w:bookmarkStart w:id="4" w:name="_Toc234861975"/>
      <w:r w:rsidRPr="006C4C0E">
        <w:t>2.3 Developing Organisational Citizens</w:t>
      </w:r>
      <w:bookmarkEnd w:id="4"/>
    </w:p>
    <w:p w14:paraId="39CC692B"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For Helios Urban Mobility to acquire long-term growth, staff must change to organisational citizens from role performers who commit beyond formal job requirements through finding out the company's actual purpose. </w:t>
      </w:r>
    </w:p>
    <w:p w14:paraId="71EB636B"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Organisational Identification:</w:t>
      </w:r>
    </w:p>
    <w:p w14:paraId="6E52070A" w14:textId="77777777" w:rsidR="0054289B" w:rsidRPr="006C4C0E" w:rsidRDefault="00475F10">
      <w:pPr>
        <w:spacing w:after="200" w:line="360" w:lineRule="auto"/>
        <w:jc w:val="center"/>
        <w:rPr>
          <w:rFonts w:eastAsia="Times New Roman"/>
          <w:b/>
          <w:bCs/>
          <w:i/>
          <w:iCs/>
          <w:sz w:val="24"/>
          <w:szCs w:val="24"/>
        </w:rPr>
      </w:pPr>
      <w:r w:rsidRPr="006C4C0E">
        <w:rPr>
          <w:rFonts w:eastAsia="Times New Roman"/>
          <w:b/>
          <w:bCs/>
          <w:i/>
          <w:iCs/>
          <w:noProof/>
          <w:sz w:val="24"/>
          <w:szCs w:val="24"/>
        </w:rPr>
        <w:drawing>
          <wp:inline distT="114300" distB="114300" distL="114300" distR="114300" wp14:anchorId="60D2DF90" wp14:editId="14D780E4">
            <wp:extent cx="4672013" cy="329834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72013" cy="3298348"/>
                    </a:xfrm>
                    <a:prstGeom prst="rect">
                      <a:avLst/>
                    </a:prstGeom>
                    <a:ln/>
                  </pic:spPr>
                </pic:pic>
              </a:graphicData>
            </a:graphic>
          </wp:inline>
        </w:drawing>
      </w:r>
    </w:p>
    <w:p w14:paraId="5BE4FE8C"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t>Figure 3: Social Identity Theory</w:t>
      </w:r>
    </w:p>
    <w:p w14:paraId="7B061AB2" w14:textId="77777777" w:rsidR="0054289B" w:rsidRPr="006C4C0E" w:rsidRDefault="00475F10">
      <w:pPr>
        <w:spacing w:after="200" w:line="360" w:lineRule="auto"/>
        <w:jc w:val="center"/>
        <w:rPr>
          <w:rFonts w:eastAsia="Times New Roman"/>
          <w:sz w:val="24"/>
          <w:szCs w:val="24"/>
        </w:rPr>
      </w:pPr>
      <w:r w:rsidRPr="006C4C0E">
        <w:rPr>
          <w:rFonts w:eastAsia="Times New Roman"/>
          <w:sz w:val="24"/>
          <w:szCs w:val="24"/>
        </w:rPr>
        <w:t>(Source:  Singh, 2024)</w:t>
      </w:r>
    </w:p>
    <w:p w14:paraId="343B16B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Utilising the</w:t>
      </w:r>
      <w:r w:rsidRPr="006C4C0E">
        <w:rPr>
          <w:rFonts w:eastAsia="Times New Roman"/>
          <w:b/>
          <w:bCs/>
          <w:i/>
          <w:iCs/>
          <w:sz w:val="24"/>
          <w:szCs w:val="24"/>
        </w:rPr>
        <w:t xml:space="preserve"> Social Identity Theory, </w:t>
      </w:r>
      <w:r w:rsidRPr="006C4C0E">
        <w:rPr>
          <w:rFonts w:eastAsia="Times New Roman"/>
          <w:sz w:val="24"/>
          <w:szCs w:val="24"/>
        </w:rPr>
        <w:t xml:space="preserve">staff illustrated commitment when they identify themselves as important members in different companies (Swartz et al., 2022, p.5). Helios Urban Mobility improve their identification by highlighting their mission to develop long-term AI-empowered urban mobility and influence cross-border collaboration among Singapore, Berlin, and London teams and building shared </w:t>
      </w:r>
      <w:r w:rsidRPr="006C4C0E">
        <w:rPr>
          <w:rFonts w:eastAsia="Times New Roman"/>
          <w:sz w:val="24"/>
          <w:szCs w:val="24"/>
        </w:rPr>
        <w:lastRenderedPageBreak/>
        <w:t xml:space="preserve">innovation communities. As a result, strong identification motivates staff and raises a sense of belonging to commit to the collective organisational goals. </w:t>
      </w:r>
    </w:p>
    <w:p w14:paraId="59E2AA6A"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Ethical Professionalism:</w:t>
      </w:r>
    </w:p>
    <w:p w14:paraId="67B0991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Therefore, the company Hum must integrate ethical professionalism with the help of psychological safety, professional accountability, and ethical leadership. Becoming an AI-empowered company, here staff need transparent environments and decision-making processes and responsible AI training, where ethical concerns have been transparently evaluated (Azizi et al. 2025, p.1). As a result, these aided responsible innovation and trust while decreasing risk that relate with technological misuse. </w:t>
      </w:r>
    </w:p>
    <w:p w14:paraId="7CEE1FD5" w14:textId="77777777" w:rsidR="0054289B" w:rsidRPr="006C4C0E" w:rsidRDefault="00475F10">
      <w:pPr>
        <w:spacing w:after="200" w:line="360" w:lineRule="auto"/>
        <w:jc w:val="both"/>
        <w:rPr>
          <w:rFonts w:eastAsia="Times New Roman"/>
          <w:b/>
          <w:bCs/>
          <w:i/>
          <w:iCs/>
          <w:sz w:val="24"/>
          <w:szCs w:val="24"/>
        </w:rPr>
      </w:pPr>
      <w:r w:rsidRPr="006C4C0E">
        <w:rPr>
          <w:rFonts w:eastAsia="Times New Roman"/>
          <w:b/>
          <w:bCs/>
          <w:i/>
          <w:iCs/>
          <w:sz w:val="24"/>
          <w:szCs w:val="24"/>
        </w:rPr>
        <w:t xml:space="preserve">Business Activist </w:t>
      </w:r>
      <w:r w:rsidR="00AE4D88" w:rsidRPr="006C4C0E">
        <w:rPr>
          <w:rFonts w:eastAsia="Times New Roman"/>
          <w:b/>
          <w:bCs/>
          <w:i/>
          <w:iCs/>
          <w:sz w:val="24"/>
          <w:szCs w:val="24"/>
        </w:rPr>
        <w:t>Mind-set</w:t>
      </w:r>
      <w:r w:rsidRPr="006C4C0E">
        <w:rPr>
          <w:rFonts w:eastAsia="Times New Roman"/>
          <w:b/>
          <w:bCs/>
          <w:i/>
          <w:iCs/>
          <w:sz w:val="24"/>
          <w:szCs w:val="24"/>
        </w:rPr>
        <w:t>:</w:t>
      </w:r>
    </w:p>
    <w:p w14:paraId="564820B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Emphasising </w:t>
      </w:r>
      <w:r w:rsidRPr="006C4C0E">
        <w:rPr>
          <w:rFonts w:eastAsia="Times New Roman"/>
          <w:b/>
          <w:bCs/>
          <w:i/>
          <w:iCs/>
          <w:sz w:val="24"/>
          <w:szCs w:val="24"/>
        </w:rPr>
        <w:t xml:space="preserve">stakeholder capitalism </w:t>
      </w:r>
      <w:r w:rsidRPr="006C4C0E">
        <w:rPr>
          <w:rFonts w:eastAsia="Times New Roman"/>
          <w:sz w:val="24"/>
          <w:szCs w:val="24"/>
        </w:rPr>
        <w:t xml:space="preserve">and </w:t>
      </w:r>
      <w:r w:rsidRPr="006C4C0E">
        <w:rPr>
          <w:rFonts w:eastAsia="Times New Roman"/>
          <w:b/>
          <w:bCs/>
          <w:i/>
          <w:iCs/>
          <w:sz w:val="24"/>
          <w:szCs w:val="24"/>
        </w:rPr>
        <w:t>Ulrich’s HR Business Partner evolution,</w:t>
      </w:r>
      <w:r w:rsidRPr="006C4C0E">
        <w:rPr>
          <w:rFonts w:eastAsia="Times New Roman"/>
          <w:sz w:val="24"/>
          <w:szCs w:val="24"/>
        </w:rPr>
        <w:t xml:space="preserve"> the company HUM must influence the staff to become innovation champions and shift beyond operational responsibilities as well as sustainability contributors, customer advocates, and strategic problem-solvers (</w:t>
      </w:r>
      <w:proofErr w:type="spellStart"/>
      <w:r w:rsidRPr="006C4C0E">
        <w:rPr>
          <w:rFonts w:eastAsia="Times New Roman"/>
          <w:sz w:val="24"/>
          <w:szCs w:val="24"/>
        </w:rPr>
        <w:t>Berniak-Woźny</w:t>
      </w:r>
      <w:proofErr w:type="spellEnd"/>
      <w:r w:rsidRPr="006C4C0E">
        <w:rPr>
          <w:rFonts w:eastAsia="Times New Roman"/>
          <w:sz w:val="24"/>
          <w:szCs w:val="24"/>
        </w:rPr>
        <w:t xml:space="preserve"> et al. 2025). Here, staff must actively find out the opportunities to create value for wider stakeholders, communities and customers, which also helps to raise urban mobility solutions. Besides within the organisation, these behaviours develop through adopting the </w:t>
      </w:r>
      <w:r w:rsidRPr="006C4C0E">
        <w:rPr>
          <w:rFonts w:eastAsia="Times New Roman"/>
          <w:b/>
          <w:bCs/>
          <w:i/>
          <w:iCs/>
          <w:sz w:val="24"/>
          <w:szCs w:val="24"/>
        </w:rPr>
        <w:t xml:space="preserve">social exchange theory, </w:t>
      </w:r>
      <w:r w:rsidRPr="006C4C0E">
        <w:rPr>
          <w:rFonts w:eastAsia="Times New Roman"/>
          <w:sz w:val="24"/>
          <w:szCs w:val="24"/>
        </w:rPr>
        <w:t xml:space="preserve">which explains that when staff realise the company's investment, they create reciprocal commitment through support and fairness, and stronger citizenship behaviours </w:t>
      </w:r>
      <w:r w:rsidRPr="006C4C0E">
        <w:rPr>
          <w:rFonts w:eastAsia="Times New Roman"/>
          <w:b/>
          <w:bCs/>
          <w:i/>
          <w:iCs/>
          <w:sz w:val="24"/>
          <w:szCs w:val="24"/>
        </w:rPr>
        <w:t>[refer to lecture note]</w:t>
      </w:r>
      <w:r w:rsidRPr="006C4C0E">
        <w:rPr>
          <w:rFonts w:eastAsia="Times New Roman"/>
          <w:sz w:val="24"/>
          <w:szCs w:val="24"/>
        </w:rPr>
        <w:t>.</w:t>
      </w:r>
    </w:p>
    <w:p w14:paraId="281C13BA" w14:textId="77777777" w:rsidR="0054289B" w:rsidRPr="006C4C0E" w:rsidRDefault="00475F10" w:rsidP="006C4C0E">
      <w:pPr>
        <w:pStyle w:val="Heading1"/>
      </w:pPr>
      <w:bookmarkStart w:id="5" w:name="_Toc234861976"/>
      <w:r w:rsidRPr="006C4C0E">
        <w:t>Task B: Innovative Job Design Strategy</w:t>
      </w:r>
      <w:bookmarkEnd w:id="5"/>
      <w:r w:rsidRPr="006C4C0E">
        <w:t xml:space="preserve"> </w:t>
      </w:r>
    </w:p>
    <w:p w14:paraId="582D9B17" w14:textId="77777777" w:rsidR="0054289B" w:rsidRPr="006C4C0E" w:rsidRDefault="00475F10" w:rsidP="006C4C0E">
      <w:pPr>
        <w:pStyle w:val="Heading2"/>
      </w:pPr>
      <w:bookmarkStart w:id="6" w:name="_Toc234861977"/>
      <w:r w:rsidRPr="006C4C0E">
        <w:t>3.1 Why Current Job Design No Longer Works</w:t>
      </w:r>
      <w:bookmarkEnd w:id="6"/>
      <w:r w:rsidRPr="006C4C0E">
        <w:t xml:space="preserve"> </w:t>
      </w:r>
    </w:p>
    <w:p w14:paraId="68A396FF"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Helios Urban Mobility run their business in </w:t>
      </w:r>
      <w:r w:rsidR="00AE4D88" w:rsidRPr="006C4C0E">
        <w:rPr>
          <w:rFonts w:eastAsia="Times New Roman"/>
          <w:sz w:val="24"/>
          <w:szCs w:val="24"/>
          <w:highlight w:val="white"/>
        </w:rPr>
        <w:t>the AI</w:t>
      </w:r>
      <w:r w:rsidRPr="006C4C0E">
        <w:rPr>
          <w:rFonts w:eastAsia="Times New Roman"/>
          <w:sz w:val="24"/>
          <w:szCs w:val="24"/>
          <w:highlight w:val="white"/>
        </w:rPr>
        <w:t xml:space="preserve">- empowered smart mobility industry, and here continuous technological upgrades need staff to constantly gain new skills (Adham and Sukkar, 2024, p. 68). However, to retain its position in the competitive world, HUM like companies, are required to join hands with the analytics teams as well as engineering for prompt response to market requirements and changing market scenarios. The report of Spataro (2024) highlights the shift which is already found in the technology market and reports that during the year 2024, organisations such as LinkedIn and Microsoft’s Work Trend Index leverage data collected from 31,000 </w:t>
      </w:r>
      <w:r w:rsidRPr="006C4C0E">
        <w:rPr>
          <w:rFonts w:eastAsia="Times New Roman"/>
          <w:sz w:val="24"/>
          <w:szCs w:val="24"/>
          <w:highlight w:val="white"/>
        </w:rPr>
        <w:lastRenderedPageBreak/>
        <w:t xml:space="preserve">employees from 31 countries, and it presents that almost 75% have used artificial intelligence on the job. Though, 79% of leaders from different organisations think that the adoption of AI is important to maintain a competitive edge. These data reflect that companies like HUM need an AI-enabled and flexible work system instead of rigid job structures. </w:t>
      </w:r>
    </w:p>
    <w:p w14:paraId="66E4A613"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On the other hand, conventional job designs depend on fixed job descriptions, define the hierarchical structure, and define responsibility (Omar et al., 2022, p. 53). Besides, traditional job design relied on hierarchical structure and fixed responsibilities, which are incompatible with the company's innovation-related strategy. Therefore, this approach offers role clarity; it decreases flexibility through hindering knowledge sharing, cross-functional collaborations </w:t>
      </w:r>
      <w:r w:rsidR="006C4C0E" w:rsidRPr="006C4C0E">
        <w:rPr>
          <w:rFonts w:eastAsia="Times New Roman"/>
          <w:sz w:val="24"/>
          <w:szCs w:val="24"/>
          <w:highlight w:val="white"/>
        </w:rPr>
        <w:t>a</w:t>
      </w:r>
      <w:r w:rsidRPr="006C4C0E">
        <w:rPr>
          <w:rFonts w:eastAsia="Times New Roman"/>
          <w:sz w:val="24"/>
          <w:szCs w:val="24"/>
          <w:highlight w:val="white"/>
        </w:rPr>
        <w:t xml:space="preserve"> limiting employees' autonomy. As a result, firms like HUM with these traditional job designs face issues in replying instantly to evolving market requirements and technological advancements. These approaches also lower innovation, decrease career development opportunities and extend onboarding, as well as contribute to graduate attrition and lower engagement. </w:t>
      </w:r>
    </w:p>
    <w:p w14:paraId="6CC42741" w14:textId="77777777" w:rsidR="0054289B" w:rsidRPr="006C4C0E" w:rsidRDefault="00475F10">
      <w:pPr>
        <w:spacing w:before="240" w:after="240" w:line="360" w:lineRule="auto"/>
        <w:jc w:val="center"/>
        <w:rPr>
          <w:rFonts w:eastAsia="Times New Roman"/>
          <w:sz w:val="24"/>
          <w:szCs w:val="24"/>
          <w:highlight w:val="white"/>
        </w:rPr>
      </w:pPr>
      <w:r w:rsidRPr="006C4C0E">
        <w:rPr>
          <w:rFonts w:eastAsia="Times New Roman"/>
          <w:noProof/>
          <w:sz w:val="24"/>
          <w:szCs w:val="24"/>
          <w:highlight w:val="white"/>
        </w:rPr>
        <w:drawing>
          <wp:inline distT="114300" distB="114300" distL="114300" distR="114300" wp14:anchorId="2A785BAF" wp14:editId="66620C88">
            <wp:extent cx="4216238" cy="420773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216238" cy="4207737"/>
                    </a:xfrm>
                    <a:prstGeom prst="rect">
                      <a:avLst/>
                    </a:prstGeom>
                    <a:ln/>
                  </pic:spPr>
                </pic:pic>
              </a:graphicData>
            </a:graphic>
          </wp:inline>
        </w:drawing>
      </w:r>
    </w:p>
    <w:p w14:paraId="3C22C839"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sz w:val="24"/>
          <w:szCs w:val="24"/>
        </w:rPr>
        <w:lastRenderedPageBreak/>
        <w:t>Figure 4: Job design</w:t>
      </w:r>
    </w:p>
    <w:p w14:paraId="1D6803DB" w14:textId="77777777" w:rsidR="0054289B" w:rsidRPr="006C4C0E" w:rsidRDefault="00475F10">
      <w:pPr>
        <w:spacing w:after="200" w:line="360" w:lineRule="auto"/>
        <w:jc w:val="center"/>
        <w:rPr>
          <w:rFonts w:eastAsia="Times New Roman"/>
          <w:sz w:val="24"/>
          <w:szCs w:val="24"/>
          <w:highlight w:val="white"/>
        </w:rPr>
      </w:pPr>
      <w:r w:rsidRPr="006C4C0E">
        <w:rPr>
          <w:rFonts w:eastAsia="Times New Roman"/>
          <w:sz w:val="24"/>
          <w:szCs w:val="24"/>
        </w:rPr>
        <w:t xml:space="preserve">(Source:  </w:t>
      </w:r>
      <w:proofErr w:type="spellStart"/>
      <w:r w:rsidRPr="006C4C0E">
        <w:rPr>
          <w:rFonts w:eastAsia="Times New Roman"/>
          <w:sz w:val="24"/>
          <w:szCs w:val="24"/>
        </w:rPr>
        <w:t>Vulpen</w:t>
      </w:r>
      <w:proofErr w:type="spellEnd"/>
      <w:r w:rsidRPr="006C4C0E">
        <w:rPr>
          <w:rFonts w:eastAsia="Times New Roman"/>
          <w:sz w:val="24"/>
          <w:szCs w:val="24"/>
        </w:rPr>
        <w:t>, 2024).</w:t>
      </w:r>
    </w:p>
    <w:p w14:paraId="3A68B789" w14:textId="77777777" w:rsidR="0054289B" w:rsidRPr="006C4C0E" w:rsidRDefault="00475F10">
      <w:pPr>
        <w:spacing w:before="240" w:after="240" w:line="360" w:lineRule="auto"/>
        <w:jc w:val="both"/>
        <w:rPr>
          <w:rFonts w:eastAsia="Times New Roman"/>
          <w:sz w:val="24"/>
          <w:szCs w:val="24"/>
          <w:highlight w:val="white"/>
        </w:rPr>
      </w:pPr>
      <w:r w:rsidRPr="006C4C0E">
        <w:rPr>
          <w:rFonts w:eastAsia="Times New Roman"/>
          <w:sz w:val="24"/>
          <w:szCs w:val="24"/>
          <w:highlight w:val="white"/>
        </w:rPr>
        <w:t xml:space="preserve">As a result, Helios Urban Mobility need a skill-oriented and agile design that shifts them beyond conventional job descriptions and influences the staff to adaptability, collaboration across projects and continuous capability raising that helps to respond instantly in the </w:t>
      </w:r>
      <w:proofErr w:type="gramStart"/>
      <w:r w:rsidRPr="006C4C0E">
        <w:rPr>
          <w:rFonts w:eastAsia="Times New Roman"/>
          <w:sz w:val="24"/>
          <w:szCs w:val="24"/>
          <w:highlight w:val="white"/>
        </w:rPr>
        <w:t>long term</w:t>
      </w:r>
      <w:proofErr w:type="gramEnd"/>
      <w:r w:rsidRPr="006C4C0E">
        <w:rPr>
          <w:rFonts w:eastAsia="Times New Roman"/>
          <w:sz w:val="24"/>
          <w:szCs w:val="24"/>
          <w:highlight w:val="white"/>
        </w:rPr>
        <w:t xml:space="preserve"> </w:t>
      </w:r>
      <w:r w:rsidR="00AE4D88" w:rsidRPr="006C4C0E">
        <w:rPr>
          <w:rFonts w:eastAsia="Times New Roman"/>
          <w:sz w:val="24"/>
          <w:szCs w:val="24"/>
          <w:highlight w:val="white"/>
        </w:rPr>
        <w:t>organisation</w:t>
      </w:r>
      <w:r w:rsidRPr="006C4C0E">
        <w:rPr>
          <w:rFonts w:eastAsia="Times New Roman"/>
          <w:sz w:val="24"/>
          <w:szCs w:val="24"/>
          <w:highlight w:val="white"/>
        </w:rPr>
        <w:t xml:space="preserve"> performance. </w:t>
      </w:r>
    </w:p>
    <w:p w14:paraId="5E55C77A" w14:textId="77777777" w:rsidR="0054289B" w:rsidRPr="006C4C0E" w:rsidRDefault="00475F10" w:rsidP="00AE4D88">
      <w:pPr>
        <w:pStyle w:val="Heading2"/>
      </w:pPr>
      <w:bookmarkStart w:id="7" w:name="_Toc234861978"/>
      <w:r w:rsidRPr="006C4C0E">
        <w:t>3.2 Integrated Job Design Model</w:t>
      </w:r>
      <w:bookmarkEnd w:id="7"/>
      <w:r w:rsidRPr="006C4C0E">
        <w:t xml:space="preserve">  </w:t>
      </w:r>
    </w:p>
    <w:p w14:paraId="1BD282D1"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To aid strategic renewal, HUM must integrate the job design model by mixing the Skills-based architecture, Job Crafting Theory and Job Characteristics Model. </w:t>
      </w:r>
      <w:r w:rsidR="00AE4D88" w:rsidRPr="006C4C0E">
        <w:rPr>
          <w:rFonts w:eastAsia="Times New Roman"/>
          <w:sz w:val="24"/>
          <w:szCs w:val="24"/>
        </w:rPr>
        <w:t>These implemented appraisal links HUM’s innovation strategies</w:t>
      </w:r>
      <w:r w:rsidRPr="006C4C0E">
        <w:rPr>
          <w:rFonts w:eastAsia="Times New Roman"/>
          <w:sz w:val="24"/>
          <w:szCs w:val="24"/>
        </w:rPr>
        <w:t xml:space="preserve"> with the staff ability while raising talent retention, engagement and motivation. </w:t>
      </w:r>
    </w:p>
    <w:p w14:paraId="75F14A30" w14:textId="77777777" w:rsidR="0054289B" w:rsidRPr="006C4C0E" w:rsidRDefault="00475F10" w:rsidP="00AE4D88">
      <w:pPr>
        <w:pStyle w:val="Heading3"/>
      </w:pPr>
      <w:bookmarkStart w:id="8" w:name="_Toc234861979"/>
      <w:r w:rsidRPr="006C4C0E">
        <w:t>3.2.1 Job Characteristics Model</w:t>
      </w:r>
      <w:bookmarkEnd w:id="8"/>
    </w:p>
    <w:p w14:paraId="44B8117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 </w:t>
      </w:r>
      <w:r w:rsidRPr="006C4C0E">
        <w:rPr>
          <w:rFonts w:eastAsia="Times New Roman"/>
          <w:b/>
          <w:bCs/>
          <w:i/>
          <w:iCs/>
          <w:sz w:val="24"/>
          <w:szCs w:val="24"/>
        </w:rPr>
        <w:t>Job Characteristics Model</w:t>
      </w:r>
      <w:r w:rsidRPr="006C4C0E">
        <w:rPr>
          <w:rFonts w:eastAsia="Times New Roman"/>
          <w:b/>
          <w:bCs/>
          <w:sz w:val="24"/>
          <w:szCs w:val="24"/>
        </w:rPr>
        <w:t xml:space="preserve"> </w:t>
      </w:r>
      <w:r w:rsidRPr="006C4C0E">
        <w:rPr>
          <w:rFonts w:eastAsia="Times New Roman"/>
          <w:sz w:val="24"/>
          <w:szCs w:val="24"/>
        </w:rPr>
        <w:t xml:space="preserve">raise the intrinsic motivation through restructuring jobs, integrating 5 key dimensions such as Skill variety, Task identity, Task significance, autonomy, and continuous feedback. These </w:t>
      </w:r>
      <w:r w:rsidRPr="006C4C0E">
        <w:rPr>
          <w:rFonts w:eastAsia="Times New Roman"/>
          <w:b/>
          <w:bCs/>
          <w:i/>
          <w:iCs/>
          <w:sz w:val="24"/>
          <w:szCs w:val="24"/>
        </w:rPr>
        <w:t xml:space="preserve">skill varieties </w:t>
      </w:r>
      <w:r w:rsidRPr="006C4C0E">
        <w:rPr>
          <w:rFonts w:eastAsia="Times New Roman"/>
          <w:sz w:val="24"/>
          <w:szCs w:val="24"/>
        </w:rPr>
        <w:t xml:space="preserve">empower the engineers within HUM to commit to smart infrastructure projects, analytics and AI and influence continuous learning and creativity. Therefore, </w:t>
      </w:r>
      <w:r w:rsidRPr="006C4C0E">
        <w:rPr>
          <w:rFonts w:eastAsia="Times New Roman"/>
          <w:b/>
          <w:bCs/>
          <w:i/>
          <w:iCs/>
          <w:sz w:val="24"/>
          <w:szCs w:val="24"/>
        </w:rPr>
        <w:t xml:space="preserve">task identity </w:t>
      </w:r>
      <w:r w:rsidRPr="006C4C0E">
        <w:rPr>
          <w:rFonts w:eastAsia="Times New Roman"/>
          <w:sz w:val="24"/>
          <w:szCs w:val="24"/>
        </w:rPr>
        <w:t xml:space="preserve">permits the staff within HUM to handle projects from design to implementation, and it raises accountability and ownership. </w:t>
      </w:r>
      <w:r w:rsidRPr="006C4C0E">
        <w:rPr>
          <w:rFonts w:eastAsia="Times New Roman"/>
          <w:b/>
          <w:bCs/>
          <w:i/>
          <w:iCs/>
          <w:sz w:val="24"/>
          <w:szCs w:val="24"/>
        </w:rPr>
        <w:t xml:space="preserve">Task significance </w:t>
      </w:r>
      <w:r w:rsidRPr="006C4C0E">
        <w:rPr>
          <w:rFonts w:eastAsia="Times New Roman"/>
          <w:sz w:val="24"/>
          <w:szCs w:val="24"/>
        </w:rPr>
        <w:t xml:space="preserve">engages staff to develop established long-term urban mobility solutions and raise organisational commitment (Latham, 2023, p.84). Besides that, </w:t>
      </w:r>
      <w:r w:rsidRPr="006C4C0E">
        <w:rPr>
          <w:rFonts w:eastAsia="Times New Roman"/>
          <w:b/>
          <w:bCs/>
          <w:i/>
          <w:iCs/>
          <w:sz w:val="24"/>
          <w:szCs w:val="24"/>
        </w:rPr>
        <w:t>autonomy</w:t>
      </w:r>
      <w:r w:rsidRPr="006C4C0E">
        <w:rPr>
          <w:rFonts w:eastAsia="Times New Roman"/>
          <w:sz w:val="24"/>
          <w:szCs w:val="24"/>
        </w:rPr>
        <w:t xml:space="preserve"> enabled groups to experiment with innovative solutions and make technical decisions, and at the end, </w:t>
      </w:r>
      <w:r w:rsidRPr="006C4C0E">
        <w:rPr>
          <w:rFonts w:eastAsia="Times New Roman"/>
          <w:b/>
          <w:bCs/>
          <w:i/>
          <w:iCs/>
          <w:sz w:val="24"/>
          <w:szCs w:val="24"/>
        </w:rPr>
        <w:t xml:space="preserve">continuous feedback </w:t>
      </w:r>
      <w:r w:rsidRPr="006C4C0E">
        <w:rPr>
          <w:rFonts w:eastAsia="Times New Roman"/>
          <w:sz w:val="24"/>
          <w:szCs w:val="24"/>
        </w:rPr>
        <w:t xml:space="preserve">with the help of the digital performance dashboards and coaching aided performance and learning improvements. As a result, the Job Characteristics Model gives assurance that jointly these characteristics within HUM give assurance that motivational and meaningful jobs are made and will assist in raising employee retention, innovation and motivation.    </w:t>
      </w:r>
    </w:p>
    <w:p w14:paraId="6482F000" w14:textId="77777777" w:rsidR="0054289B" w:rsidRPr="006C4C0E" w:rsidRDefault="00475F10" w:rsidP="00AE4D88">
      <w:pPr>
        <w:pStyle w:val="Heading3"/>
      </w:pPr>
      <w:bookmarkStart w:id="9" w:name="_Toc234861980"/>
      <w:r w:rsidRPr="006C4C0E">
        <w:lastRenderedPageBreak/>
        <w:t>3.2.2 Job crafting theory</w:t>
      </w:r>
      <w:bookmarkEnd w:id="9"/>
    </w:p>
    <w:p w14:paraId="0E3E0DD0" w14:textId="77777777" w:rsidR="0054289B" w:rsidRPr="006C4C0E" w:rsidRDefault="00475F10">
      <w:pPr>
        <w:spacing w:after="200" w:line="360" w:lineRule="auto"/>
        <w:jc w:val="center"/>
        <w:rPr>
          <w:rFonts w:eastAsia="Times New Roman"/>
          <w:b/>
          <w:bCs/>
          <w:sz w:val="24"/>
          <w:szCs w:val="24"/>
        </w:rPr>
      </w:pPr>
      <w:r w:rsidRPr="006C4C0E">
        <w:rPr>
          <w:rFonts w:eastAsia="Times New Roman"/>
          <w:b/>
          <w:bCs/>
          <w:noProof/>
          <w:sz w:val="24"/>
          <w:szCs w:val="24"/>
        </w:rPr>
        <w:drawing>
          <wp:inline distT="114300" distB="114300" distL="114300" distR="114300" wp14:anchorId="5A87B3F1" wp14:editId="230F0C07">
            <wp:extent cx="3044663" cy="288027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044663" cy="2880279"/>
                    </a:xfrm>
                    <a:prstGeom prst="rect">
                      <a:avLst/>
                    </a:prstGeom>
                    <a:ln/>
                  </pic:spPr>
                </pic:pic>
              </a:graphicData>
            </a:graphic>
          </wp:inline>
        </w:drawing>
      </w:r>
    </w:p>
    <w:p w14:paraId="7DA4A7EB" w14:textId="77777777" w:rsidR="0054289B" w:rsidRPr="006C4C0E" w:rsidRDefault="00475F10">
      <w:pPr>
        <w:spacing w:before="240" w:after="240" w:line="360" w:lineRule="auto"/>
        <w:jc w:val="center"/>
        <w:rPr>
          <w:rFonts w:eastAsia="Times New Roman"/>
          <w:b/>
          <w:bCs/>
          <w:sz w:val="24"/>
          <w:szCs w:val="24"/>
        </w:rPr>
      </w:pPr>
      <w:r w:rsidRPr="006C4C0E">
        <w:rPr>
          <w:rFonts w:eastAsia="Times New Roman"/>
          <w:b/>
          <w:bCs/>
          <w:sz w:val="24"/>
          <w:szCs w:val="24"/>
        </w:rPr>
        <w:t>Figure 5: Five ways of job crafting</w:t>
      </w:r>
    </w:p>
    <w:p w14:paraId="30CAEDE4" w14:textId="77777777" w:rsidR="0054289B" w:rsidRPr="006C4C0E" w:rsidRDefault="00475F10">
      <w:pPr>
        <w:spacing w:before="240" w:after="240" w:line="360" w:lineRule="auto"/>
        <w:jc w:val="center"/>
        <w:rPr>
          <w:rFonts w:eastAsia="Times New Roman"/>
          <w:b/>
          <w:bCs/>
          <w:sz w:val="24"/>
          <w:szCs w:val="24"/>
        </w:rPr>
      </w:pPr>
      <w:r w:rsidRPr="006C4C0E">
        <w:rPr>
          <w:rFonts w:eastAsia="Times New Roman"/>
          <w:sz w:val="24"/>
          <w:szCs w:val="24"/>
        </w:rPr>
        <w:t>(Source: Delphis, 2020)</w:t>
      </w:r>
    </w:p>
    <w:p w14:paraId="7414FF8B" w14:textId="77777777" w:rsidR="0054289B" w:rsidRPr="006C4C0E" w:rsidRDefault="00475F10">
      <w:pPr>
        <w:spacing w:after="200" w:line="360" w:lineRule="auto"/>
        <w:jc w:val="both"/>
        <w:rPr>
          <w:rFonts w:eastAsia="Times New Roman"/>
          <w:sz w:val="24"/>
          <w:szCs w:val="24"/>
        </w:rPr>
      </w:pPr>
      <w:r w:rsidRPr="006C4C0E">
        <w:rPr>
          <w:rFonts w:eastAsia="Times New Roman"/>
          <w:b/>
          <w:bCs/>
          <w:i/>
          <w:iCs/>
          <w:sz w:val="24"/>
          <w:szCs w:val="24"/>
        </w:rPr>
        <w:t xml:space="preserve">Job Crafting Theory </w:t>
      </w:r>
      <w:r w:rsidRPr="006C4C0E">
        <w:rPr>
          <w:rFonts w:eastAsia="Times New Roman"/>
          <w:sz w:val="24"/>
          <w:szCs w:val="24"/>
        </w:rPr>
        <w:t xml:space="preserve">has highlighted staff autonomy through empowering people to proactively restructure aspects of their responsibilities to link with their career aspirations, interests, and skills in a better way. At the HUM, software engineers have selected artificial intelligence-related innovation-related projects that connect with their technical expertise. Through in smart city initiatives and sustainability, data analysts participated and committed to the environmental goals (Costantini, 2024, p. 1499). Besides that, the flexibility influences the staff to handle the ownership of their work, increases engagement and raises creativity. For Helios Urban Mobility, job crafting also helps in knowledge sharing </w:t>
      </w:r>
      <w:r w:rsidR="00AE4D88" w:rsidRPr="006C4C0E">
        <w:rPr>
          <w:rFonts w:eastAsia="Times New Roman"/>
          <w:sz w:val="24"/>
          <w:szCs w:val="24"/>
        </w:rPr>
        <w:t>a</w:t>
      </w:r>
      <w:r w:rsidRPr="006C4C0E">
        <w:rPr>
          <w:rFonts w:eastAsia="Times New Roman"/>
          <w:sz w:val="24"/>
          <w:szCs w:val="24"/>
        </w:rPr>
        <w:t xml:space="preserve"> </w:t>
      </w:r>
      <w:proofErr w:type="gramStart"/>
      <w:r w:rsidRPr="006C4C0E">
        <w:rPr>
          <w:rFonts w:eastAsia="Times New Roman"/>
          <w:sz w:val="24"/>
          <w:szCs w:val="24"/>
        </w:rPr>
        <w:t>strength cross functional collaborations</w:t>
      </w:r>
      <w:proofErr w:type="gramEnd"/>
      <w:r w:rsidRPr="006C4C0E">
        <w:rPr>
          <w:rFonts w:eastAsia="Times New Roman"/>
          <w:sz w:val="24"/>
          <w:szCs w:val="24"/>
        </w:rPr>
        <w:t xml:space="preserve"> that empower staff to reply more efficiently to changing customer requirements while decreasing turnover through offering personalised and meaningful career experiences.   </w:t>
      </w:r>
    </w:p>
    <w:p w14:paraId="649C6EC8" w14:textId="77777777" w:rsidR="0054289B" w:rsidRPr="006C4C0E" w:rsidRDefault="00475F10" w:rsidP="00AE4D88">
      <w:pPr>
        <w:pStyle w:val="Heading3"/>
      </w:pPr>
      <w:bookmarkStart w:id="10" w:name="_Toc234861981"/>
      <w:r w:rsidRPr="006C4C0E">
        <w:t>3.2.3 Skills-based architecture</w:t>
      </w:r>
      <w:bookmarkEnd w:id="10"/>
      <w:r w:rsidRPr="006C4C0E">
        <w:t xml:space="preserve">  </w:t>
      </w:r>
    </w:p>
    <w:p w14:paraId="6052CF16"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At the end,</w:t>
      </w:r>
      <w:r w:rsidRPr="006C4C0E">
        <w:rPr>
          <w:rFonts w:eastAsia="Times New Roman"/>
          <w:b/>
          <w:bCs/>
          <w:i/>
          <w:iCs/>
          <w:sz w:val="24"/>
          <w:szCs w:val="24"/>
        </w:rPr>
        <w:t xml:space="preserve"> Skills-Based Architectur</w:t>
      </w:r>
      <w:r w:rsidRPr="006C4C0E">
        <w:rPr>
          <w:rFonts w:eastAsia="Times New Roman"/>
          <w:sz w:val="24"/>
          <w:szCs w:val="24"/>
        </w:rPr>
        <w:t xml:space="preserve">e has been adopted through </w:t>
      </w:r>
      <w:r w:rsidR="00AE4D88" w:rsidRPr="006C4C0E">
        <w:rPr>
          <w:rFonts w:eastAsia="Times New Roman"/>
          <w:sz w:val="24"/>
          <w:szCs w:val="24"/>
        </w:rPr>
        <w:t>HUM as</w:t>
      </w:r>
      <w:r w:rsidRPr="006C4C0E">
        <w:rPr>
          <w:rFonts w:eastAsia="Times New Roman"/>
          <w:sz w:val="24"/>
          <w:szCs w:val="24"/>
        </w:rPr>
        <w:t xml:space="preserve"> it replaces the rigid job titles with integrating the skill first approach. Therefore, employees within the internal talent marketplace are assigned to handle cross-functional projects </w:t>
      </w:r>
      <w:r w:rsidRPr="006C4C0E">
        <w:rPr>
          <w:rFonts w:eastAsia="Times New Roman"/>
          <w:sz w:val="24"/>
          <w:szCs w:val="24"/>
        </w:rPr>
        <w:lastRenderedPageBreak/>
        <w:t>depending on the analytical, digital and AI-based skills instead of formal positions (</w:t>
      </w:r>
      <w:proofErr w:type="spellStart"/>
      <w:r w:rsidRPr="006C4C0E">
        <w:rPr>
          <w:rFonts w:eastAsia="Times New Roman"/>
          <w:sz w:val="24"/>
          <w:szCs w:val="24"/>
        </w:rPr>
        <w:t>Bildirici</w:t>
      </w:r>
      <w:proofErr w:type="spellEnd"/>
      <w:r w:rsidRPr="006C4C0E">
        <w:rPr>
          <w:rFonts w:eastAsia="Times New Roman"/>
          <w:sz w:val="24"/>
          <w:szCs w:val="24"/>
        </w:rPr>
        <w:t xml:space="preserve"> et al., 2025, p. 209). This empowers constant capability development, develops a future-ready workforce, aided internal mobility in adapting to changing technologies. As a result, combining these approaches develops an agile job design and raises long-term, motivational and innovative organisational performance. </w:t>
      </w:r>
    </w:p>
    <w:p w14:paraId="63DF766D" w14:textId="77777777" w:rsidR="0054289B" w:rsidRPr="006C4C0E" w:rsidRDefault="00475F10" w:rsidP="00AE4D88">
      <w:pPr>
        <w:pStyle w:val="Heading2"/>
      </w:pPr>
      <w:bookmarkStart w:id="11" w:name="_Toc234861982"/>
      <w:r w:rsidRPr="006C4C0E">
        <w:t>3.3 Design Drives Motivation and Innovation</w:t>
      </w:r>
      <w:bookmarkEnd w:id="11"/>
    </w:p>
    <w:p w14:paraId="0ECF21F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The proposed job design implements the skills-based architecture, Job Crafting Theory and Job Characteristics Model, to build a work environment that raises organisational innovation and intrinsic motivation. Through raising continuous feedback, meaningful work, skill variety and autonomy, staff face higher levels of ownership and engagement. As a result, these influence them to solve critical business challenges and commit to creative ideas instead of simply finishing assigned tasks.</w:t>
      </w:r>
    </w:p>
    <w:p w14:paraId="3B56EFED"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As the Job crafting permits the company to link their personal strength with their roles; for instance, when analysts commit to sustainability initiatives, engineers choose artificial intelligence innovation projects, and it empowers the staff to employ their expertise and develop the greatest value. As a result, this flexibility raises proactive problem-solving and promotes continuous learning. </w:t>
      </w:r>
    </w:p>
    <w:p w14:paraId="113F1FDB"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Therefore, skills-based architecture supports through empower the staff to shift across projects with the help of the internal talent marketplace depending on the capabilities instead of fixed job titles (Li, 2025, p. 1064). These specialised capabilities, as per the resource-based view, emerge as difficult, rare, and valuable to imitate the strategic resources, and it raises Helios Urban Mobility’s competitive advantage. In contrast, the company HUM handled issues like technological investments, skill gaps, and manager resistance with the help of phased digital implementation, reskilling programmes and leadership training. These raise long-term competitiveness, retention and strengthen innovations. </w:t>
      </w:r>
    </w:p>
    <w:p w14:paraId="3DB5D659" w14:textId="77777777" w:rsidR="0054289B" w:rsidRPr="006C4C0E" w:rsidRDefault="006C4C0E" w:rsidP="00AE4D88">
      <w:pPr>
        <w:pStyle w:val="Heading1"/>
      </w:pPr>
      <w:bookmarkStart w:id="12" w:name="_Toc234861983"/>
      <w:r w:rsidRPr="006C4C0E">
        <w:lastRenderedPageBreak/>
        <w:t xml:space="preserve">Task C: </w:t>
      </w:r>
      <w:r w:rsidR="00475F10" w:rsidRPr="006C4C0E">
        <w:t>Reflective report</w:t>
      </w:r>
      <w:bookmarkEnd w:id="12"/>
      <w:r w:rsidR="00475F10" w:rsidRPr="006C4C0E">
        <w:t xml:space="preserve"> </w:t>
      </w:r>
    </w:p>
    <w:p w14:paraId="03ECDA3E" w14:textId="77777777" w:rsidR="0054289B" w:rsidRPr="006C4C0E" w:rsidRDefault="00475F10" w:rsidP="00AE4D88">
      <w:pPr>
        <w:pStyle w:val="Heading2"/>
      </w:pPr>
      <w:bookmarkStart w:id="13" w:name="_Toc234861984"/>
      <w:r w:rsidRPr="006C4C0E">
        <w:t>4.1 Using AI without Losing Human Judgement</w:t>
      </w:r>
      <w:bookmarkEnd w:id="13"/>
      <w:r w:rsidRPr="006C4C0E">
        <w:t xml:space="preserve"> </w:t>
      </w:r>
    </w:p>
    <w:p w14:paraId="307D420F" w14:textId="77777777" w:rsidR="0054289B" w:rsidRPr="006C4C0E" w:rsidRDefault="00AE4D88">
      <w:pPr>
        <w:spacing w:after="200" w:line="360" w:lineRule="auto"/>
        <w:jc w:val="both"/>
        <w:rPr>
          <w:rFonts w:eastAsia="Times New Roman"/>
          <w:sz w:val="24"/>
          <w:szCs w:val="24"/>
        </w:rPr>
      </w:pPr>
      <w:r w:rsidRPr="006C4C0E">
        <w:rPr>
          <w:rFonts w:eastAsia="Times New Roman"/>
          <w:sz w:val="24"/>
          <w:szCs w:val="24"/>
        </w:rPr>
        <w:t>I will use AI when I handle the</w:t>
      </w:r>
      <w:r w:rsidR="00475F10" w:rsidRPr="006C4C0E">
        <w:rPr>
          <w:rFonts w:eastAsia="Times New Roman"/>
          <w:sz w:val="24"/>
          <w:szCs w:val="24"/>
        </w:rPr>
        <w:t xml:space="preserve"> HR professional role to raise the speed and quality of human resource decisions while handling critical and ethical judgement. Besides these, artificial intelligence-aided predictive insights, employee engagement analysis, talent identification and workforce analytics; in contrast, the final decisions are taken through human judgement.</w:t>
      </w:r>
    </w:p>
    <w:p w14:paraId="505C0281"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For instance, on performance and recruitment trends, AI-generated recommendations must be assessed for potential bias, fairness and accuracy. Therefore, human judgement emerges as important, as HR decisions include the ethical considerations, cultural understanding, organisational values and empathy that technology has not completely replicated (inspired by Rodgers et al. 2023, p.1). Within organisations like Helios Urban Mobility, responsible AI use needs accountability, continuous monitoring and transparency. As a result, I will mix critical thinking with the technological cap</w:t>
      </w:r>
      <w:r w:rsidR="00AE4D88" w:rsidRPr="006C4C0E">
        <w:rPr>
          <w:rFonts w:eastAsia="Times New Roman"/>
          <w:sz w:val="24"/>
          <w:szCs w:val="24"/>
        </w:rPr>
        <w:t xml:space="preserve">ability to give assurance that </w:t>
      </w:r>
      <w:r w:rsidRPr="006C4C0E">
        <w:rPr>
          <w:rFonts w:eastAsia="Times New Roman"/>
          <w:sz w:val="24"/>
          <w:szCs w:val="24"/>
        </w:rPr>
        <w:t xml:space="preserve">AI raise </w:t>
      </w:r>
      <w:r w:rsidR="00AE4D88" w:rsidRPr="006C4C0E">
        <w:rPr>
          <w:rFonts w:eastAsia="Times New Roman"/>
          <w:sz w:val="24"/>
          <w:szCs w:val="24"/>
        </w:rPr>
        <w:t>instead</w:t>
      </w:r>
      <w:r w:rsidRPr="006C4C0E">
        <w:rPr>
          <w:rFonts w:eastAsia="Times New Roman"/>
          <w:sz w:val="24"/>
          <w:szCs w:val="24"/>
        </w:rPr>
        <w:t xml:space="preserve"> of replaces professional HR expertise. </w:t>
      </w:r>
    </w:p>
    <w:p w14:paraId="74D8EC85" w14:textId="77777777" w:rsidR="0054289B" w:rsidRPr="006C4C0E" w:rsidRDefault="00475F10" w:rsidP="00AE4D88">
      <w:pPr>
        <w:pStyle w:val="Heading2"/>
      </w:pPr>
      <w:bookmarkStart w:id="14" w:name="_Toc234861985"/>
      <w:r w:rsidRPr="006C4C0E">
        <w:t>4.2 Personal Capability Development Plan</w:t>
      </w:r>
      <w:bookmarkEnd w:id="14"/>
      <w:r w:rsidRPr="006C4C0E">
        <w:t xml:space="preserve"> </w:t>
      </w:r>
    </w:p>
    <w:p w14:paraId="40F6AC78"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Becoming a strategic HR professional in future, I will raise my global mobility awareness, strategic influencing, AI augmentation, and data literacy. Through raising my HR analytics learning and tools knowledge, I will raise my data literacy skills, as those aid evidence-based decisions </w:t>
      </w:r>
      <w:r w:rsidRPr="006C4C0E">
        <w:rPr>
          <w:rFonts w:eastAsia="Times New Roman"/>
          <w:b/>
          <w:bCs/>
          <w:i/>
          <w:iCs/>
          <w:sz w:val="24"/>
          <w:szCs w:val="24"/>
        </w:rPr>
        <w:t>[Refer to Appendix 2].</w:t>
      </w:r>
      <w:r w:rsidRPr="006C4C0E">
        <w:rPr>
          <w:rFonts w:eastAsia="Times New Roman"/>
          <w:sz w:val="24"/>
          <w:szCs w:val="24"/>
        </w:rPr>
        <w:t xml:space="preserve"> Besides, I will raise my capability of AI through gaining responsible AI application in employee development, performance management and recruitment while handling ethical judgement. With business-focused HR decision-making, stakeholder communication and leadership practice, strategic influential skills are developed.</w:t>
      </w:r>
    </w:p>
    <w:p w14:paraId="52433EB3" w14:textId="77777777" w:rsidR="0054289B" w:rsidRPr="006C4C0E" w:rsidRDefault="00475F10">
      <w:pPr>
        <w:spacing w:after="200" w:line="360" w:lineRule="auto"/>
        <w:jc w:val="both"/>
        <w:rPr>
          <w:rFonts w:eastAsia="Times New Roman"/>
          <w:sz w:val="24"/>
          <w:szCs w:val="24"/>
        </w:rPr>
      </w:pPr>
      <w:r w:rsidRPr="006C4C0E">
        <w:rPr>
          <w:rFonts w:eastAsia="Times New Roman"/>
          <w:sz w:val="24"/>
          <w:szCs w:val="24"/>
        </w:rPr>
        <w:t xml:space="preserve">Besides that, I will raise international mobility awareness through learning workforce management, cultural differences and international employment practices within multinational organisations (inspired by Teng and Yue, 2023, p.1). Therefore, reflective learning, industry engagement and continuous professional development will empower me to find the path to become an HR practitioner who is able to </w:t>
      </w:r>
      <w:proofErr w:type="gramStart"/>
      <w:r w:rsidRPr="006C4C0E">
        <w:rPr>
          <w:rFonts w:eastAsia="Times New Roman"/>
          <w:sz w:val="24"/>
          <w:szCs w:val="24"/>
        </w:rPr>
        <w:t>aided</w:t>
      </w:r>
      <w:proofErr w:type="gramEnd"/>
      <w:r w:rsidRPr="006C4C0E">
        <w:rPr>
          <w:rFonts w:eastAsia="Times New Roman"/>
          <w:sz w:val="24"/>
          <w:szCs w:val="24"/>
        </w:rPr>
        <w:t xml:space="preserve"> </w:t>
      </w:r>
      <w:proofErr w:type="spellStart"/>
      <w:r w:rsidRPr="006C4C0E">
        <w:rPr>
          <w:rFonts w:eastAsia="Times New Roman"/>
          <w:sz w:val="24"/>
          <w:szCs w:val="24"/>
        </w:rPr>
        <w:t>orgnisations</w:t>
      </w:r>
      <w:proofErr w:type="spellEnd"/>
      <w:r w:rsidRPr="006C4C0E">
        <w:rPr>
          <w:rFonts w:eastAsia="Times New Roman"/>
          <w:sz w:val="24"/>
          <w:szCs w:val="24"/>
        </w:rPr>
        <w:t xml:space="preserve"> by international workforce challenges and digital transformations. </w:t>
      </w:r>
    </w:p>
    <w:p w14:paraId="78C94153" w14:textId="77777777" w:rsidR="0054289B" w:rsidRPr="006C4C0E" w:rsidRDefault="00475F10" w:rsidP="00AE4D88">
      <w:pPr>
        <w:pStyle w:val="Heading1"/>
      </w:pPr>
      <w:bookmarkStart w:id="15" w:name="_Toc234861986"/>
      <w:r w:rsidRPr="006C4C0E">
        <w:lastRenderedPageBreak/>
        <w:t>Conclusion</w:t>
      </w:r>
      <w:bookmarkEnd w:id="15"/>
      <w:r w:rsidRPr="006C4C0E">
        <w:t xml:space="preserve"> </w:t>
      </w:r>
    </w:p>
    <w:p w14:paraId="5BDC075C" w14:textId="77777777" w:rsidR="00B84D90" w:rsidRPr="006C4C0E" w:rsidRDefault="00475F10">
      <w:pPr>
        <w:spacing w:after="200" w:line="360" w:lineRule="auto"/>
        <w:jc w:val="both"/>
        <w:rPr>
          <w:rFonts w:eastAsia="Times New Roman"/>
          <w:sz w:val="24"/>
          <w:szCs w:val="24"/>
        </w:rPr>
      </w:pPr>
      <w:r w:rsidRPr="006C4C0E">
        <w:rPr>
          <w:rFonts w:eastAsia="Times New Roman"/>
          <w:sz w:val="24"/>
          <w:szCs w:val="24"/>
        </w:rPr>
        <w:t xml:space="preserve">It is concluded that strategic socialisation improves commitment to applying AI, as it raises efficiency without removing human judgement. Therefore, innovative job design breaks the conventional method and increases engagement and innovation within organisations through empowering their staff to collaborate in operations. </w:t>
      </w:r>
    </w:p>
    <w:p w14:paraId="23133827" w14:textId="77777777" w:rsidR="00B84D90" w:rsidRPr="006C4C0E" w:rsidRDefault="00B84D90">
      <w:pPr>
        <w:rPr>
          <w:rFonts w:eastAsia="Times New Roman"/>
          <w:sz w:val="24"/>
          <w:szCs w:val="24"/>
        </w:rPr>
      </w:pPr>
      <w:r w:rsidRPr="006C4C0E">
        <w:rPr>
          <w:rFonts w:eastAsia="Times New Roman"/>
          <w:sz w:val="24"/>
          <w:szCs w:val="24"/>
        </w:rPr>
        <w:br w:type="page"/>
      </w:r>
    </w:p>
    <w:p w14:paraId="335E00F1" w14:textId="77777777" w:rsidR="00B84D90" w:rsidRPr="006C4C0E" w:rsidRDefault="00B84D90" w:rsidP="00B84D90">
      <w:pPr>
        <w:pStyle w:val="Heading1"/>
      </w:pPr>
      <w:bookmarkStart w:id="16" w:name="_Toc234861987"/>
      <w:r w:rsidRPr="006C4C0E">
        <w:lastRenderedPageBreak/>
        <w:t>Reference</w:t>
      </w:r>
      <w:r w:rsidR="006C4C0E">
        <w:t>s</w:t>
      </w:r>
      <w:bookmarkEnd w:id="16"/>
      <w:r w:rsidRPr="006C4C0E">
        <w:t xml:space="preserve"> </w:t>
      </w:r>
    </w:p>
    <w:p w14:paraId="3856F00C"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Adham, T.K.I. and Sukkar, A., (2024) ‘Effective management of construction project team: Identifying leadership qualities and responsibilities’, </w:t>
      </w:r>
      <w:r w:rsidRPr="006C4C0E">
        <w:rPr>
          <w:rFonts w:ascii="Arial" w:hAnsi="Arial" w:cs="Arial"/>
          <w:i/>
          <w:iCs/>
          <w:color w:val="222222"/>
          <w:shd w:val="clear" w:color="auto" w:fill="FFFFFF"/>
        </w:rPr>
        <w:t>Scholars Journal of Economics, Business and Management</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11</w:t>
      </w:r>
      <w:r w:rsidRPr="006C4C0E">
        <w:rPr>
          <w:rFonts w:ascii="Arial" w:hAnsi="Arial" w:cs="Arial"/>
          <w:color w:val="222222"/>
          <w:shd w:val="clear" w:color="auto" w:fill="FFFFFF"/>
        </w:rPr>
        <w:t>(2), pp.63-73.</w:t>
      </w:r>
      <w:r w:rsidRPr="006C4C0E">
        <w:rPr>
          <w:rFonts w:ascii="Arial" w:hAnsi="Arial" w:cs="Arial"/>
          <w:color w:val="000000"/>
        </w:rPr>
        <w:t>  Available At:</w:t>
      </w:r>
      <w:hyperlink r:id="rId18" w:history="1">
        <w:r w:rsidRPr="006C4C0E">
          <w:rPr>
            <w:rStyle w:val="Hyperlink"/>
            <w:rFonts w:ascii="Arial" w:hAnsi="Arial" w:cs="Arial"/>
            <w:color w:val="000000"/>
          </w:rPr>
          <w:t xml:space="preserve"> </w:t>
        </w:r>
        <w:r w:rsidRPr="006C4C0E">
          <w:rPr>
            <w:rStyle w:val="Hyperlink"/>
            <w:rFonts w:ascii="Arial" w:hAnsi="Arial" w:cs="Arial"/>
            <w:color w:val="1155CC"/>
          </w:rPr>
          <w:t>https://www.academia.edu/download/113927011/Effective_Management_of_Construction_Project_Team_Identifying_Leadership_Qualities_and_Responsibilities.pdf</w:t>
        </w:r>
      </w:hyperlink>
      <w:r w:rsidRPr="006C4C0E">
        <w:rPr>
          <w:rFonts w:ascii="Arial" w:hAnsi="Arial" w:cs="Arial"/>
          <w:color w:val="000000"/>
        </w:rPr>
        <w:t> </w:t>
      </w:r>
    </w:p>
    <w:p w14:paraId="7A43D5AC" w14:textId="0923A12A"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Azizi, </w:t>
      </w:r>
      <w:proofErr w:type="spellStart"/>
      <w:proofErr w:type="gramStart"/>
      <w:r w:rsidRPr="006C4C0E">
        <w:rPr>
          <w:rFonts w:ascii="Arial" w:hAnsi="Arial" w:cs="Arial"/>
          <w:color w:val="222222"/>
          <w:shd w:val="clear" w:color="auto" w:fill="FFFFFF"/>
        </w:rPr>
        <w:t>N.,</w:t>
      </w:r>
      <w:r w:rsidR="00FC6667">
        <w:rPr>
          <w:rFonts w:ascii="Arial" w:hAnsi="Arial" w:cs="Arial"/>
          <w:color w:val="222222"/>
          <w:shd w:val="clear" w:color="auto" w:fill="FFFFFF"/>
        </w:rPr>
        <w:t>et.al</w:t>
      </w:r>
      <w:proofErr w:type="spellEnd"/>
      <w:proofErr w:type="gramEnd"/>
      <w:r w:rsidR="008B7D28">
        <w:rPr>
          <w:rFonts w:ascii="Arial" w:hAnsi="Arial" w:cs="Arial"/>
          <w:color w:val="222222"/>
          <w:shd w:val="clear" w:color="auto" w:fill="FFFFFF"/>
        </w:rPr>
        <w:t>,</w:t>
      </w:r>
      <w:r w:rsidRPr="006C4C0E">
        <w:rPr>
          <w:rFonts w:ascii="Arial" w:hAnsi="Arial" w:cs="Arial"/>
          <w:color w:val="222222"/>
          <w:shd w:val="clear" w:color="auto" w:fill="FFFFFF"/>
        </w:rPr>
        <w:t xml:space="preserve"> (2025) ‘AI-driven process innovation: Transforming service start-ups in the digital age’, </w:t>
      </w:r>
      <w:r w:rsidRPr="006C4C0E">
        <w:rPr>
          <w:rFonts w:ascii="Arial" w:hAnsi="Arial" w:cs="Arial"/>
          <w:i/>
          <w:iCs/>
          <w:color w:val="222222"/>
          <w:shd w:val="clear" w:color="auto" w:fill="FFFFFF"/>
        </w:rPr>
        <w:t>Electronics</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(16), p.3240.</w:t>
      </w:r>
      <w:r w:rsidRPr="006C4C0E">
        <w:rPr>
          <w:rFonts w:ascii="Arial" w:hAnsi="Arial" w:cs="Arial"/>
          <w:color w:val="000000"/>
        </w:rPr>
        <w:t xml:space="preserve"> Available at: </w:t>
      </w:r>
      <w:hyperlink r:id="rId19" w:history="1">
        <w:r w:rsidRPr="006C4C0E">
          <w:rPr>
            <w:rStyle w:val="Hyperlink"/>
            <w:rFonts w:ascii="Arial" w:hAnsi="Arial" w:cs="Arial"/>
            <w:color w:val="1155CC"/>
          </w:rPr>
          <w:t>https://www.mdpi.com/2079-9292/14/16/3240</w:t>
        </w:r>
      </w:hyperlink>
      <w:r w:rsidRPr="006C4C0E">
        <w:rPr>
          <w:rFonts w:ascii="Arial" w:hAnsi="Arial" w:cs="Arial"/>
          <w:color w:val="000000"/>
        </w:rPr>
        <w:t> </w:t>
      </w:r>
    </w:p>
    <w:p w14:paraId="1769151B"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 Bandini, F., (2024) ‘The business development of a Startup and the market study of an AI innovative technology’. </w:t>
      </w:r>
      <w:r w:rsidRPr="006C4C0E">
        <w:rPr>
          <w:rFonts w:ascii="Arial" w:hAnsi="Arial" w:cs="Arial"/>
          <w:color w:val="000000"/>
        </w:rPr>
        <w:t>Available at:</w:t>
      </w:r>
      <w:r>
        <w:rPr>
          <w:rFonts w:ascii="Arial" w:hAnsi="Arial" w:cs="Arial"/>
          <w:color w:val="000000"/>
        </w:rPr>
        <w:t xml:space="preserve"> </w:t>
      </w:r>
      <w:hyperlink r:id="rId20" w:history="1">
        <w:r w:rsidRPr="006C4C0E">
          <w:rPr>
            <w:rStyle w:val="Hyperlink"/>
            <w:rFonts w:ascii="Arial" w:hAnsi="Arial" w:cs="Arial"/>
            <w:color w:val="1155CC"/>
            <w:shd w:val="clear" w:color="auto" w:fill="FFFFFF"/>
          </w:rPr>
          <w:t>https://unitesi.unive.it/bitstream/20.500.14247/8209/1/892171-1284003.pdf</w:t>
        </w:r>
      </w:hyperlink>
      <w:r w:rsidRPr="006C4C0E">
        <w:rPr>
          <w:rFonts w:ascii="Arial" w:hAnsi="Arial" w:cs="Arial"/>
          <w:color w:val="222222"/>
          <w:shd w:val="clear" w:color="auto" w:fill="FFFFFF"/>
        </w:rPr>
        <w:t> </w:t>
      </w:r>
    </w:p>
    <w:p w14:paraId="355B7CC2" w14:textId="43A25AFA" w:rsidR="006C4C0E" w:rsidRPr="006C4C0E" w:rsidRDefault="006C4C0E" w:rsidP="00B84D90">
      <w:pPr>
        <w:pStyle w:val="NormalWeb"/>
        <w:spacing w:before="0" w:beforeAutospacing="0" w:after="240" w:afterAutospacing="0" w:line="360" w:lineRule="auto"/>
        <w:jc w:val="both"/>
        <w:rPr>
          <w:rFonts w:ascii="Arial" w:hAnsi="Arial" w:cs="Arial"/>
        </w:rPr>
      </w:pPr>
      <w:proofErr w:type="spellStart"/>
      <w:r w:rsidRPr="006C4C0E">
        <w:rPr>
          <w:rFonts w:ascii="Arial" w:hAnsi="Arial" w:cs="Arial"/>
          <w:color w:val="222222"/>
          <w:shd w:val="clear" w:color="auto" w:fill="FFFFFF"/>
        </w:rPr>
        <w:t>Berniak-Woźny</w:t>
      </w:r>
      <w:proofErr w:type="spellEnd"/>
      <w:r w:rsidRPr="006C4C0E">
        <w:rPr>
          <w:rFonts w:ascii="Arial" w:hAnsi="Arial" w:cs="Arial"/>
          <w:color w:val="222222"/>
          <w:shd w:val="clear" w:color="auto" w:fill="FFFFFF"/>
        </w:rPr>
        <w:t xml:space="preserve">, </w:t>
      </w:r>
      <w:proofErr w:type="spellStart"/>
      <w:proofErr w:type="gramStart"/>
      <w:r w:rsidRPr="006C4C0E">
        <w:rPr>
          <w:rFonts w:ascii="Arial" w:hAnsi="Arial" w:cs="Arial"/>
          <w:color w:val="222222"/>
          <w:shd w:val="clear" w:color="auto" w:fill="FFFFFF"/>
        </w:rPr>
        <w:t>J.,</w:t>
      </w:r>
      <w:r w:rsidR="00876A52">
        <w:rPr>
          <w:rFonts w:ascii="Arial" w:hAnsi="Arial" w:cs="Arial"/>
          <w:color w:val="222222"/>
          <w:shd w:val="clear" w:color="auto" w:fill="FFFFFF"/>
        </w:rPr>
        <w:t>et.al</w:t>
      </w:r>
      <w:proofErr w:type="spellEnd"/>
      <w:proofErr w:type="gramEnd"/>
      <w:r w:rsidRPr="006C4C0E">
        <w:rPr>
          <w:rFonts w:ascii="Arial" w:hAnsi="Arial" w:cs="Arial"/>
          <w:color w:val="222222"/>
          <w:shd w:val="clear" w:color="auto" w:fill="FFFFFF"/>
        </w:rPr>
        <w:t xml:space="preserve">, (2025) ‘Empowering smart cities through start-ups: A sustainability framework for incubator-city collaboration’, </w:t>
      </w:r>
      <w:r w:rsidRPr="006C4C0E">
        <w:rPr>
          <w:rFonts w:ascii="Arial" w:hAnsi="Arial" w:cs="Arial"/>
          <w:i/>
          <w:iCs/>
          <w:color w:val="222222"/>
          <w:shd w:val="clear" w:color="auto" w:fill="FFFFFF"/>
        </w:rPr>
        <w:t>Systems</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13</w:t>
      </w:r>
      <w:r w:rsidRPr="006C4C0E">
        <w:rPr>
          <w:rFonts w:ascii="Arial" w:hAnsi="Arial" w:cs="Arial"/>
          <w:color w:val="222222"/>
          <w:shd w:val="clear" w:color="auto" w:fill="FFFFFF"/>
        </w:rPr>
        <w:t>(4), p.219.</w:t>
      </w:r>
      <w:r w:rsidRPr="006C4C0E">
        <w:rPr>
          <w:rFonts w:ascii="Arial" w:hAnsi="Arial" w:cs="Arial"/>
          <w:color w:val="000000"/>
        </w:rPr>
        <w:t xml:space="preserve">Available at:  </w:t>
      </w:r>
      <w:hyperlink r:id="rId21" w:history="1">
        <w:r w:rsidRPr="006C4C0E">
          <w:rPr>
            <w:rStyle w:val="Hyperlink"/>
            <w:rFonts w:ascii="Arial" w:hAnsi="Arial" w:cs="Arial"/>
            <w:color w:val="1155CC"/>
          </w:rPr>
          <w:t>https://www.mdpi.com/2079-8954/13/4/219</w:t>
        </w:r>
      </w:hyperlink>
      <w:r w:rsidRPr="006C4C0E">
        <w:rPr>
          <w:rFonts w:ascii="Arial" w:hAnsi="Arial" w:cs="Arial"/>
          <w:color w:val="000000"/>
        </w:rPr>
        <w:t> </w:t>
      </w:r>
    </w:p>
    <w:p w14:paraId="11CDF10D" w14:textId="2F6EBAD9" w:rsidR="006C4C0E" w:rsidRPr="007564FD" w:rsidRDefault="006C4C0E" w:rsidP="00B84D90">
      <w:pPr>
        <w:pStyle w:val="NormalWeb"/>
        <w:spacing w:before="240" w:beforeAutospacing="0" w:after="240" w:afterAutospacing="0" w:line="360" w:lineRule="auto"/>
        <w:jc w:val="both"/>
        <w:rPr>
          <w:rFonts w:ascii="Arial" w:hAnsi="Arial" w:cs="Arial"/>
          <w:color w:val="222222"/>
          <w:shd w:val="clear" w:color="auto" w:fill="FFFFFF"/>
        </w:rPr>
      </w:pPr>
      <w:proofErr w:type="spellStart"/>
      <w:r w:rsidRPr="006C4C0E">
        <w:rPr>
          <w:rFonts w:ascii="Arial" w:hAnsi="Arial" w:cs="Arial"/>
          <w:color w:val="222222"/>
          <w:shd w:val="clear" w:color="auto" w:fill="FFFFFF"/>
        </w:rPr>
        <w:t>Bildirici</w:t>
      </w:r>
      <w:proofErr w:type="spellEnd"/>
      <w:r w:rsidRPr="006C4C0E">
        <w:rPr>
          <w:rFonts w:ascii="Arial" w:hAnsi="Arial" w:cs="Arial"/>
          <w:color w:val="222222"/>
          <w:shd w:val="clear" w:color="auto" w:fill="FFFFFF"/>
        </w:rPr>
        <w:t xml:space="preserve">, </w:t>
      </w:r>
      <w:proofErr w:type="spellStart"/>
      <w:proofErr w:type="gramStart"/>
      <w:r w:rsidRPr="006C4C0E">
        <w:rPr>
          <w:rFonts w:ascii="Arial" w:hAnsi="Arial" w:cs="Arial"/>
          <w:color w:val="222222"/>
          <w:shd w:val="clear" w:color="auto" w:fill="FFFFFF"/>
        </w:rPr>
        <w:t>F.,</w:t>
      </w:r>
      <w:r w:rsidR="00345988">
        <w:rPr>
          <w:rFonts w:ascii="Arial" w:hAnsi="Arial" w:cs="Arial"/>
          <w:color w:val="222222"/>
          <w:shd w:val="clear" w:color="auto" w:fill="FFFFFF"/>
        </w:rPr>
        <w:t>et</w:t>
      </w:r>
      <w:r w:rsidR="00CC6B1D">
        <w:rPr>
          <w:rFonts w:ascii="Arial" w:hAnsi="Arial" w:cs="Arial"/>
          <w:color w:val="222222"/>
          <w:shd w:val="clear" w:color="auto" w:fill="FFFFFF"/>
        </w:rPr>
        <w:t>.al</w:t>
      </w:r>
      <w:proofErr w:type="spellEnd"/>
      <w:proofErr w:type="gramEnd"/>
      <w:r w:rsidRPr="006C4C0E">
        <w:rPr>
          <w:rFonts w:ascii="Arial" w:hAnsi="Arial" w:cs="Arial"/>
          <w:color w:val="222222"/>
          <w:shd w:val="clear" w:color="auto" w:fill="FFFFFF"/>
        </w:rPr>
        <w:t xml:space="preserve">, (2025) ‘Artificial intelligence supported career platform model: A proposal for adaptive development in companies and talents’, </w:t>
      </w:r>
      <w:r w:rsidRPr="006C4C0E">
        <w:rPr>
          <w:rFonts w:ascii="Arial" w:hAnsi="Arial" w:cs="Arial"/>
          <w:i/>
          <w:iCs/>
          <w:color w:val="222222"/>
          <w:shd w:val="clear" w:color="auto" w:fill="FFFFFF"/>
        </w:rPr>
        <w:t xml:space="preserve">Kamu </w:t>
      </w:r>
      <w:proofErr w:type="spellStart"/>
      <w:r w:rsidRPr="006C4C0E">
        <w:rPr>
          <w:rFonts w:ascii="Arial" w:hAnsi="Arial" w:cs="Arial"/>
          <w:i/>
          <w:iCs/>
          <w:color w:val="222222"/>
          <w:shd w:val="clear" w:color="auto" w:fill="FFFFFF"/>
        </w:rPr>
        <w:t>Yönetimi ve Teknoloji</w:t>
      </w:r>
      <w:proofErr w:type="spellEnd"/>
      <w:r w:rsidRPr="006C4C0E">
        <w:rPr>
          <w:rFonts w:ascii="Arial" w:hAnsi="Arial" w:cs="Arial"/>
          <w:i/>
          <w:iCs/>
          <w:color w:val="222222"/>
          <w:shd w:val="clear" w:color="auto" w:fill="FFFFFF"/>
        </w:rPr>
        <w:t xml:space="preserve"> </w:t>
      </w:r>
      <w:proofErr w:type="spellStart"/>
      <w:r w:rsidRPr="006C4C0E">
        <w:rPr>
          <w:rFonts w:ascii="Arial" w:hAnsi="Arial" w:cs="Arial"/>
          <w:i/>
          <w:iCs/>
          <w:color w:val="222222"/>
          <w:shd w:val="clear" w:color="auto" w:fill="FFFFFF"/>
        </w:rPr>
        <w:t>Dergisi</w:t>
      </w:r>
      <w:proofErr w:type="spellEnd"/>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7</w:t>
      </w:r>
      <w:r w:rsidRPr="006C4C0E">
        <w:rPr>
          <w:rFonts w:ascii="Arial" w:hAnsi="Arial" w:cs="Arial"/>
          <w:color w:val="222222"/>
          <w:shd w:val="clear" w:color="auto" w:fill="FFFFFF"/>
        </w:rPr>
        <w:t>(2), pp.209-230.</w:t>
      </w:r>
      <w:r w:rsidRPr="006C4C0E">
        <w:rPr>
          <w:rFonts w:ascii="Arial" w:hAnsi="Arial" w:cs="Arial"/>
          <w:color w:val="000000"/>
        </w:rPr>
        <w:t xml:space="preserve"> Available At:</w:t>
      </w:r>
      <w:hyperlink r:id="rId22" w:history="1">
        <w:r w:rsidRPr="006C4C0E">
          <w:rPr>
            <w:rStyle w:val="Hyperlink"/>
            <w:rFonts w:ascii="Arial" w:hAnsi="Arial" w:cs="Arial"/>
            <w:color w:val="000000"/>
          </w:rPr>
          <w:t xml:space="preserve"> </w:t>
        </w:r>
        <w:r w:rsidRPr="006C4C0E">
          <w:rPr>
            <w:rStyle w:val="Hyperlink"/>
            <w:rFonts w:ascii="Arial" w:hAnsi="Arial" w:cs="Arial"/>
            <w:color w:val="1155CC"/>
          </w:rPr>
          <w:t>https://dergipark.org.tr/en/download/article-file/5149117</w:t>
        </w:r>
      </w:hyperlink>
      <w:r w:rsidRPr="006C4C0E">
        <w:rPr>
          <w:rFonts w:ascii="Arial" w:hAnsi="Arial" w:cs="Arial"/>
          <w:color w:val="000000"/>
        </w:rPr>
        <w:t> </w:t>
      </w:r>
    </w:p>
    <w:p w14:paraId="24A539A5" w14:textId="6F488DE1"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Chowdhury, </w:t>
      </w:r>
      <w:proofErr w:type="spellStart"/>
      <w:proofErr w:type="gramStart"/>
      <w:r w:rsidRPr="006C4C0E">
        <w:rPr>
          <w:rFonts w:ascii="Arial" w:hAnsi="Arial" w:cs="Arial"/>
          <w:color w:val="222222"/>
          <w:shd w:val="clear" w:color="auto" w:fill="FFFFFF"/>
        </w:rPr>
        <w:t>S.,</w:t>
      </w:r>
      <w:r w:rsidR="00CC6B1D">
        <w:rPr>
          <w:rFonts w:ascii="Arial" w:hAnsi="Arial" w:cs="Arial"/>
          <w:color w:val="222222"/>
          <w:shd w:val="clear" w:color="auto" w:fill="FFFFFF"/>
        </w:rPr>
        <w:t>et.</w:t>
      </w:r>
      <w:r w:rsidR="008521CB">
        <w:rPr>
          <w:rFonts w:ascii="Arial" w:hAnsi="Arial" w:cs="Arial"/>
          <w:color w:val="222222"/>
          <w:shd w:val="clear" w:color="auto" w:fill="FFFFFF"/>
        </w:rPr>
        <w:t>al</w:t>
      </w:r>
      <w:proofErr w:type="spellEnd"/>
      <w:proofErr w:type="gramEnd"/>
      <w:r w:rsidRPr="006C4C0E">
        <w:rPr>
          <w:rFonts w:ascii="Arial" w:hAnsi="Arial" w:cs="Arial"/>
          <w:color w:val="222222"/>
          <w:shd w:val="clear" w:color="auto" w:fill="FFFFFF"/>
        </w:rPr>
        <w:t xml:space="preserve">, (2022) ‘AI-employee collaboration and business performance: Integrating knowledge-based view, socio-technical systems and organisational socialisation framework’, </w:t>
      </w:r>
      <w:r w:rsidRPr="006C4C0E">
        <w:rPr>
          <w:rFonts w:ascii="Arial" w:hAnsi="Arial" w:cs="Arial"/>
          <w:i/>
          <w:iCs/>
          <w:color w:val="222222"/>
          <w:shd w:val="clear" w:color="auto" w:fill="FFFFFF"/>
        </w:rPr>
        <w:t>Journal of business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144</w:t>
      </w:r>
      <w:r w:rsidRPr="006C4C0E">
        <w:rPr>
          <w:rFonts w:ascii="Arial" w:hAnsi="Arial" w:cs="Arial"/>
          <w:color w:val="222222"/>
          <w:shd w:val="clear" w:color="auto" w:fill="FFFFFF"/>
        </w:rPr>
        <w:t>, pp.31-49.</w:t>
      </w:r>
      <w:r w:rsidRPr="006C4C0E">
        <w:rPr>
          <w:rFonts w:ascii="Arial" w:hAnsi="Arial" w:cs="Arial"/>
          <w:color w:val="000000"/>
        </w:rPr>
        <w:t xml:space="preserve"> Available at: </w:t>
      </w:r>
      <w:hyperlink r:id="rId23" w:history="1">
        <w:r w:rsidRPr="006C4C0E">
          <w:rPr>
            <w:rStyle w:val="Hyperlink"/>
            <w:rFonts w:ascii="Arial" w:hAnsi="Arial" w:cs="Arial"/>
            <w:color w:val="1155CC"/>
          </w:rPr>
          <w:t>https://nul.repository.guildhe.ac.uk/id/eprint/1138/1/1-s2.0-S0148296322000819-main.pdf</w:t>
        </w:r>
      </w:hyperlink>
      <w:r w:rsidRPr="006C4C0E">
        <w:rPr>
          <w:rFonts w:ascii="Arial" w:hAnsi="Arial" w:cs="Arial"/>
          <w:color w:val="000000"/>
        </w:rPr>
        <w:t> </w:t>
      </w:r>
    </w:p>
    <w:p w14:paraId="71A13213"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Costantini, A., (2024) ‘Rethinking work: How approach and avoidance features of cognitive crafting are linked with job crafting </w:t>
      </w:r>
      <w:proofErr w:type="spellStart"/>
      <w:r w:rsidRPr="006C4C0E">
        <w:rPr>
          <w:rFonts w:ascii="Arial" w:hAnsi="Arial" w:cs="Arial"/>
          <w:color w:val="222222"/>
          <w:shd w:val="clear" w:color="auto" w:fill="FFFFFF"/>
        </w:rPr>
        <w:t>behaviors</w:t>
      </w:r>
      <w:proofErr w:type="spellEnd"/>
      <w:r w:rsidRPr="006C4C0E">
        <w:rPr>
          <w:rFonts w:ascii="Arial" w:hAnsi="Arial" w:cs="Arial"/>
          <w:color w:val="222222"/>
          <w:shd w:val="clear" w:color="auto" w:fill="FFFFFF"/>
        </w:rPr>
        <w:t xml:space="preserve"> and work engagement’, </w:t>
      </w:r>
      <w:r w:rsidRPr="006C4C0E">
        <w:rPr>
          <w:rFonts w:ascii="Arial" w:hAnsi="Arial" w:cs="Arial"/>
          <w:i/>
          <w:iCs/>
          <w:color w:val="222222"/>
          <w:shd w:val="clear" w:color="auto" w:fill="FFFFFF"/>
        </w:rPr>
        <w:t>Journal of Management &amp; Organization</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30</w:t>
      </w:r>
      <w:r w:rsidRPr="006C4C0E">
        <w:rPr>
          <w:rFonts w:ascii="Arial" w:hAnsi="Arial" w:cs="Arial"/>
          <w:color w:val="222222"/>
          <w:shd w:val="clear" w:color="auto" w:fill="FFFFFF"/>
        </w:rPr>
        <w:t>(5), pp.1499-1519.</w:t>
      </w:r>
      <w:r w:rsidRPr="006C4C0E">
        <w:rPr>
          <w:rFonts w:ascii="Arial" w:hAnsi="Arial" w:cs="Arial"/>
          <w:color w:val="000000"/>
        </w:rPr>
        <w:t>  Available At:</w:t>
      </w:r>
      <w:hyperlink r:id="rId24" w:history="1">
        <w:r w:rsidRPr="006C4C0E">
          <w:rPr>
            <w:rStyle w:val="Hyperlink"/>
            <w:rFonts w:ascii="Arial" w:hAnsi="Arial" w:cs="Arial"/>
            <w:color w:val="000000"/>
          </w:rPr>
          <w:t xml:space="preserve"> </w:t>
        </w:r>
        <w:r w:rsidRPr="006C4C0E">
          <w:rPr>
            <w:rStyle w:val="Hyperlink"/>
            <w:rFonts w:ascii="Arial" w:hAnsi="Arial" w:cs="Arial"/>
            <w:color w:val="1155CC"/>
          </w:rPr>
          <w:t>https://www.cambridge.org/core/services/aop-cambridge-core/content/view/76BCD9F8910E29604C0E009EEB44760B/S1833367222000797a</w:t>
        </w:r>
        <w:r w:rsidRPr="006C4C0E">
          <w:rPr>
            <w:rStyle w:val="Hyperlink"/>
            <w:rFonts w:ascii="Arial" w:hAnsi="Arial" w:cs="Arial"/>
            <w:color w:val="1155CC"/>
          </w:rPr>
          <w:lastRenderedPageBreak/>
          <w:t>.pdf/rethinking_work_how_approach_and_avoidance_features_of_cognitive_crafting_are_linked_with_job_crafting_behaviors_and_work_engagement.pdf</w:t>
        </w:r>
      </w:hyperlink>
      <w:r w:rsidRPr="006C4C0E">
        <w:rPr>
          <w:rFonts w:ascii="Arial" w:hAnsi="Arial" w:cs="Arial"/>
          <w:color w:val="000000"/>
        </w:rPr>
        <w:t> </w:t>
      </w:r>
    </w:p>
    <w:p w14:paraId="500AF983"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Cuofano., G (2024). </w:t>
      </w:r>
      <w:r w:rsidRPr="006C4C0E">
        <w:rPr>
          <w:rFonts w:ascii="Arial" w:hAnsi="Arial" w:cs="Arial"/>
          <w:i/>
          <w:iCs/>
          <w:color w:val="000000"/>
        </w:rPr>
        <w:t xml:space="preserve">What is a psychological </w:t>
      </w:r>
      <w:proofErr w:type="gramStart"/>
      <w:r w:rsidRPr="006C4C0E">
        <w:rPr>
          <w:rFonts w:ascii="Arial" w:hAnsi="Arial" w:cs="Arial"/>
          <w:i/>
          <w:iCs/>
          <w:color w:val="000000"/>
        </w:rPr>
        <w:t>contract?.</w:t>
      </w:r>
      <w:proofErr w:type="gramEnd"/>
      <w:r w:rsidRPr="006C4C0E">
        <w:rPr>
          <w:rFonts w:ascii="Arial" w:hAnsi="Arial" w:cs="Arial"/>
          <w:color w:val="000000"/>
        </w:rPr>
        <w:t xml:space="preserve"> Available at:</w:t>
      </w:r>
      <w:r>
        <w:rPr>
          <w:rFonts w:ascii="Arial" w:hAnsi="Arial" w:cs="Arial"/>
          <w:color w:val="000000"/>
        </w:rPr>
        <w:t xml:space="preserve"> </w:t>
      </w:r>
      <w:hyperlink r:id="rId25" w:history="1">
        <w:r w:rsidRPr="006C4C0E">
          <w:rPr>
            <w:rStyle w:val="Hyperlink"/>
            <w:rFonts w:ascii="Arial" w:hAnsi="Arial" w:cs="Arial"/>
            <w:color w:val="1155CC"/>
          </w:rPr>
          <w:t>https://fourweekmba.com/psychological-contract/</w:t>
        </w:r>
      </w:hyperlink>
      <w:r w:rsidRPr="006C4C0E">
        <w:rPr>
          <w:rFonts w:ascii="Arial" w:hAnsi="Arial" w:cs="Arial"/>
          <w:color w:val="000000"/>
        </w:rPr>
        <w:t xml:space="preserve"> (Accessed </w:t>
      </w:r>
      <w:proofErr w:type="gramStart"/>
      <w:r w:rsidRPr="006C4C0E">
        <w:rPr>
          <w:rFonts w:ascii="Arial" w:hAnsi="Arial" w:cs="Arial"/>
          <w:color w:val="000000"/>
        </w:rPr>
        <w:t>on:</w:t>
      </w:r>
      <w:proofErr w:type="gramEnd"/>
      <w:r w:rsidRPr="006C4C0E">
        <w:rPr>
          <w:rFonts w:ascii="Arial" w:hAnsi="Arial" w:cs="Arial"/>
          <w:color w:val="000000"/>
        </w:rPr>
        <w:t xml:space="preserve"> 13 </w:t>
      </w:r>
      <w:proofErr w:type="gramStart"/>
      <w:r w:rsidRPr="006C4C0E">
        <w:rPr>
          <w:rFonts w:ascii="Arial" w:hAnsi="Arial" w:cs="Arial"/>
          <w:color w:val="000000"/>
        </w:rPr>
        <w:t>July,</w:t>
      </w:r>
      <w:proofErr w:type="gramEnd"/>
      <w:r w:rsidRPr="006C4C0E">
        <w:rPr>
          <w:rFonts w:ascii="Arial" w:hAnsi="Arial" w:cs="Arial"/>
          <w:color w:val="000000"/>
        </w:rPr>
        <w:t xml:space="preserve"> 2026)</w:t>
      </w:r>
    </w:p>
    <w:p w14:paraId="5013051C"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000000"/>
        </w:rPr>
        <w:t xml:space="preserve">Delphis, (2020), </w:t>
      </w:r>
      <w:r w:rsidRPr="006C4C0E">
        <w:rPr>
          <w:rFonts w:ascii="Arial" w:hAnsi="Arial" w:cs="Arial"/>
          <w:i/>
          <w:iCs/>
          <w:color w:val="000000"/>
        </w:rPr>
        <w:t>Job crafting for Managers</w:t>
      </w:r>
      <w:r w:rsidRPr="006C4C0E">
        <w:rPr>
          <w:rFonts w:ascii="Arial" w:hAnsi="Arial" w:cs="Arial"/>
          <w:color w:val="000000"/>
        </w:rPr>
        <w:t>, Available At:</w:t>
      </w:r>
      <w:hyperlink r:id="rId26" w:history="1">
        <w:r w:rsidRPr="006C4C0E">
          <w:rPr>
            <w:rStyle w:val="Hyperlink"/>
            <w:rFonts w:ascii="Arial" w:hAnsi="Arial" w:cs="Arial"/>
            <w:color w:val="000000"/>
          </w:rPr>
          <w:t xml:space="preserve"> </w:t>
        </w:r>
        <w:r w:rsidRPr="006C4C0E">
          <w:rPr>
            <w:rStyle w:val="Hyperlink"/>
            <w:rFonts w:ascii="Arial" w:hAnsi="Arial" w:cs="Arial"/>
            <w:color w:val="1155CC"/>
          </w:rPr>
          <w:t>https://delphis.org.uk/peak-performance/job-crafting-for-managers/</w:t>
        </w:r>
      </w:hyperlink>
      <w:r w:rsidRPr="006C4C0E">
        <w:rPr>
          <w:rFonts w:ascii="Arial" w:hAnsi="Arial" w:cs="Arial"/>
          <w:color w:val="000000"/>
        </w:rPr>
        <w:t xml:space="preserve"> (Accessed on 13 </w:t>
      </w:r>
      <w:proofErr w:type="spellStart"/>
      <w:r w:rsidRPr="006C4C0E">
        <w:rPr>
          <w:rFonts w:ascii="Arial" w:hAnsi="Arial" w:cs="Arial"/>
          <w:color w:val="000000"/>
        </w:rPr>
        <w:t>th</w:t>
      </w:r>
      <w:proofErr w:type="spellEnd"/>
      <w:r w:rsidRPr="006C4C0E">
        <w:rPr>
          <w:rFonts w:ascii="Arial" w:hAnsi="Arial" w:cs="Arial"/>
          <w:color w:val="000000"/>
        </w:rPr>
        <w:t xml:space="preserve"> </w:t>
      </w:r>
      <w:proofErr w:type="gramStart"/>
      <w:r w:rsidRPr="006C4C0E">
        <w:rPr>
          <w:rFonts w:ascii="Arial" w:hAnsi="Arial" w:cs="Arial"/>
          <w:color w:val="000000"/>
        </w:rPr>
        <w:t>July,</w:t>
      </w:r>
      <w:proofErr w:type="gramEnd"/>
      <w:r w:rsidRPr="006C4C0E">
        <w:rPr>
          <w:rFonts w:ascii="Arial" w:hAnsi="Arial" w:cs="Arial"/>
          <w:color w:val="000000"/>
        </w:rPr>
        <w:t xml:space="preserve"> 2026)</w:t>
      </w:r>
    </w:p>
    <w:p w14:paraId="04B7D9F1"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Latham, G.P., (2023) ‘Motivate employee performance through goal setting’, </w:t>
      </w:r>
      <w:r w:rsidRPr="006C4C0E">
        <w:rPr>
          <w:rFonts w:ascii="Arial" w:hAnsi="Arial" w:cs="Arial"/>
          <w:i/>
          <w:iCs/>
          <w:color w:val="222222"/>
          <w:shd w:val="clear" w:color="auto" w:fill="FFFFFF"/>
        </w:rPr>
        <w:t xml:space="preserve">Principles of organizational </w:t>
      </w:r>
      <w:proofErr w:type="spellStart"/>
      <w:r w:rsidRPr="006C4C0E">
        <w:rPr>
          <w:rFonts w:ascii="Arial" w:hAnsi="Arial" w:cs="Arial"/>
          <w:i/>
          <w:iCs/>
          <w:color w:val="222222"/>
          <w:shd w:val="clear" w:color="auto" w:fill="FFFFFF"/>
        </w:rPr>
        <w:t>behavior</w:t>
      </w:r>
      <w:proofErr w:type="spellEnd"/>
      <w:r w:rsidRPr="006C4C0E">
        <w:rPr>
          <w:rFonts w:ascii="Arial" w:hAnsi="Arial" w:cs="Arial"/>
          <w:i/>
          <w:iCs/>
          <w:color w:val="222222"/>
          <w:shd w:val="clear" w:color="auto" w:fill="FFFFFF"/>
        </w:rPr>
        <w:t>: the handbook of evidence</w:t>
      </w:r>
      <w:r w:rsidRPr="006C4C0E">
        <w:rPr>
          <w:rFonts w:ascii="Cambria Math" w:hAnsi="Cambria Math" w:cs="Cambria Math"/>
          <w:i/>
          <w:iCs/>
          <w:color w:val="222222"/>
          <w:shd w:val="clear" w:color="auto" w:fill="FFFFFF"/>
        </w:rPr>
        <w:t>‐</w:t>
      </w:r>
      <w:r w:rsidRPr="006C4C0E">
        <w:rPr>
          <w:rFonts w:ascii="Arial" w:hAnsi="Arial" w:cs="Arial"/>
          <w:i/>
          <w:iCs/>
          <w:color w:val="222222"/>
          <w:shd w:val="clear" w:color="auto" w:fill="FFFFFF"/>
        </w:rPr>
        <w:t>based management 3rd Edition</w:t>
      </w:r>
      <w:r w:rsidRPr="006C4C0E">
        <w:rPr>
          <w:rFonts w:ascii="Arial" w:hAnsi="Arial" w:cs="Arial"/>
          <w:color w:val="222222"/>
          <w:shd w:val="clear" w:color="auto" w:fill="FFFFFF"/>
        </w:rPr>
        <w:t>, pp.83-111.</w:t>
      </w:r>
      <w:r w:rsidRPr="006C4C0E">
        <w:rPr>
          <w:rFonts w:ascii="Arial" w:hAnsi="Arial" w:cs="Arial"/>
          <w:color w:val="000000"/>
        </w:rPr>
        <w:t>  Available At:</w:t>
      </w:r>
      <w:hyperlink r:id="rId27" w:anchor="page=193" w:history="1">
        <w:r w:rsidRPr="006C4C0E">
          <w:rPr>
            <w:rStyle w:val="Hyperlink"/>
            <w:rFonts w:ascii="Arial" w:hAnsi="Arial" w:cs="Arial"/>
            <w:color w:val="000000"/>
          </w:rPr>
          <w:t xml:space="preserve"> </w:t>
        </w:r>
        <w:r w:rsidRPr="006C4C0E">
          <w:rPr>
            <w:rStyle w:val="Hyperlink"/>
            <w:rFonts w:ascii="Arial" w:hAnsi="Arial" w:cs="Arial"/>
            <w:color w:val="1155CC"/>
          </w:rPr>
          <w:t>https://new.zodml.org/sites/default/files/2023-08/epdf.pub_handbook-of-principles-of-organizational-behavior-.pdf#page=193</w:t>
        </w:r>
      </w:hyperlink>
      <w:r w:rsidRPr="006C4C0E">
        <w:rPr>
          <w:rFonts w:ascii="Arial" w:hAnsi="Arial" w:cs="Arial"/>
          <w:color w:val="000000"/>
        </w:rPr>
        <w:t> </w:t>
      </w:r>
    </w:p>
    <w:p w14:paraId="1C30B311" w14:textId="77777777"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Li, W., (2025) ‘A study on factors influencing designers’ </w:t>
      </w:r>
      <w:proofErr w:type="spellStart"/>
      <w:r w:rsidRPr="006C4C0E">
        <w:rPr>
          <w:rFonts w:ascii="Arial" w:hAnsi="Arial" w:cs="Arial"/>
          <w:color w:val="222222"/>
          <w:shd w:val="clear" w:color="auto" w:fill="FFFFFF"/>
        </w:rPr>
        <w:t>behavioral</w:t>
      </w:r>
      <w:proofErr w:type="spellEnd"/>
      <w:r w:rsidRPr="006C4C0E">
        <w:rPr>
          <w:rFonts w:ascii="Arial" w:hAnsi="Arial" w:cs="Arial"/>
          <w:color w:val="222222"/>
          <w:shd w:val="clear" w:color="auto" w:fill="FFFFFF"/>
        </w:rPr>
        <w:t xml:space="preserve"> intention in using AI-generated content for assisted design: Perceived anxiety, perceived risk, and UTAUT’, </w:t>
      </w:r>
      <w:r w:rsidRPr="006C4C0E">
        <w:rPr>
          <w:rFonts w:ascii="Arial" w:hAnsi="Arial" w:cs="Arial"/>
          <w:i/>
          <w:iCs/>
          <w:color w:val="222222"/>
          <w:shd w:val="clear" w:color="auto" w:fill="FFFFFF"/>
        </w:rPr>
        <w:t>International Journal of Human–Computer Interaction</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41</w:t>
      </w:r>
      <w:r w:rsidRPr="006C4C0E">
        <w:rPr>
          <w:rFonts w:ascii="Arial" w:hAnsi="Arial" w:cs="Arial"/>
          <w:color w:val="222222"/>
          <w:shd w:val="clear" w:color="auto" w:fill="FFFFFF"/>
        </w:rPr>
        <w:t>(2), pp.1064-1077.</w:t>
      </w:r>
      <w:r w:rsidRPr="006C4C0E">
        <w:rPr>
          <w:rFonts w:ascii="Arial" w:hAnsi="Arial" w:cs="Arial"/>
          <w:color w:val="000000"/>
        </w:rPr>
        <w:t>  Available At:</w:t>
      </w:r>
      <w:hyperlink r:id="rId28" w:history="1">
        <w:r w:rsidRPr="006C4C0E">
          <w:rPr>
            <w:rStyle w:val="Hyperlink"/>
            <w:rFonts w:ascii="Arial" w:hAnsi="Arial" w:cs="Arial"/>
            <w:color w:val="000000"/>
          </w:rPr>
          <w:t xml:space="preserve"> </w:t>
        </w:r>
        <w:r w:rsidRPr="006C4C0E">
          <w:rPr>
            <w:rStyle w:val="Hyperlink"/>
            <w:rFonts w:ascii="Arial" w:hAnsi="Arial" w:cs="Arial"/>
            <w:color w:val="1155CC"/>
          </w:rPr>
          <w:t>https://www.tandfonline.com/doi/pdf/10.1080/10447318.2024.2310354</w:t>
        </w:r>
      </w:hyperlink>
      <w:r w:rsidRPr="006C4C0E">
        <w:rPr>
          <w:rFonts w:ascii="Arial" w:hAnsi="Arial" w:cs="Arial"/>
          <w:color w:val="000000"/>
        </w:rPr>
        <w:t> </w:t>
      </w:r>
    </w:p>
    <w:p w14:paraId="135255B7"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Nguyen, M.H. and Ngo, X.M., (2025) ‘An activity theory perspective on Vietnamese preservice English teachers’ identity construction in relation to tensions, emotion and agency’, </w:t>
      </w:r>
      <w:r w:rsidRPr="006C4C0E">
        <w:rPr>
          <w:rFonts w:ascii="Arial" w:hAnsi="Arial" w:cs="Arial"/>
          <w:i/>
          <w:iCs/>
          <w:color w:val="222222"/>
          <w:shd w:val="clear" w:color="auto" w:fill="FFFFFF"/>
        </w:rPr>
        <w:t>Language Teaching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29</w:t>
      </w:r>
      <w:r w:rsidRPr="006C4C0E">
        <w:rPr>
          <w:rFonts w:ascii="Arial" w:hAnsi="Arial" w:cs="Arial"/>
          <w:color w:val="222222"/>
          <w:shd w:val="clear" w:color="auto" w:fill="FFFFFF"/>
        </w:rPr>
        <w:t>(8), pp.3486-3506.</w:t>
      </w:r>
      <w:r w:rsidRPr="006C4C0E">
        <w:rPr>
          <w:rFonts w:ascii="Arial" w:hAnsi="Arial" w:cs="Arial"/>
          <w:color w:val="000000"/>
        </w:rPr>
        <w:t xml:space="preserve"> Available at:</w:t>
      </w:r>
      <w:r>
        <w:rPr>
          <w:rFonts w:ascii="Arial" w:hAnsi="Arial" w:cs="Arial"/>
          <w:color w:val="000000"/>
        </w:rPr>
        <w:t xml:space="preserve"> </w:t>
      </w:r>
      <w:hyperlink r:id="rId29" w:history="1">
        <w:r w:rsidRPr="006C4C0E">
          <w:rPr>
            <w:rStyle w:val="Hyperlink"/>
            <w:rFonts w:ascii="Arial" w:hAnsi="Arial" w:cs="Arial"/>
            <w:color w:val="1155CC"/>
          </w:rPr>
          <w:t>https://journals.sagepub.com/doi/pdf/10.1177/13621688221151046</w:t>
        </w:r>
      </w:hyperlink>
      <w:r w:rsidRPr="006C4C0E">
        <w:rPr>
          <w:rFonts w:ascii="Arial" w:hAnsi="Arial" w:cs="Arial"/>
          <w:color w:val="000000"/>
        </w:rPr>
        <w:t> </w:t>
      </w:r>
    </w:p>
    <w:p w14:paraId="58AF0C58" w14:textId="48A50CB9"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Omar, </w:t>
      </w:r>
      <w:proofErr w:type="spellStart"/>
      <w:proofErr w:type="gramStart"/>
      <w:r w:rsidRPr="006C4C0E">
        <w:rPr>
          <w:rFonts w:ascii="Arial" w:hAnsi="Arial" w:cs="Arial"/>
          <w:color w:val="222222"/>
          <w:shd w:val="clear" w:color="auto" w:fill="FFFFFF"/>
        </w:rPr>
        <w:t>E.N.,</w:t>
      </w:r>
      <w:r w:rsidR="00A60604">
        <w:rPr>
          <w:rFonts w:ascii="Arial" w:hAnsi="Arial" w:cs="Arial"/>
          <w:color w:val="222222"/>
          <w:shd w:val="clear" w:color="auto" w:fill="FFFFFF"/>
        </w:rPr>
        <w:t>et.al</w:t>
      </w:r>
      <w:proofErr w:type="spellEnd"/>
      <w:proofErr w:type="gramEnd"/>
      <w:r w:rsidRPr="006C4C0E">
        <w:rPr>
          <w:rFonts w:ascii="Arial" w:hAnsi="Arial" w:cs="Arial"/>
          <w:color w:val="222222"/>
          <w:shd w:val="clear" w:color="auto" w:fill="FFFFFF"/>
        </w:rPr>
        <w:t xml:space="preserve">, (2022) ‘The Influence of Job Characteristics towards Job Outcomes among the Employees’, </w:t>
      </w:r>
      <w:r w:rsidRPr="006C4C0E">
        <w:rPr>
          <w:rFonts w:ascii="Arial" w:hAnsi="Arial" w:cs="Arial"/>
          <w:i/>
          <w:iCs/>
          <w:color w:val="222222"/>
          <w:shd w:val="clear" w:color="auto" w:fill="FFFFFF"/>
        </w:rPr>
        <w:t>Global Business and Management Research</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(4s), pp.50-57.</w:t>
      </w:r>
      <w:r w:rsidRPr="006C4C0E">
        <w:rPr>
          <w:rFonts w:ascii="Arial" w:hAnsi="Arial" w:cs="Arial"/>
          <w:color w:val="000000"/>
        </w:rPr>
        <w:t xml:space="preserve"> Available at:</w:t>
      </w:r>
      <w:hyperlink r:id="rId30" w:history="1">
        <w:r w:rsidRPr="006C4C0E">
          <w:rPr>
            <w:rStyle w:val="Hyperlink"/>
            <w:rFonts w:ascii="Arial" w:hAnsi="Arial" w:cs="Arial"/>
            <w:color w:val="000000"/>
          </w:rPr>
          <w:t xml:space="preserve"> </w:t>
        </w:r>
        <w:r w:rsidRPr="006C4C0E">
          <w:rPr>
            <w:rStyle w:val="Hyperlink"/>
            <w:rFonts w:ascii="Arial" w:hAnsi="Arial" w:cs="Arial"/>
            <w:color w:val="1155CC"/>
          </w:rPr>
          <w:t>http://www.gbmrjournal.com/pdf/v14n4s/V14N4s-5.pdf</w:t>
        </w:r>
      </w:hyperlink>
      <w:r w:rsidRPr="006C4C0E">
        <w:rPr>
          <w:rFonts w:ascii="Arial" w:hAnsi="Arial" w:cs="Arial"/>
          <w:color w:val="000000"/>
        </w:rPr>
        <w:t> </w:t>
      </w:r>
    </w:p>
    <w:p w14:paraId="4E797505"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Petrov, V., (2024) ‘September. The Smart Transport as a Part of Smart Cities: A START-UP Project Survey of Training Needs’, In </w:t>
      </w:r>
      <w:r w:rsidRPr="006C4C0E">
        <w:rPr>
          <w:rFonts w:ascii="Arial" w:hAnsi="Arial" w:cs="Arial"/>
          <w:i/>
          <w:iCs/>
          <w:color w:val="222222"/>
          <w:shd w:val="clear" w:color="auto" w:fill="FFFFFF"/>
        </w:rPr>
        <w:t>Conference on Sustainable Urban Mobility</w:t>
      </w:r>
      <w:r w:rsidRPr="006C4C0E">
        <w:rPr>
          <w:rFonts w:ascii="Arial" w:hAnsi="Arial" w:cs="Arial"/>
          <w:color w:val="222222"/>
          <w:shd w:val="clear" w:color="auto" w:fill="FFFFFF"/>
        </w:rPr>
        <w:t xml:space="preserve"> (pp. 291-300). Cham: Springer Nature Switzerland.</w:t>
      </w:r>
      <w:r w:rsidRPr="006C4C0E">
        <w:rPr>
          <w:rFonts w:ascii="Arial" w:hAnsi="Arial" w:cs="Arial"/>
          <w:color w:val="000000"/>
        </w:rPr>
        <w:t xml:space="preserve"> Available at: </w:t>
      </w:r>
      <w:hyperlink r:id="rId31" w:history="1">
        <w:r w:rsidRPr="006C4C0E">
          <w:rPr>
            <w:rStyle w:val="Hyperlink"/>
            <w:rFonts w:ascii="Arial" w:hAnsi="Arial" w:cs="Arial"/>
            <w:color w:val="1155CC"/>
          </w:rPr>
          <w:t>https://www.academia.edu/download/126111583/Petrov_TheSmartTransportAsAPartOfSmartCitiesASTART_UPProjectSurveyOfTrainingNeed_BG.pdf</w:t>
        </w:r>
      </w:hyperlink>
      <w:r w:rsidRPr="006C4C0E">
        <w:rPr>
          <w:rFonts w:ascii="Arial" w:hAnsi="Arial" w:cs="Arial"/>
          <w:color w:val="000000"/>
        </w:rPr>
        <w:t> </w:t>
      </w:r>
    </w:p>
    <w:p w14:paraId="248B0D9F"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Powers, D.H., (2023) ‘</w:t>
      </w:r>
      <w:r w:rsidRPr="006C4C0E">
        <w:rPr>
          <w:rFonts w:ascii="Arial" w:hAnsi="Arial" w:cs="Arial"/>
          <w:i/>
          <w:iCs/>
          <w:color w:val="222222"/>
          <w:shd w:val="clear" w:color="auto" w:fill="FFFFFF"/>
        </w:rPr>
        <w:t xml:space="preserve">Human resources onboarding strategies influence on psychological contract </w:t>
      </w:r>
      <w:proofErr w:type="spellStart"/>
      <w:r w:rsidRPr="006C4C0E">
        <w:rPr>
          <w:rFonts w:ascii="Arial" w:hAnsi="Arial" w:cs="Arial"/>
          <w:i/>
          <w:iCs/>
          <w:color w:val="222222"/>
          <w:shd w:val="clear" w:color="auto" w:fill="FFFFFF"/>
        </w:rPr>
        <w:t>fulfillment</w:t>
      </w:r>
      <w:proofErr w:type="spellEnd"/>
      <w:r w:rsidRPr="006C4C0E">
        <w:rPr>
          <w:rFonts w:ascii="Arial" w:hAnsi="Arial" w:cs="Arial"/>
          <w:i/>
          <w:iCs/>
          <w:color w:val="222222"/>
          <w:shd w:val="clear" w:color="auto" w:fill="FFFFFF"/>
        </w:rPr>
        <w:t>, trust, and commitment for contingent workers</w:t>
      </w:r>
      <w:r w:rsidRPr="006C4C0E">
        <w:rPr>
          <w:rFonts w:ascii="Arial" w:hAnsi="Arial" w:cs="Arial"/>
          <w:color w:val="222222"/>
          <w:shd w:val="clear" w:color="auto" w:fill="FFFFFF"/>
        </w:rPr>
        <w:t xml:space="preserve">’, </w:t>
      </w:r>
      <w:r w:rsidRPr="006C4C0E">
        <w:rPr>
          <w:rFonts w:ascii="Arial" w:hAnsi="Arial" w:cs="Arial"/>
          <w:color w:val="222222"/>
          <w:shd w:val="clear" w:color="auto" w:fill="FFFFFF"/>
        </w:rPr>
        <w:lastRenderedPageBreak/>
        <w:t xml:space="preserve">Grand Canyon University. </w:t>
      </w:r>
      <w:r w:rsidRPr="006C4C0E">
        <w:rPr>
          <w:rFonts w:ascii="Arial" w:hAnsi="Arial" w:cs="Arial"/>
          <w:color w:val="000000"/>
        </w:rPr>
        <w:t>Available at:</w:t>
      </w:r>
      <w:r>
        <w:rPr>
          <w:rFonts w:ascii="Arial" w:hAnsi="Arial" w:cs="Arial"/>
          <w:color w:val="000000"/>
        </w:rPr>
        <w:t xml:space="preserve"> </w:t>
      </w:r>
      <w:hyperlink r:id="rId32" w:history="1">
        <w:r w:rsidRPr="006C4C0E">
          <w:rPr>
            <w:rStyle w:val="Hyperlink"/>
            <w:rFonts w:ascii="Arial" w:hAnsi="Arial" w:cs="Arial"/>
            <w:color w:val="1155CC"/>
            <w:shd w:val="clear" w:color="auto" w:fill="FFFFFF"/>
          </w:rPr>
          <w:t>https://search.proquest.com/openview/aff4285641492f7278b78d4866ef2e3b/1.pdf?pq-origsite=gscholar&amp;cbl=18750&amp;diss=y</w:t>
        </w:r>
      </w:hyperlink>
      <w:r w:rsidRPr="006C4C0E">
        <w:rPr>
          <w:rFonts w:ascii="Arial" w:hAnsi="Arial" w:cs="Arial"/>
          <w:color w:val="222222"/>
          <w:shd w:val="clear" w:color="auto" w:fill="FFFFFF"/>
        </w:rPr>
        <w:t> </w:t>
      </w:r>
    </w:p>
    <w:p w14:paraId="05964736" w14:textId="0871C9C0" w:rsidR="006C4C0E" w:rsidRPr="006C4C0E" w:rsidRDefault="006C4C0E" w:rsidP="00B84D90">
      <w:pPr>
        <w:pStyle w:val="NormalWeb"/>
        <w:spacing w:before="240" w:beforeAutospacing="0" w:after="240" w:afterAutospacing="0" w:line="360" w:lineRule="auto"/>
        <w:jc w:val="both"/>
        <w:rPr>
          <w:rFonts w:ascii="Arial" w:hAnsi="Arial" w:cs="Arial"/>
        </w:rPr>
      </w:pPr>
      <w:r w:rsidRPr="006C4C0E">
        <w:rPr>
          <w:rFonts w:ascii="Arial" w:hAnsi="Arial" w:cs="Arial"/>
          <w:color w:val="000000"/>
        </w:rPr>
        <w:t xml:space="preserve">Rodgers, </w:t>
      </w:r>
      <w:proofErr w:type="spellStart"/>
      <w:proofErr w:type="gramStart"/>
      <w:r w:rsidRPr="006C4C0E">
        <w:rPr>
          <w:rFonts w:ascii="Arial" w:hAnsi="Arial" w:cs="Arial"/>
          <w:color w:val="000000"/>
        </w:rPr>
        <w:t>W.,</w:t>
      </w:r>
      <w:r w:rsidR="008D5153">
        <w:rPr>
          <w:rFonts w:ascii="Arial" w:hAnsi="Arial" w:cs="Arial"/>
          <w:color w:val="000000"/>
        </w:rPr>
        <w:t>et.al</w:t>
      </w:r>
      <w:proofErr w:type="spellEnd"/>
      <w:proofErr w:type="gramEnd"/>
      <w:r w:rsidRPr="006C4C0E">
        <w:rPr>
          <w:rFonts w:ascii="Arial" w:hAnsi="Arial" w:cs="Arial"/>
          <w:color w:val="000000"/>
        </w:rPr>
        <w:t xml:space="preserve">, (2023) ‘An artificial intelligence algorithmic approach to ethical decision-making in human resource management processes’, </w:t>
      </w:r>
      <w:r w:rsidRPr="006C4C0E">
        <w:rPr>
          <w:rFonts w:ascii="Arial" w:hAnsi="Arial" w:cs="Arial"/>
          <w:i/>
          <w:iCs/>
          <w:color w:val="000000"/>
        </w:rPr>
        <w:t>Human resource management review</w:t>
      </w:r>
      <w:r w:rsidRPr="006C4C0E">
        <w:rPr>
          <w:rFonts w:ascii="Arial" w:hAnsi="Arial" w:cs="Arial"/>
          <w:color w:val="000000"/>
        </w:rPr>
        <w:t xml:space="preserve">, </w:t>
      </w:r>
      <w:r w:rsidRPr="006C4C0E">
        <w:rPr>
          <w:rFonts w:ascii="Arial" w:hAnsi="Arial" w:cs="Arial"/>
          <w:i/>
          <w:iCs/>
          <w:color w:val="000000"/>
        </w:rPr>
        <w:t>33</w:t>
      </w:r>
      <w:r w:rsidRPr="006C4C0E">
        <w:rPr>
          <w:rFonts w:ascii="Arial" w:hAnsi="Arial" w:cs="Arial"/>
          <w:color w:val="000000"/>
        </w:rPr>
        <w:t>(1), p.100925. Available at:</w:t>
      </w:r>
      <w:hyperlink r:id="rId33" w:history="1">
        <w:r w:rsidRPr="006C4C0E">
          <w:rPr>
            <w:rStyle w:val="Hyperlink"/>
            <w:rFonts w:ascii="Arial" w:hAnsi="Arial" w:cs="Arial"/>
            <w:color w:val="000000"/>
          </w:rPr>
          <w:t xml:space="preserve"> </w:t>
        </w:r>
        <w:r w:rsidRPr="006C4C0E">
          <w:rPr>
            <w:rStyle w:val="Hyperlink"/>
            <w:rFonts w:ascii="Arial" w:hAnsi="Arial" w:cs="Arial"/>
            <w:color w:val="1155CC"/>
          </w:rPr>
          <w:t>https://www.sciencedirect.com/science/article/pii/S1053482222000432</w:t>
        </w:r>
      </w:hyperlink>
      <w:r w:rsidRPr="006C4C0E">
        <w:rPr>
          <w:rFonts w:ascii="Arial" w:hAnsi="Arial" w:cs="Arial"/>
          <w:color w:val="000000"/>
        </w:rPr>
        <w:t> </w:t>
      </w:r>
    </w:p>
    <w:p w14:paraId="713689CD"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Singh., G. k (2024). Social Identity Theory (</w:t>
      </w:r>
      <w:proofErr w:type="gramStart"/>
      <w:r w:rsidRPr="006C4C0E">
        <w:rPr>
          <w:rFonts w:ascii="Arial" w:hAnsi="Arial" w:cs="Arial"/>
          <w:color w:val="000000"/>
        </w:rPr>
        <w:t>Examples,  Strengths</w:t>
      </w:r>
      <w:proofErr w:type="gramEnd"/>
      <w:r w:rsidRPr="006C4C0E">
        <w:rPr>
          <w:rFonts w:ascii="Arial" w:hAnsi="Arial" w:cs="Arial"/>
          <w:color w:val="000000"/>
        </w:rPr>
        <w:t xml:space="preserve"> &amp; Weaknesses). Available at:</w:t>
      </w:r>
      <w:r>
        <w:rPr>
          <w:rFonts w:ascii="Arial" w:hAnsi="Arial" w:cs="Arial"/>
          <w:color w:val="000000"/>
        </w:rPr>
        <w:t xml:space="preserve"> </w:t>
      </w:r>
      <w:hyperlink r:id="rId34" w:history="1">
        <w:r w:rsidRPr="006C4C0E">
          <w:rPr>
            <w:rStyle w:val="Hyperlink"/>
            <w:rFonts w:ascii="Arial" w:hAnsi="Arial" w:cs="Arial"/>
            <w:color w:val="1155CC"/>
          </w:rPr>
          <w:t>https://helpfulprofessor.com/social-identity-theory-examples/</w:t>
        </w:r>
      </w:hyperlink>
      <w:r w:rsidRPr="006C4C0E">
        <w:rPr>
          <w:rFonts w:ascii="Arial" w:hAnsi="Arial" w:cs="Arial"/>
          <w:color w:val="000000"/>
        </w:rPr>
        <w:t xml:space="preserve"> (Accessed </w:t>
      </w:r>
      <w:proofErr w:type="gramStart"/>
      <w:r w:rsidRPr="006C4C0E">
        <w:rPr>
          <w:rFonts w:ascii="Arial" w:hAnsi="Arial" w:cs="Arial"/>
          <w:color w:val="000000"/>
        </w:rPr>
        <w:t>on:</w:t>
      </w:r>
      <w:proofErr w:type="gramEnd"/>
      <w:r w:rsidRPr="006C4C0E">
        <w:rPr>
          <w:rFonts w:ascii="Arial" w:hAnsi="Arial" w:cs="Arial"/>
          <w:color w:val="000000"/>
        </w:rPr>
        <w:t xml:space="preserve"> 13 </w:t>
      </w:r>
      <w:proofErr w:type="gramStart"/>
      <w:r w:rsidRPr="006C4C0E">
        <w:rPr>
          <w:rFonts w:ascii="Arial" w:hAnsi="Arial" w:cs="Arial"/>
          <w:color w:val="000000"/>
        </w:rPr>
        <w:t>July,</w:t>
      </w:r>
      <w:proofErr w:type="gramEnd"/>
      <w:r w:rsidRPr="006C4C0E">
        <w:rPr>
          <w:rFonts w:ascii="Arial" w:hAnsi="Arial" w:cs="Arial"/>
          <w:color w:val="000000"/>
        </w:rPr>
        <w:t xml:space="preserve"> 2026)</w:t>
      </w:r>
    </w:p>
    <w:p w14:paraId="54517D99"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Skala, A., (2022) ‘Sustainable transport and mobility—Oriented innovative startups and business models’, </w:t>
      </w:r>
      <w:r w:rsidRPr="006C4C0E">
        <w:rPr>
          <w:rFonts w:ascii="Arial" w:hAnsi="Arial" w:cs="Arial"/>
          <w:i/>
          <w:iCs/>
          <w:color w:val="222222"/>
          <w:shd w:val="clear" w:color="auto" w:fill="FFFFFF"/>
        </w:rPr>
        <w:t>Sustainability</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(9), p.5519.</w:t>
      </w:r>
      <w:r w:rsidRPr="006C4C0E">
        <w:rPr>
          <w:rFonts w:ascii="Arial" w:hAnsi="Arial" w:cs="Arial"/>
          <w:color w:val="000000"/>
        </w:rPr>
        <w:t xml:space="preserve">Available at:  </w:t>
      </w:r>
      <w:hyperlink r:id="rId35" w:history="1">
        <w:r w:rsidRPr="006C4C0E">
          <w:rPr>
            <w:rStyle w:val="Hyperlink"/>
            <w:rFonts w:ascii="Arial" w:hAnsi="Arial" w:cs="Arial"/>
            <w:color w:val="1155CC"/>
          </w:rPr>
          <w:t>https://www.mdpi.com/2071-1050/14/9/5519</w:t>
        </w:r>
      </w:hyperlink>
      <w:r w:rsidRPr="006C4C0E">
        <w:rPr>
          <w:rFonts w:ascii="Arial" w:hAnsi="Arial" w:cs="Arial"/>
          <w:color w:val="000000"/>
        </w:rPr>
        <w:t> </w:t>
      </w:r>
    </w:p>
    <w:p w14:paraId="554C47A6"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000000"/>
        </w:rPr>
        <w:t xml:space="preserve">Spataro., J (2024). </w:t>
      </w:r>
      <w:r w:rsidRPr="006C4C0E">
        <w:rPr>
          <w:rFonts w:ascii="Arial" w:hAnsi="Arial" w:cs="Arial"/>
          <w:i/>
          <w:iCs/>
          <w:color w:val="000000"/>
        </w:rPr>
        <w:t>Microsoft and LinkedIn release the 2024 Work Trend Index on the state of AI at work.</w:t>
      </w:r>
      <w:r w:rsidRPr="006C4C0E">
        <w:rPr>
          <w:rFonts w:ascii="Arial" w:hAnsi="Arial" w:cs="Arial"/>
          <w:color w:val="000000"/>
        </w:rPr>
        <w:t xml:space="preserve"> Available at:</w:t>
      </w:r>
      <w:r>
        <w:rPr>
          <w:rFonts w:ascii="Arial" w:hAnsi="Arial" w:cs="Arial"/>
          <w:color w:val="000000"/>
        </w:rPr>
        <w:t xml:space="preserve"> </w:t>
      </w:r>
      <w:hyperlink r:id="rId36" w:history="1">
        <w:r w:rsidRPr="006C4C0E">
          <w:rPr>
            <w:rStyle w:val="Hyperlink"/>
            <w:rFonts w:ascii="Arial" w:hAnsi="Arial" w:cs="Arial"/>
            <w:color w:val="1155CC"/>
          </w:rPr>
          <w:t>https://blogs.microsoft.com/blog/2024/05/08/microsoft-and-linkedin-release-the-2024-work-trend-index-on-the-state-of-ai-at-work/</w:t>
        </w:r>
      </w:hyperlink>
      <w:r w:rsidRPr="006C4C0E">
        <w:rPr>
          <w:rFonts w:ascii="Arial" w:hAnsi="Arial" w:cs="Arial"/>
          <w:color w:val="000000"/>
        </w:rPr>
        <w:t xml:space="preserve"> (Accessed </w:t>
      </w:r>
      <w:proofErr w:type="gramStart"/>
      <w:r w:rsidRPr="006C4C0E">
        <w:rPr>
          <w:rFonts w:ascii="Arial" w:hAnsi="Arial" w:cs="Arial"/>
          <w:color w:val="000000"/>
        </w:rPr>
        <w:t>on:</w:t>
      </w:r>
      <w:proofErr w:type="gramEnd"/>
      <w:r w:rsidRPr="006C4C0E">
        <w:rPr>
          <w:rFonts w:ascii="Arial" w:hAnsi="Arial" w:cs="Arial"/>
          <w:color w:val="000000"/>
        </w:rPr>
        <w:t xml:space="preserve"> 13 </w:t>
      </w:r>
      <w:proofErr w:type="gramStart"/>
      <w:r w:rsidRPr="006C4C0E">
        <w:rPr>
          <w:rFonts w:ascii="Arial" w:hAnsi="Arial" w:cs="Arial"/>
          <w:color w:val="000000"/>
        </w:rPr>
        <w:t>July,</w:t>
      </w:r>
      <w:proofErr w:type="gramEnd"/>
      <w:r w:rsidRPr="006C4C0E">
        <w:rPr>
          <w:rFonts w:ascii="Arial" w:hAnsi="Arial" w:cs="Arial"/>
          <w:color w:val="000000"/>
        </w:rPr>
        <w:t xml:space="preserve"> 2026)</w:t>
      </w:r>
    </w:p>
    <w:p w14:paraId="6A6588D0" w14:textId="77777777" w:rsidR="006C4C0E" w:rsidRPr="006C4C0E" w:rsidRDefault="006C4C0E" w:rsidP="00B84D90">
      <w:pPr>
        <w:pStyle w:val="NormalWeb"/>
        <w:spacing w:before="0" w:beforeAutospacing="0" w:after="240" w:afterAutospacing="0" w:line="360" w:lineRule="auto"/>
        <w:jc w:val="both"/>
        <w:rPr>
          <w:rFonts w:ascii="Arial" w:hAnsi="Arial" w:cs="Arial"/>
        </w:rPr>
      </w:pPr>
      <w:r w:rsidRPr="006C4C0E">
        <w:rPr>
          <w:rFonts w:ascii="Arial" w:hAnsi="Arial" w:cs="Arial"/>
          <w:color w:val="222222"/>
          <w:shd w:val="clear" w:color="auto" w:fill="FFFFFF"/>
        </w:rPr>
        <w:t xml:space="preserve">Swartz, E.M., Scheepers, C.B. and </w:t>
      </w:r>
      <w:proofErr w:type="spellStart"/>
      <w:r w:rsidRPr="006C4C0E">
        <w:rPr>
          <w:rFonts w:ascii="Arial" w:hAnsi="Arial" w:cs="Arial"/>
          <w:color w:val="222222"/>
          <w:shd w:val="clear" w:color="auto" w:fill="FFFFFF"/>
        </w:rPr>
        <w:t>Toefy</w:t>
      </w:r>
      <w:proofErr w:type="spellEnd"/>
      <w:r w:rsidRPr="006C4C0E">
        <w:rPr>
          <w:rFonts w:ascii="Arial" w:hAnsi="Arial" w:cs="Arial"/>
          <w:color w:val="222222"/>
          <w:shd w:val="clear" w:color="auto" w:fill="FFFFFF"/>
        </w:rPr>
        <w:t xml:space="preserve">, T., (2022) ‘Women entrepreneurs’ opportunity identification of digital platform start-ups: emerging evidence from South Africa’, </w:t>
      </w:r>
      <w:r w:rsidRPr="006C4C0E">
        <w:rPr>
          <w:rFonts w:ascii="Arial" w:hAnsi="Arial" w:cs="Arial"/>
          <w:i/>
          <w:iCs/>
          <w:color w:val="222222"/>
          <w:shd w:val="clear" w:color="auto" w:fill="FFFFFF"/>
        </w:rPr>
        <w:t>International Journal of Gender and Entrepreneurship</w:t>
      </w:r>
      <w:r w:rsidRPr="006C4C0E">
        <w:rPr>
          <w:rFonts w:ascii="Arial" w:hAnsi="Arial" w:cs="Arial"/>
          <w:color w:val="222222"/>
          <w:shd w:val="clear" w:color="auto" w:fill="FFFFFF"/>
        </w:rPr>
        <w:t xml:space="preserve">, </w:t>
      </w:r>
      <w:r w:rsidRPr="006C4C0E">
        <w:rPr>
          <w:rFonts w:ascii="Arial" w:hAnsi="Arial" w:cs="Arial"/>
          <w:i/>
          <w:iCs/>
          <w:color w:val="222222"/>
          <w:shd w:val="clear" w:color="auto" w:fill="FFFFFF"/>
        </w:rPr>
        <w:t>14</w:t>
      </w:r>
      <w:r w:rsidRPr="006C4C0E">
        <w:rPr>
          <w:rFonts w:ascii="Arial" w:hAnsi="Arial" w:cs="Arial"/>
          <w:color w:val="222222"/>
          <w:shd w:val="clear" w:color="auto" w:fill="FFFFFF"/>
        </w:rPr>
        <w:t xml:space="preserve">(3), pp.352-374. </w:t>
      </w:r>
      <w:r w:rsidRPr="006C4C0E">
        <w:rPr>
          <w:rFonts w:ascii="Arial" w:hAnsi="Arial" w:cs="Arial"/>
          <w:color w:val="000000"/>
        </w:rPr>
        <w:t xml:space="preserve">Available at:  </w:t>
      </w:r>
      <w:hyperlink r:id="rId37" w:history="1">
        <w:r w:rsidRPr="006C4C0E">
          <w:rPr>
            <w:rStyle w:val="Hyperlink"/>
            <w:rFonts w:ascii="Arial" w:hAnsi="Arial" w:cs="Arial"/>
            <w:color w:val="1155CC"/>
          </w:rPr>
          <w:t>https://repository.up.ac.za/bitstreams/0851ebd9-028c-494a-87e4-e772cff114b5/download</w:t>
        </w:r>
      </w:hyperlink>
      <w:r w:rsidRPr="006C4C0E">
        <w:rPr>
          <w:rFonts w:ascii="Arial" w:hAnsi="Arial" w:cs="Arial"/>
          <w:color w:val="000000"/>
        </w:rPr>
        <w:t> </w:t>
      </w:r>
    </w:p>
    <w:p w14:paraId="130E2E54" w14:textId="77777777" w:rsidR="00E51501" w:rsidRDefault="006C4C0E" w:rsidP="00B84D90">
      <w:pPr>
        <w:pStyle w:val="NormalWeb"/>
        <w:spacing w:before="0" w:beforeAutospacing="0" w:after="240" w:afterAutospacing="0" w:line="360" w:lineRule="auto"/>
        <w:jc w:val="both"/>
        <w:rPr>
          <w:rFonts w:ascii="Arial" w:hAnsi="Arial" w:cs="Arial"/>
          <w:color w:val="000000"/>
        </w:rPr>
      </w:pPr>
      <w:r w:rsidRPr="006C4C0E">
        <w:rPr>
          <w:rFonts w:ascii="Arial" w:hAnsi="Arial" w:cs="Arial"/>
          <w:color w:val="000000"/>
        </w:rPr>
        <w:t xml:space="preserve">Teng, M.F. and Yue, M., (2023) ‘Metacognitive writing strategies, critical thinking skills, and academic writing performance: A structural equation </w:t>
      </w:r>
      <w:proofErr w:type="spellStart"/>
      <w:r w:rsidRPr="006C4C0E">
        <w:rPr>
          <w:rFonts w:ascii="Arial" w:hAnsi="Arial" w:cs="Arial"/>
          <w:color w:val="000000"/>
        </w:rPr>
        <w:t>modeling</w:t>
      </w:r>
      <w:proofErr w:type="spellEnd"/>
      <w:r w:rsidRPr="006C4C0E">
        <w:rPr>
          <w:rFonts w:ascii="Arial" w:hAnsi="Arial" w:cs="Arial"/>
          <w:color w:val="000000"/>
        </w:rPr>
        <w:t xml:space="preserve"> approach’, </w:t>
      </w:r>
      <w:r w:rsidRPr="006C4C0E">
        <w:rPr>
          <w:rFonts w:ascii="Arial" w:hAnsi="Arial" w:cs="Arial"/>
          <w:i/>
          <w:iCs/>
          <w:color w:val="000000"/>
        </w:rPr>
        <w:t>Metacognition and Learning</w:t>
      </w:r>
      <w:r w:rsidRPr="006C4C0E">
        <w:rPr>
          <w:rFonts w:ascii="Arial" w:hAnsi="Arial" w:cs="Arial"/>
          <w:color w:val="000000"/>
        </w:rPr>
        <w:t xml:space="preserve">, </w:t>
      </w:r>
      <w:r w:rsidRPr="006C4C0E">
        <w:rPr>
          <w:rFonts w:ascii="Arial" w:hAnsi="Arial" w:cs="Arial"/>
          <w:i/>
          <w:iCs/>
          <w:color w:val="000000"/>
        </w:rPr>
        <w:t>18</w:t>
      </w:r>
      <w:r w:rsidRPr="006C4C0E">
        <w:rPr>
          <w:rFonts w:ascii="Arial" w:hAnsi="Arial" w:cs="Arial"/>
          <w:color w:val="000000"/>
        </w:rPr>
        <w:t xml:space="preserve">(1), pp.237-260.Available at: </w:t>
      </w:r>
      <w:hyperlink r:id="rId38" w:history="1">
        <w:r w:rsidRPr="006C4C0E">
          <w:rPr>
            <w:rStyle w:val="Hyperlink"/>
            <w:rFonts w:ascii="Arial" w:hAnsi="Arial" w:cs="Arial"/>
            <w:color w:val="000000"/>
          </w:rPr>
          <w:t> </w:t>
        </w:r>
        <w:r w:rsidRPr="006C4C0E">
          <w:rPr>
            <w:rStyle w:val="Hyperlink"/>
            <w:rFonts w:ascii="Arial" w:hAnsi="Arial" w:cs="Arial"/>
            <w:color w:val="1155CC"/>
          </w:rPr>
          <w:t>https://files.osf.io/v1/resources/6rzkv/providers/osfstorage/63860449723a111d4618c9ef?format=pdf&amp;action=download&amp;direct&amp;version=1</w:t>
        </w:r>
      </w:hyperlink>
      <w:r w:rsidRPr="006C4C0E">
        <w:rPr>
          <w:rFonts w:ascii="Arial" w:hAnsi="Arial" w:cs="Arial"/>
          <w:color w:val="000000"/>
        </w:rPr>
        <w:t> </w:t>
      </w:r>
      <w:r w:rsidR="00E51501">
        <w:rPr>
          <w:rFonts w:ascii="Arial" w:hAnsi="Arial" w:cs="Arial"/>
          <w:color w:val="000000"/>
        </w:rPr>
        <w:t>.</w:t>
      </w:r>
    </w:p>
    <w:p w14:paraId="55481742" w14:textId="74E083FE" w:rsidR="0054289B" w:rsidRPr="00E51501" w:rsidRDefault="00E51501" w:rsidP="00E51501">
      <w:pPr>
        <w:pStyle w:val="NormalWeb"/>
        <w:spacing w:before="0" w:beforeAutospacing="0" w:after="240" w:afterAutospacing="0" w:line="360" w:lineRule="auto"/>
        <w:jc w:val="both"/>
        <w:rPr>
          <w:rFonts w:ascii="Arial" w:hAnsi="Arial" w:cs="Arial"/>
        </w:rPr>
      </w:pPr>
      <w:proofErr w:type="spellStart"/>
      <w:r w:rsidRPr="006C4C0E">
        <w:rPr>
          <w:rFonts w:ascii="Arial" w:hAnsi="Arial" w:cs="Arial"/>
          <w:color w:val="000000"/>
        </w:rPr>
        <w:t>Vulpen</w:t>
      </w:r>
      <w:proofErr w:type="spellEnd"/>
      <w:r w:rsidRPr="006C4C0E">
        <w:rPr>
          <w:rFonts w:ascii="Arial" w:hAnsi="Arial" w:cs="Arial"/>
          <w:color w:val="000000"/>
        </w:rPr>
        <w:t xml:space="preserve">., V., E (2024). </w:t>
      </w:r>
      <w:r w:rsidRPr="006C4C0E">
        <w:rPr>
          <w:rFonts w:ascii="Arial" w:hAnsi="Arial" w:cs="Arial"/>
          <w:i/>
          <w:iCs/>
          <w:color w:val="000000"/>
        </w:rPr>
        <w:t xml:space="preserve">Job Design: A Practitioner’s Guide [2026 Edition]. </w:t>
      </w:r>
      <w:r w:rsidRPr="006C4C0E">
        <w:rPr>
          <w:rFonts w:ascii="Arial" w:hAnsi="Arial" w:cs="Arial"/>
          <w:color w:val="000000"/>
        </w:rPr>
        <w:t>Available at:</w:t>
      </w:r>
      <w:r>
        <w:rPr>
          <w:rFonts w:ascii="Arial" w:hAnsi="Arial" w:cs="Arial"/>
          <w:color w:val="000000"/>
        </w:rPr>
        <w:t xml:space="preserve"> </w:t>
      </w:r>
      <w:hyperlink r:id="rId39" w:history="1">
        <w:r w:rsidRPr="006C4C0E">
          <w:rPr>
            <w:rStyle w:val="Hyperlink"/>
            <w:rFonts w:ascii="Arial" w:hAnsi="Arial" w:cs="Arial"/>
            <w:color w:val="1155CC"/>
          </w:rPr>
          <w:t>https://www.aihr.com/blog/job-design/</w:t>
        </w:r>
      </w:hyperlink>
      <w:r w:rsidRPr="006C4C0E">
        <w:rPr>
          <w:rFonts w:ascii="Arial" w:hAnsi="Arial" w:cs="Arial"/>
          <w:color w:val="000000"/>
        </w:rPr>
        <w:t xml:space="preserve"> (Accessed </w:t>
      </w:r>
      <w:proofErr w:type="gramStart"/>
      <w:r w:rsidRPr="006C4C0E">
        <w:rPr>
          <w:rFonts w:ascii="Arial" w:hAnsi="Arial" w:cs="Arial"/>
          <w:color w:val="000000"/>
        </w:rPr>
        <w:t>on:</w:t>
      </w:r>
      <w:proofErr w:type="gramEnd"/>
      <w:r w:rsidRPr="006C4C0E">
        <w:rPr>
          <w:rFonts w:ascii="Arial" w:hAnsi="Arial" w:cs="Arial"/>
          <w:color w:val="000000"/>
        </w:rPr>
        <w:t xml:space="preserve"> 13 </w:t>
      </w:r>
      <w:proofErr w:type="gramStart"/>
      <w:r w:rsidRPr="006C4C0E">
        <w:rPr>
          <w:rFonts w:ascii="Arial" w:hAnsi="Arial" w:cs="Arial"/>
          <w:color w:val="000000"/>
        </w:rPr>
        <w:t>July,</w:t>
      </w:r>
      <w:proofErr w:type="gramEnd"/>
      <w:r w:rsidRPr="006C4C0E">
        <w:rPr>
          <w:rFonts w:ascii="Arial" w:hAnsi="Arial" w:cs="Arial"/>
          <w:color w:val="000000"/>
        </w:rPr>
        <w:t xml:space="preserve"> 2026)</w:t>
      </w:r>
    </w:p>
    <w:p w14:paraId="49B11E0F" w14:textId="77777777" w:rsidR="0054289B" w:rsidRPr="006C4C0E" w:rsidRDefault="00475F10" w:rsidP="00AE4D88">
      <w:pPr>
        <w:pStyle w:val="Heading1"/>
      </w:pPr>
      <w:bookmarkStart w:id="17" w:name="_Toc234861988"/>
      <w:r w:rsidRPr="006C4C0E">
        <w:lastRenderedPageBreak/>
        <w:t>Appendices</w:t>
      </w:r>
      <w:bookmarkEnd w:id="17"/>
      <w:r w:rsidRPr="006C4C0E">
        <w:t xml:space="preserve"> </w:t>
      </w:r>
    </w:p>
    <w:p w14:paraId="2ADB128C" w14:textId="77777777" w:rsidR="0054289B" w:rsidRPr="006C4C0E" w:rsidRDefault="00475F10" w:rsidP="00AE4D88">
      <w:pPr>
        <w:pStyle w:val="Heading2"/>
      </w:pPr>
      <w:bookmarkStart w:id="18" w:name="_Toc234861989"/>
      <w:r w:rsidRPr="006C4C0E">
        <w:t>Appendix 1: Proposed Socialisation Framework for Helios Urban Mobility</w:t>
      </w:r>
      <w:bookmarkEnd w:id="18"/>
    </w:p>
    <w:tbl>
      <w:tblPr>
        <w:tblStyle w:val="a"/>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2145"/>
        <w:gridCol w:w="3360"/>
        <w:gridCol w:w="1815"/>
      </w:tblGrid>
      <w:tr w:rsidR="0054289B" w:rsidRPr="006C4C0E" w14:paraId="5A89CF77" w14:textId="77777777">
        <w:trPr>
          <w:trHeight w:val="1230"/>
        </w:trPr>
        <w:tc>
          <w:tcPr>
            <w:tcW w:w="1575" w:type="dxa"/>
            <w:tcBorders>
              <w:top w:val="single" w:sz="6" w:space="0" w:color="000000"/>
              <w:left w:val="single" w:sz="6" w:space="0" w:color="000000"/>
              <w:bottom w:val="single" w:sz="6" w:space="0" w:color="000000"/>
              <w:right w:val="single" w:sz="6" w:space="0" w:color="000000"/>
            </w:tcBorders>
            <w:shd w:val="clear" w:color="auto" w:fill="FFF2CC"/>
            <w:tcMar>
              <w:top w:w="100" w:type="dxa"/>
              <w:left w:w="100" w:type="dxa"/>
              <w:bottom w:w="100" w:type="dxa"/>
              <w:right w:w="100" w:type="dxa"/>
            </w:tcMar>
          </w:tcPr>
          <w:p w14:paraId="31634A52"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Phase</w:t>
            </w:r>
          </w:p>
        </w:tc>
        <w:tc>
          <w:tcPr>
            <w:tcW w:w="214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4926EDE0"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Strategic Objective</w:t>
            </w:r>
          </w:p>
        </w:tc>
        <w:tc>
          <w:tcPr>
            <w:tcW w:w="3360"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75808C27"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Practical Actions</w:t>
            </w:r>
          </w:p>
        </w:tc>
        <w:tc>
          <w:tcPr>
            <w:tcW w:w="1815" w:type="dxa"/>
            <w:tcBorders>
              <w:top w:val="single" w:sz="6" w:space="0" w:color="000000"/>
              <w:left w:val="nil"/>
              <w:bottom w:val="single" w:sz="6" w:space="0" w:color="000000"/>
              <w:right w:val="single" w:sz="6" w:space="0" w:color="000000"/>
            </w:tcBorders>
            <w:shd w:val="clear" w:color="auto" w:fill="FFF2CC"/>
            <w:tcMar>
              <w:top w:w="100" w:type="dxa"/>
              <w:left w:w="100" w:type="dxa"/>
              <w:bottom w:w="100" w:type="dxa"/>
              <w:right w:w="100" w:type="dxa"/>
            </w:tcMar>
          </w:tcPr>
          <w:p w14:paraId="5F8DB5F1" w14:textId="77777777" w:rsidR="0054289B" w:rsidRPr="006C4C0E" w:rsidRDefault="00475F10">
            <w:pPr>
              <w:spacing w:before="240" w:after="240" w:line="360" w:lineRule="auto"/>
              <w:jc w:val="center"/>
              <w:rPr>
                <w:rFonts w:eastAsia="Times New Roman"/>
                <w:b/>
                <w:bCs/>
                <w:i/>
                <w:iCs/>
                <w:sz w:val="24"/>
                <w:szCs w:val="24"/>
              </w:rPr>
            </w:pPr>
            <w:r w:rsidRPr="006C4C0E">
              <w:rPr>
                <w:rFonts w:eastAsia="Times New Roman"/>
                <w:b/>
                <w:bCs/>
                <w:i/>
                <w:iCs/>
                <w:sz w:val="24"/>
                <w:szCs w:val="24"/>
              </w:rPr>
              <w:t>Business Impact</w:t>
            </w:r>
          </w:p>
        </w:tc>
      </w:tr>
      <w:tr w:rsidR="0054289B" w:rsidRPr="006C4C0E" w14:paraId="612AD807" w14:textId="77777777">
        <w:trPr>
          <w:trHeight w:val="150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73E8FE2A"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Pre-boarding</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4C6B8DB7"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Reduce uncertainty</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55287414" w14:textId="77777777" w:rsidR="0054289B" w:rsidRPr="006C4C0E" w:rsidRDefault="00475F10">
            <w:pPr>
              <w:numPr>
                <w:ilvl w:val="0"/>
                <w:numId w:val="3"/>
              </w:numPr>
              <w:spacing w:before="240" w:line="360" w:lineRule="auto"/>
              <w:jc w:val="both"/>
              <w:rPr>
                <w:rFonts w:eastAsia="Times New Roman"/>
                <w:sz w:val="24"/>
                <w:szCs w:val="24"/>
              </w:rPr>
            </w:pPr>
            <w:r w:rsidRPr="006C4C0E">
              <w:rPr>
                <w:rFonts w:eastAsia="Times New Roman"/>
                <w:sz w:val="24"/>
                <w:szCs w:val="24"/>
              </w:rPr>
              <w:t>AI onboarding portal,</w:t>
            </w:r>
          </w:p>
          <w:p w14:paraId="0BFA11DD" w14:textId="77777777" w:rsidR="0054289B" w:rsidRPr="006C4C0E" w:rsidRDefault="00475F10">
            <w:pPr>
              <w:numPr>
                <w:ilvl w:val="0"/>
                <w:numId w:val="3"/>
              </w:numPr>
              <w:spacing w:line="360" w:lineRule="auto"/>
              <w:jc w:val="both"/>
              <w:rPr>
                <w:rFonts w:eastAsia="Times New Roman"/>
                <w:sz w:val="24"/>
                <w:szCs w:val="24"/>
              </w:rPr>
            </w:pPr>
            <w:r w:rsidRPr="006C4C0E">
              <w:rPr>
                <w:rFonts w:eastAsia="Times New Roman"/>
                <w:sz w:val="24"/>
                <w:szCs w:val="24"/>
              </w:rPr>
              <w:t xml:space="preserve">Buddy assignment, </w:t>
            </w:r>
          </w:p>
          <w:p w14:paraId="138C02A9" w14:textId="77777777" w:rsidR="0054289B" w:rsidRPr="006C4C0E" w:rsidRDefault="00475F10">
            <w:pPr>
              <w:numPr>
                <w:ilvl w:val="0"/>
                <w:numId w:val="3"/>
              </w:numPr>
              <w:spacing w:line="360" w:lineRule="auto"/>
              <w:jc w:val="both"/>
              <w:rPr>
                <w:rFonts w:eastAsia="Times New Roman"/>
                <w:sz w:val="24"/>
                <w:szCs w:val="24"/>
              </w:rPr>
            </w:pPr>
            <w:r w:rsidRPr="006C4C0E">
              <w:rPr>
                <w:rFonts w:eastAsia="Times New Roman"/>
                <w:sz w:val="24"/>
                <w:szCs w:val="24"/>
              </w:rPr>
              <w:t xml:space="preserve">Digital learning modules, </w:t>
            </w:r>
          </w:p>
          <w:p w14:paraId="7D4EC9C9" w14:textId="77777777" w:rsidR="0054289B" w:rsidRPr="006C4C0E" w:rsidRDefault="00475F10">
            <w:pPr>
              <w:numPr>
                <w:ilvl w:val="0"/>
                <w:numId w:val="3"/>
              </w:numPr>
              <w:spacing w:after="240" w:line="360" w:lineRule="auto"/>
              <w:jc w:val="both"/>
              <w:rPr>
                <w:rFonts w:eastAsia="Times New Roman"/>
                <w:sz w:val="24"/>
                <w:szCs w:val="24"/>
              </w:rPr>
            </w:pPr>
            <w:r w:rsidRPr="006C4C0E">
              <w:rPr>
                <w:rFonts w:eastAsia="Times New Roman"/>
                <w:sz w:val="24"/>
                <w:szCs w:val="24"/>
              </w:rPr>
              <w:t>Manager welcome call</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52A00D4B"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Faster organisational readiness</w:t>
            </w:r>
          </w:p>
        </w:tc>
      </w:tr>
      <w:tr w:rsidR="0054289B" w:rsidRPr="006C4C0E" w14:paraId="4C07A9D0" w14:textId="77777777">
        <w:trPr>
          <w:trHeight w:val="177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43AE5FF5"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First 90 Days</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13A40490"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 xml:space="preserve">Build capability   </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164FB187" w14:textId="77777777" w:rsidR="0054289B" w:rsidRPr="006C4C0E" w:rsidRDefault="00475F10">
            <w:pPr>
              <w:numPr>
                <w:ilvl w:val="0"/>
                <w:numId w:val="2"/>
              </w:numPr>
              <w:spacing w:before="240" w:line="360" w:lineRule="auto"/>
              <w:jc w:val="both"/>
              <w:rPr>
                <w:rFonts w:eastAsia="Times New Roman"/>
                <w:sz w:val="24"/>
                <w:szCs w:val="24"/>
              </w:rPr>
            </w:pPr>
            <w:r w:rsidRPr="006C4C0E">
              <w:rPr>
                <w:rFonts w:eastAsia="Times New Roman"/>
                <w:sz w:val="24"/>
                <w:szCs w:val="24"/>
              </w:rPr>
              <w:t>Innovation boot</w:t>
            </w:r>
            <w:r w:rsidR="00AE4D88" w:rsidRPr="006C4C0E">
              <w:rPr>
                <w:rFonts w:eastAsia="Times New Roman"/>
                <w:sz w:val="24"/>
                <w:szCs w:val="24"/>
              </w:rPr>
              <w:t xml:space="preserve"> </w:t>
            </w:r>
            <w:r w:rsidRPr="006C4C0E">
              <w:rPr>
                <w:rFonts w:eastAsia="Times New Roman"/>
                <w:sz w:val="24"/>
                <w:szCs w:val="24"/>
              </w:rPr>
              <w:t>camp,</w:t>
            </w:r>
          </w:p>
          <w:p w14:paraId="0A5A37C7"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Cross-functional projects,</w:t>
            </w:r>
          </w:p>
          <w:p w14:paraId="421A7574"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Structured coaching,</w:t>
            </w:r>
          </w:p>
          <w:p w14:paraId="0C18CAC5" w14:textId="77777777" w:rsidR="0054289B" w:rsidRPr="006C4C0E" w:rsidRDefault="00475F10">
            <w:pPr>
              <w:numPr>
                <w:ilvl w:val="0"/>
                <w:numId w:val="2"/>
              </w:numPr>
              <w:spacing w:line="360" w:lineRule="auto"/>
              <w:jc w:val="both"/>
              <w:rPr>
                <w:rFonts w:eastAsia="Times New Roman"/>
                <w:sz w:val="24"/>
                <w:szCs w:val="24"/>
              </w:rPr>
            </w:pPr>
            <w:r w:rsidRPr="006C4C0E">
              <w:rPr>
                <w:rFonts w:eastAsia="Times New Roman"/>
                <w:sz w:val="24"/>
                <w:szCs w:val="24"/>
              </w:rPr>
              <w:t>Monthly feedback,</w:t>
            </w:r>
          </w:p>
          <w:p w14:paraId="2E27A310" w14:textId="77777777" w:rsidR="0054289B" w:rsidRPr="006C4C0E" w:rsidRDefault="00475F10">
            <w:pPr>
              <w:numPr>
                <w:ilvl w:val="0"/>
                <w:numId w:val="2"/>
              </w:numPr>
              <w:spacing w:after="240" w:line="360" w:lineRule="auto"/>
              <w:jc w:val="both"/>
              <w:rPr>
                <w:rFonts w:eastAsia="Times New Roman"/>
                <w:sz w:val="24"/>
                <w:szCs w:val="24"/>
              </w:rPr>
            </w:pPr>
            <w:r w:rsidRPr="006C4C0E">
              <w:rPr>
                <w:rFonts w:eastAsia="Times New Roman"/>
                <w:sz w:val="24"/>
                <w:szCs w:val="24"/>
              </w:rPr>
              <w:t>Cultural immersion</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41A758D5"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Higher engagement</w:t>
            </w:r>
          </w:p>
        </w:tc>
      </w:tr>
      <w:tr w:rsidR="0054289B" w:rsidRPr="006C4C0E" w14:paraId="6AAD5CCB" w14:textId="77777777">
        <w:trPr>
          <w:trHeight w:val="1770"/>
        </w:trPr>
        <w:tc>
          <w:tcPr>
            <w:tcW w:w="1575" w:type="dxa"/>
            <w:tcBorders>
              <w:top w:val="nil"/>
              <w:left w:val="single" w:sz="6" w:space="0" w:color="000000"/>
              <w:bottom w:val="single" w:sz="6" w:space="0" w:color="000000"/>
              <w:right w:val="single" w:sz="6" w:space="0" w:color="000000"/>
            </w:tcBorders>
            <w:shd w:val="clear" w:color="auto" w:fill="D9EAD3"/>
            <w:tcMar>
              <w:top w:w="100" w:type="dxa"/>
              <w:left w:w="100" w:type="dxa"/>
              <w:bottom w:w="100" w:type="dxa"/>
              <w:right w:w="100" w:type="dxa"/>
            </w:tcMar>
          </w:tcPr>
          <w:p w14:paraId="5D0A6082" w14:textId="77777777" w:rsidR="0054289B" w:rsidRPr="006C4C0E" w:rsidRDefault="00475F10">
            <w:pPr>
              <w:spacing w:before="240" w:after="240" w:line="360" w:lineRule="auto"/>
              <w:jc w:val="both"/>
              <w:rPr>
                <w:rFonts w:eastAsia="Times New Roman"/>
                <w:b/>
                <w:bCs/>
                <w:i/>
                <w:iCs/>
                <w:sz w:val="24"/>
                <w:szCs w:val="24"/>
              </w:rPr>
            </w:pPr>
            <w:r w:rsidRPr="006C4C0E">
              <w:rPr>
                <w:rFonts w:eastAsia="Times New Roman"/>
                <w:b/>
                <w:bCs/>
                <w:i/>
                <w:iCs/>
                <w:sz w:val="24"/>
                <w:szCs w:val="24"/>
              </w:rPr>
              <w:t>Year One</w:t>
            </w:r>
          </w:p>
        </w:tc>
        <w:tc>
          <w:tcPr>
            <w:tcW w:w="214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14:paraId="72255428"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Develop organisational commitment</w:t>
            </w:r>
          </w:p>
        </w:tc>
        <w:tc>
          <w:tcPr>
            <w:tcW w:w="3360" w:type="dxa"/>
            <w:tcBorders>
              <w:top w:val="nil"/>
              <w:left w:val="nil"/>
              <w:bottom w:val="single" w:sz="6" w:space="0" w:color="000000"/>
              <w:right w:val="single" w:sz="6" w:space="0" w:color="000000"/>
            </w:tcBorders>
            <w:shd w:val="clear" w:color="auto" w:fill="CFE2F3"/>
            <w:tcMar>
              <w:top w:w="100" w:type="dxa"/>
              <w:left w:w="100" w:type="dxa"/>
              <w:bottom w:w="100" w:type="dxa"/>
              <w:right w:w="100" w:type="dxa"/>
            </w:tcMar>
          </w:tcPr>
          <w:p w14:paraId="1D1A892E" w14:textId="77777777" w:rsidR="0054289B" w:rsidRPr="006C4C0E" w:rsidRDefault="00475F10">
            <w:pPr>
              <w:numPr>
                <w:ilvl w:val="0"/>
                <w:numId w:val="1"/>
              </w:numPr>
              <w:spacing w:before="240" w:line="360" w:lineRule="auto"/>
              <w:jc w:val="both"/>
              <w:rPr>
                <w:rFonts w:eastAsia="Times New Roman"/>
                <w:sz w:val="24"/>
                <w:szCs w:val="24"/>
              </w:rPr>
            </w:pPr>
            <w:r w:rsidRPr="006C4C0E">
              <w:rPr>
                <w:rFonts w:eastAsia="Times New Roman"/>
                <w:sz w:val="24"/>
                <w:szCs w:val="24"/>
              </w:rPr>
              <w:t>Career pathway planning,</w:t>
            </w:r>
          </w:p>
          <w:p w14:paraId="1E0D6CED"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 xml:space="preserve">Leadership mentoring, </w:t>
            </w:r>
          </w:p>
          <w:p w14:paraId="041870F4"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International project opportunities,</w:t>
            </w:r>
          </w:p>
          <w:p w14:paraId="38B2049A" w14:textId="77777777" w:rsidR="0054289B" w:rsidRPr="006C4C0E" w:rsidRDefault="00475F10">
            <w:pPr>
              <w:numPr>
                <w:ilvl w:val="0"/>
                <w:numId w:val="1"/>
              </w:numPr>
              <w:spacing w:line="360" w:lineRule="auto"/>
              <w:jc w:val="both"/>
              <w:rPr>
                <w:rFonts w:eastAsia="Times New Roman"/>
                <w:sz w:val="24"/>
                <w:szCs w:val="24"/>
              </w:rPr>
            </w:pPr>
            <w:r w:rsidRPr="006C4C0E">
              <w:rPr>
                <w:rFonts w:eastAsia="Times New Roman"/>
                <w:sz w:val="24"/>
                <w:szCs w:val="24"/>
              </w:rPr>
              <w:t>Innovation challenges,</w:t>
            </w:r>
          </w:p>
          <w:p w14:paraId="2067581F" w14:textId="77777777" w:rsidR="0054289B" w:rsidRPr="006C4C0E" w:rsidRDefault="00475F10">
            <w:pPr>
              <w:numPr>
                <w:ilvl w:val="0"/>
                <w:numId w:val="1"/>
              </w:numPr>
              <w:spacing w:after="240" w:line="360" w:lineRule="auto"/>
              <w:jc w:val="both"/>
              <w:rPr>
                <w:rFonts w:eastAsia="Times New Roman"/>
                <w:sz w:val="24"/>
                <w:szCs w:val="24"/>
              </w:rPr>
            </w:pPr>
            <w:r w:rsidRPr="006C4C0E">
              <w:rPr>
                <w:rFonts w:eastAsia="Times New Roman"/>
                <w:sz w:val="24"/>
                <w:szCs w:val="24"/>
              </w:rPr>
              <w:t>Continuous learning</w:t>
            </w:r>
          </w:p>
        </w:tc>
        <w:tc>
          <w:tcPr>
            <w:tcW w:w="1815" w:type="dxa"/>
            <w:tcBorders>
              <w:top w:val="nil"/>
              <w:left w:val="nil"/>
              <w:bottom w:val="single" w:sz="6" w:space="0" w:color="000000"/>
              <w:right w:val="single" w:sz="6" w:space="0" w:color="000000"/>
            </w:tcBorders>
            <w:shd w:val="clear" w:color="auto" w:fill="E6B8AF"/>
            <w:tcMar>
              <w:top w:w="100" w:type="dxa"/>
              <w:left w:w="100" w:type="dxa"/>
              <w:bottom w:w="100" w:type="dxa"/>
              <w:right w:w="100" w:type="dxa"/>
            </w:tcMar>
          </w:tcPr>
          <w:p w14:paraId="37AC5E60" w14:textId="77777777" w:rsidR="0054289B" w:rsidRPr="006C4C0E" w:rsidRDefault="00475F10">
            <w:pPr>
              <w:spacing w:before="240" w:after="240" w:line="360" w:lineRule="auto"/>
              <w:jc w:val="both"/>
              <w:rPr>
                <w:rFonts w:eastAsia="Times New Roman"/>
                <w:sz w:val="24"/>
                <w:szCs w:val="24"/>
              </w:rPr>
            </w:pPr>
            <w:r w:rsidRPr="006C4C0E">
              <w:rPr>
                <w:rFonts w:eastAsia="Times New Roman"/>
                <w:sz w:val="24"/>
                <w:szCs w:val="24"/>
              </w:rPr>
              <w:t xml:space="preserve">Improved retention  </w:t>
            </w:r>
          </w:p>
        </w:tc>
      </w:tr>
    </w:tbl>
    <w:p w14:paraId="17CDC25F" w14:textId="77777777" w:rsidR="0054289B" w:rsidRPr="006C4C0E" w:rsidRDefault="00475F10">
      <w:pPr>
        <w:spacing w:after="200" w:line="360" w:lineRule="auto"/>
        <w:jc w:val="center"/>
        <w:rPr>
          <w:rFonts w:eastAsia="Times New Roman"/>
          <w:sz w:val="24"/>
          <w:szCs w:val="24"/>
        </w:rPr>
      </w:pPr>
      <w:r w:rsidRPr="006C4C0E">
        <w:rPr>
          <w:rFonts w:eastAsia="Times New Roman"/>
          <w:b/>
          <w:bCs/>
          <w:sz w:val="24"/>
          <w:szCs w:val="24"/>
        </w:rPr>
        <w:t xml:space="preserve"> </w:t>
      </w:r>
      <w:r w:rsidRPr="006C4C0E">
        <w:rPr>
          <w:rFonts w:eastAsia="Times New Roman"/>
          <w:sz w:val="24"/>
          <w:szCs w:val="24"/>
        </w:rPr>
        <w:t>(Source: Self-developed)</w:t>
      </w:r>
      <w:r w:rsidRPr="006C4C0E">
        <w:br w:type="page"/>
      </w:r>
    </w:p>
    <w:p w14:paraId="4BA67C32" w14:textId="77777777" w:rsidR="0054289B" w:rsidRPr="006C4C0E" w:rsidRDefault="00475F10" w:rsidP="00AE4D88">
      <w:pPr>
        <w:pStyle w:val="Heading2"/>
      </w:pPr>
      <w:bookmarkStart w:id="19" w:name="_Toc234861990"/>
      <w:r w:rsidRPr="006C4C0E">
        <w:lastRenderedPageBreak/>
        <w:t>Appendix 2: Personal Capability Development Plan</w:t>
      </w:r>
      <w:bookmarkEnd w:id="19"/>
    </w:p>
    <w:tbl>
      <w:tblPr>
        <w:tblStyle w:val="a0"/>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55"/>
        <w:gridCol w:w="2835"/>
        <w:gridCol w:w="1290"/>
        <w:gridCol w:w="2715"/>
      </w:tblGrid>
      <w:tr w:rsidR="0054289B" w:rsidRPr="006C4C0E" w14:paraId="1C49627F" w14:textId="77777777">
        <w:trPr>
          <w:trHeight w:val="690"/>
        </w:trPr>
        <w:tc>
          <w:tcPr>
            <w:tcW w:w="205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F76128"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Capability Area</w:t>
            </w:r>
          </w:p>
        </w:tc>
        <w:tc>
          <w:tcPr>
            <w:tcW w:w="283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95710F3"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Development Action</w:t>
            </w:r>
          </w:p>
        </w:tc>
        <w:tc>
          <w:tcPr>
            <w:tcW w:w="12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C3216D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Timeline</w:t>
            </w:r>
          </w:p>
        </w:tc>
        <w:tc>
          <w:tcPr>
            <w:tcW w:w="271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8A20FEB"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Future Benefit</w:t>
            </w:r>
          </w:p>
        </w:tc>
      </w:tr>
      <w:tr w:rsidR="0054289B" w:rsidRPr="006C4C0E" w14:paraId="08010C04" w14:textId="77777777">
        <w:trPr>
          <w:trHeight w:val="142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654577C"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Data Literacy</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2CAD167A"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Learn HR analytics tools</w:t>
            </w:r>
          </w:p>
          <w:p w14:paraId="0744056A"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Data interpretation techniques</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579064BC"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1–3</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59756719"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Evidence-based HR decisions</w:t>
            </w:r>
          </w:p>
        </w:tc>
      </w:tr>
      <w:tr w:rsidR="0054289B" w:rsidRPr="006C4C0E" w14:paraId="26BA2076" w14:textId="77777777">
        <w:trPr>
          <w:trHeight w:val="960"/>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B36B87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AI in HR</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6D4E895C"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 xml:space="preserve">In HR processes, develop knowledge  </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78F8851B"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3–6</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71175238"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Effective AI-supported HR practices</w:t>
            </w:r>
          </w:p>
        </w:tc>
      </w:tr>
      <w:tr w:rsidR="0054289B" w:rsidRPr="006C4C0E" w14:paraId="5DB879C9" w14:textId="77777777">
        <w:trPr>
          <w:trHeight w:val="142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D7C1AEB"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Strategic Influencing</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2D219139"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 xml:space="preserve">Improve communication, </w:t>
            </w:r>
          </w:p>
          <w:p w14:paraId="7BCD081A" w14:textId="77777777" w:rsidR="0054289B" w:rsidRPr="006C4C0E" w:rsidRDefault="00475F10">
            <w:pPr>
              <w:spacing w:after="200"/>
              <w:jc w:val="center"/>
              <w:rPr>
                <w:rFonts w:eastAsia="Times New Roman"/>
                <w:sz w:val="24"/>
                <w:szCs w:val="24"/>
                <w:highlight w:val="white"/>
              </w:rPr>
            </w:pPr>
            <w:proofErr w:type="gramStart"/>
            <w:r w:rsidRPr="006C4C0E">
              <w:rPr>
                <w:rFonts w:eastAsia="Times New Roman"/>
                <w:sz w:val="24"/>
                <w:szCs w:val="24"/>
                <w:highlight w:val="white"/>
              </w:rPr>
              <w:t>leadership  management</w:t>
            </w:r>
            <w:proofErr w:type="gramEnd"/>
            <w:r w:rsidRPr="006C4C0E">
              <w:rPr>
                <w:rFonts w:eastAsia="Times New Roman"/>
                <w:sz w:val="24"/>
                <w:szCs w:val="24"/>
                <w:highlight w:val="white"/>
              </w:rPr>
              <w:t xml:space="preserve"> skills</w:t>
            </w:r>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03BCC9D5"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6–9</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7C979192"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Stronger strategic HR impact</w:t>
            </w:r>
          </w:p>
        </w:tc>
      </w:tr>
      <w:tr w:rsidR="0054289B" w:rsidRPr="006C4C0E" w14:paraId="60C3D2F1" w14:textId="77777777">
        <w:trPr>
          <w:trHeight w:val="1035"/>
        </w:trPr>
        <w:tc>
          <w:tcPr>
            <w:tcW w:w="205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924F581" w14:textId="77777777" w:rsidR="0054289B" w:rsidRPr="006C4C0E" w:rsidRDefault="00475F10">
            <w:pPr>
              <w:spacing w:after="200"/>
              <w:jc w:val="center"/>
              <w:rPr>
                <w:rFonts w:eastAsia="Times New Roman"/>
                <w:b/>
                <w:bCs/>
                <w:i/>
                <w:iCs/>
                <w:sz w:val="24"/>
                <w:szCs w:val="24"/>
                <w:highlight w:val="white"/>
              </w:rPr>
            </w:pPr>
            <w:r w:rsidRPr="006C4C0E">
              <w:rPr>
                <w:rFonts w:eastAsia="Times New Roman"/>
                <w:b/>
                <w:bCs/>
                <w:i/>
                <w:iCs/>
                <w:sz w:val="24"/>
                <w:szCs w:val="24"/>
                <w:highlight w:val="white"/>
              </w:rPr>
              <w:t>Global Mobility Awareness</w:t>
            </w:r>
          </w:p>
        </w:tc>
        <w:tc>
          <w:tcPr>
            <w:tcW w:w="2835" w:type="dxa"/>
            <w:tcBorders>
              <w:top w:val="nil"/>
              <w:left w:val="nil"/>
              <w:bottom w:val="single" w:sz="6" w:space="0" w:color="000000"/>
              <w:right w:val="single" w:sz="6" w:space="0" w:color="000000"/>
            </w:tcBorders>
            <w:tcMar>
              <w:top w:w="100" w:type="dxa"/>
              <w:left w:w="100" w:type="dxa"/>
              <w:bottom w:w="100" w:type="dxa"/>
              <w:right w:w="100" w:type="dxa"/>
            </w:tcMar>
          </w:tcPr>
          <w:p w14:paraId="69EB1566"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Study cross-</w:t>
            </w:r>
            <w:proofErr w:type="gramStart"/>
            <w:r w:rsidRPr="006C4C0E">
              <w:rPr>
                <w:rFonts w:eastAsia="Times New Roman"/>
                <w:sz w:val="24"/>
                <w:szCs w:val="24"/>
                <w:highlight w:val="white"/>
              </w:rPr>
              <w:t>cultural  management</w:t>
            </w:r>
            <w:proofErr w:type="gramEnd"/>
          </w:p>
        </w:tc>
        <w:tc>
          <w:tcPr>
            <w:tcW w:w="1290" w:type="dxa"/>
            <w:tcBorders>
              <w:top w:val="nil"/>
              <w:left w:val="nil"/>
              <w:bottom w:val="single" w:sz="6" w:space="0" w:color="000000"/>
              <w:right w:val="single" w:sz="6" w:space="0" w:color="000000"/>
            </w:tcBorders>
            <w:tcMar>
              <w:top w:w="100" w:type="dxa"/>
              <w:left w:w="100" w:type="dxa"/>
              <w:bottom w:w="100" w:type="dxa"/>
              <w:right w:w="100" w:type="dxa"/>
            </w:tcMar>
          </w:tcPr>
          <w:p w14:paraId="7AA0EB74"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Months 9–12</w:t>
            </w:r>
          </w:p>
        </w:tc>
        <w:tc>
          <w:tcPr>
            <w:tcW w:w="2715" w:type="dxa"/>
            <w:tcBorders>
              <w:top w:val="nil"/>
              <w:left w:val="nil"/>
              <w:bottom w:val="single" w:sz="6" w:space="0" w:color="000000"/>
              <w:right w:val="single" w:sz="6" w:space="0" w:color="000000"/>
            </w:tcBorders>
            <w:tcMar>
              <w:top w:w="100" w:type="dxa"/>
              <w:left w:w="100" w:type="dxa"/>
              <w:bottom w:w="100" w:type="dxa"/>
              <w:right w:w="100" w:type="dxa"/>
            </w:tcMar>
          </w:tcPr>
          <w:p w14:paraId="0A75B595" w14:textId="77777777" w:rsidR="0054289B" w:rsidRPr="006C4C0E" w:rsidRDefault="00475F10">
            <w:pPr>
              <w:spacing w:after="200"/>
              <w:jc w:val="center"/>
              <w:rPr>
                <w:rFonts w:eastAsia="Times New Roman"/>
                <w:sz w:val="24"/>
                <w:szCs w:val="24"/>
                <w:highlight w:val="white"/>
              </w:rPr>
            </w:pPr>
            <w:r w:rsidRPr="006C4C0E">
              <w:rPr>
                <w:rFonts w:eastAsia="Times New Roman"/>
                <w:sz w:val="24"/>
                <w:szCs w:val="24"/>
                <w:highlight w:val="white"/>
              </w:rPr>
              <w:t>Effective global workforce management</w:t>
            </w:r>
          </w:p>
        </w:tc>
      </w:tr>
    </w:tbl>
    <w:p w14:paraId="53806222" w14:textId="77777777" w:rsidR="0054289B" w:rsidRPr="006C4C0E" w:rsidRDefault="00475F10">
      <w:pPr>
        <w:spacing w:after="200" w:line="360" w:lineRule="auto"/>
        <w:jc w:val="center"/>
        <w:rPr>
          <w:rFonts w:eastAsia="Times New Roman"/>
          <w:sz w:val="24"/>
          <w:szCs w:val="24"/>
        </w:rPr>
      </w:pPr>
      <w:r w:rsidRPr="006C4C0E">
        <w:rPr>
          <w:rFonts w:eastAsia="Times New Roman"/>
          <w:b/>
          <w:bCs/>
          <w:sz w:val="24"/>
          <w:szCs w:val="24"/>
        </w:rPr>
        <w:t xml:space="preserve"> </w:t>
      </w:r>
      <w:r w:rsidRPr="006C4C0E">
        <w:rPr>
          <w:rFonts w:eastAsia="Times New Roman"/>
          <w:sz w:val="24"/>
          <w:szCs w:val="24"/>
        </w:rPr>
        <w:t>(Source: Self-developed)</w:t>
      </w:r>
    </w:p>
    <w:sectPr w:rsidR="0054289B" w:rsidRPr="006C4C0E" w:rsidSect="00AE4D88">
      <w:footerReference w:type="default" r:id="rId4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BA6FE2" w14:textId="77777777" w:rsidR="00413140" w:rsidRDefault="00413140" w:rsidP="00667472">
      <w:pPr>
        <w:spacing w:line="240" w:lineRule="auto"/>
      </w:pPr>
      <w:r>
        <w:separator/>
      </w:r>
    </w:p>
  </w:endnote>
  <w:endnote w:type="continuationSeparator" w:id="0">
    <w:p w14:paraId="1F4E49B9" w14:textId="77777777" w:rsidR="00413140" w:rsidRDefault="00413140" w:rsidP="006674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9D72189-8193-0643-9ACC-70097046C810}"/>
    <w:embedBold r:id="rId2" w:fontKey="{B513A355-F081-474E-B13E-5CB24EE191A5}"/>
    <w:embedItalic r:id="rId3" w:fontKey="{F6779990-AB42-DF4B-9BCE-07EC96E91C56}"/>
    <w:embedBoldItalic r:id="rId4" w:fontKey="{009341AA-C6D3-FE4F-B5D7-9ECD23CC3417}"/>
  </w:font>
  <w:font w:name="Arial">
    <w:panose1 w:val="020B0604020202020204"/>
    <w:charset w:val="00"/>
    <w:family w:val="swiss"/>
    <w:pitch w:val="variable"/>
    <w:sig w:usb0="E0002EFF" w:usb1="C000785B" w:usb2="00000009" w:usb3="00000000" w:csb0="000001FF" w:csb1="00000000"/>
    <w:embedRegular r:id="rId5" w:fontKey="{D6594A77-B327-264C-86A6-F7462609491D}"/>
    <w:embedBold r:id="rId6" w:fontKey="{6F9C411A-F66F-AF43-BD14-8AD6FDBDFFAA}"/>
    <w:embedItalic r:id="rId7" w:fontKey="{D7B850BE-63E4-3F44-BFC6-62ABBD322B2A}"/>
    <w:embedBoldItalic r:id="rId8" w:fontKey="{999563BF-F5DF-3946-9A38-356815689512}"/>
  </w:font>
  <w:font w:name="Calibri">
    <w:panose1 w:val="020F0502020204030204"/>
    <w:charset w:val="00"/>
    <w:family w:val="swiss"/>
    <w:pitch w:val="variable"/>
    <w:sig w:usb0="E4002EFF" w:usb1="C000247B" w:usb2="00000009" w:usb3="00000000" w:csb0="000001FF" w:csb1="00000000"/>
    <w:embedRegular r:id="rId9" w:fontKey="{F9F96155-5616-DD4E-8F65-9CC79F6D868D}"/>
    <w:embedBold r:id="rId10" w:fontKey="{9A9945C6-4F6A-4A4A-9988-D46F547F9EF1}"/>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11" w:fontKey="{DDA1F9C4-19C7-FF4D-AD3F-B35C4DD1BCFF}"/>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embedItalic r:id="rId12" w:fontKey="{35C23693-6323-114A-B8A5-5CA6A8E3CE1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67290096"/>
      <w:docPartObj>
        <w:docPartGallery w:val="Page Numbers (Bottom of Page)"/>
        <w:docPartUnique/>
      </w:docPartObj>
    </w:sdtPr>
    <w:sdtEndPr>
      <w:rPr>
        <w:sz w:val="20"/>
        <w:szCs w:val="20"/>
      </w:rPr>
    </w:sdtEndPr>
    <w:sdtContent>
      <w:p w14:paraId="1AF7CFE8" w14:textId="77777777" w:rsidR="00AE4D88" w:rsidRPr="00AE4D88" w:rsidRDefault="00AE4D88">
        <w:pPr>
          <w:pStyle w:val="Footer"/>
          <w:jc w:val="right"/>
          <w:rPr>
            <w:sz w:val="20"/>
          </w:rPr>
        </w:pPr>
        <w:r w:rsidRPr="00AE4D88">
          <w:rPr>
            <w:sz w:val="20"/>
          </w:rPr>
          <w:fldChar w:fldCharType="begin"/>
        </w:r>
        <w:r w:rsidRPr="00AE4D88">
          <w:rPr>
            <w:sz w:val="20"/>
          </w:rPr>
          <w:instrText xml:space="preserve"> PAGE   \* MERGEFORMAT </w:instrText>
        </w:r>
        <w:r w:rsidRPr="00AE4D88">
          <w:rPr>
            <w:sz w:val="20"/>
          </w:rPr>
          <w:fldChar w:fldCharType="separate"/>
        </w:r>
        <w:r w:rsidR="006C4C0E">
          <w:rPr>
            <w:noProof/>
            <w:sz w:val="20"/>
          </w:rPr>
          <w:t>4</w:t>
        </w:r>
        <w:r w:rsidRPr="00AE4D88">
          <w:rPr>
            <w:noProof/>
            <w:sz w:val="20"/>
          </w:rPr>
          <w:fldChar w:fldCharType="end"/>
        </w:r>
      </w:p>
    </w:sdtContent>
  </w:sdt>
  <w:p w14:paraId="2FEFC56F" w14:textId="77777777" w:rsidR="00AE4D88" w:rsidRDefault="00AE4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D13CA60" w14:textId="77777777" w:rsidR="00413140" w:rsidRDefault="00413140" w:rsidP="00667472">
      <w:pPr>
        <w:spacing w:line="240" w:lineRule="auto"/>
      </w:pPr>
      <w:r>
        <w:separator/>
      </w:r>
    </w:p>
  </w:footnote>
  <w:footnote w:type="continuationSeparator" w:id="0">
    <w:p w14:paraId="1F9349DC" w14:textId="77777777" w:rsidR="00413140" w:rsidRDefault="00413140" w:rsidP="006674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032FE4"/>
    <w:multiLevelType w:val="multilevel"/>
    <w:tmpl w:val="E586C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A06DFC"/>
    <w:multiLevelType w:val="multilevel"/>
    <w:tmpl w:val="44746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5C24CE"/>
    <w:multiLevelType w:val="multilevel"/>
    <w:tmpl w:val="51DCF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2103625">
    <w:abstractNumId w:val="2"/>
  </w:num>
  <w:num w:numId="2" w16cid:durableId="36786113">
    <w:abstractNumId w:val="0"/>
  </w:num>
  <w:num w:numId="3" w16cid:durableId="131729986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289B"/>
    <w:rsid w:val="0001477F"/>
    <w:rsid w:val="000A0F57"/>
    <w:rsid w:val="0014165A"/>
    <w:rsid w:val="001D465B"/>
    <w:rsid w:val="002705D4"/>
    <w:rsid w:val="002748F6"/>
    <w:rsid w:val="002764E9"/>
    <w:rsid w:val="002A089C"/>
    <w:rsid w:val="002A1FF8"/>
    <w:rsid w:val="002C4B62"/>
    <w:rsid w:val="00335306"/>
    <w:rsid w:val="00345988"/>
    <w:rsid w:val="003C2948"/>
    <w:rsid w:val="003D510C"/>
    <w:rsid w:val="00413140"/>
    <w:rsid w:val="004526E1"/>
    <w:rsid w:val="00456CD3"/>
    <w:rsid w:val="00475F10"/>
    <w:rsid w:val="00486E68"/>
    <w:rsid w:val="004C4061"/>
    <w:rsid w:val="004C6651"/>
    <w:rsid w:val="0054289B"/>
    <w:rsid w:val="005E7DDB"/>
    <w:rsid w:val="00667472"/>
    <w:rsid w:val="006C4C0E"/>
    <w:rsid w:val="006C73F2"/>
    <w:rsid w:val="00744C38"/>
    <w:rsid w:val="007564FD"/>
    <w:rsid w:val="0081680C"/>
    <w:rsid w:val="00820610"/>
    <w:rsid w:val="00822B3E"/>
    <w:rsid w:val="008521CB"/>
    <w:rsid w:val="00876A52"/>
    <w:rsid w:val="00884B3F"/>
    <w:rsid w:val="008A0A1E"/>
    <w:rsid w:val="008B7D28"/>
    <w:rsid w:val="008D5153"/>
    <w:rsid w:val="008E0A03"/>
    <w:rsid w:val="0092567A"/>
    <w:rsid w:val="0093361B"/>
    <w:rsid w:val="0094360F"/>
    <w:rsid w:val="00973FC5"/>
    <w:rsid w:val="009859E7"/>
    <w:rsid w:val="009D3F83"/>
    <w:rsid w:val="009E2A8D"/>
    <w:rsid w:val="00A04A89"/>
    <w:rsid w:val="00A06BEC"/>
    <w:rsid w:val="00A11F5D"/>
    <w:rsid w:val="00A2072F"/>
    <w:rsid w:val="00A60604"/>
    <w:rsid w:val="00A84647"/>
    <w:rsid w:val="00AE4D88"/>
    <w:rsid w:val="00B0082C"/>
    <w:rsid w:val="00B74EFF"/>
    <w:rsid w:val="00B84D90"/>
    <w:rsid w:val="00BC070A"/>
    <w:rsid w:val="00C40296"/>
    <w:rsid w:val="00C407F4"/>
    <w:rsid w:val="00C66F0A"/>
    <w:rsid w:val="00C673E1"/>
    <w:rsid w:val="00CC6B1D"/>
    <w:rsid w:val="00D43C0C"/>
    <w:rsid w:val="00D57FA6"/>
    <w:rsid w:val="00DC7C9A"/>
    <w:rsid w:val="00E02051"/>
    <w:rsid w:val="00E51501"/>
    <w:rsid w:val="00EB46E1"/>
    <w:rsid w:val="00EB62F3"/>
    <w:rsid w:val="00EE13ED"/>
    <w:rsid w:val="00F02457"/>
    <w:rsid w:val="00FA3892"/>
    <w:rsid w:val="00FC6667"/>
    <w:rsid w:val="00FF14C3"/>
    <w:rsid w:val="566BD6FB"/>
    <w:rsid w:val="6FE7B3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E4471"/>
  <w15:docId w15:val="{46764AEE-1321-5741-87E2-DDCB435EA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E4D88"/>
    <w:pPr>
      <w:keepNext/>
      <w:keepLines/>
      <w:spacing w:before="120" w:after="120" w:line="360" w:lineRule="auto"/>
      <w:jc w:val="both"/>
      <w:outlineLvl w:val="0"/>
    </w:pPr>
    <w:rPr>
      <w:b/>
      <w:sz w:val="28"/>
      <w:szCs w:val="40"/>
    </w:rPr>
  </w:style>
  <w:style w:type="paragraph" w:styleId="Heading2">
    <w:name w:val="heading 2"/>
    <w:basedOn w:val="Normal"/>
    <w:next w:val="Normal"/>
    <w:rsid w:val="00AE4D88"/>
    <w:pPr>
      <w:keepNext/>
      <w:keepLines/>
      <w:spacing w:before="120" w:after="120" w:line="360" w:lineRule="auto"/>
      <w:jc w:val="both"/>
      <w:outlineLvl w:val="1"/>
    </w:pPr>
    <w:rPr>
      <w:b/>
      <w:sz w:val="26"/>
      <w:szCs w:val="32"/>
    </w:rPr>
  </w:style>
  <w:style w:type="paragraph" w:styleId="Heading3">
    <w:name w:val="heading 3"/>
    <w:basedOn w:val="Normal"/>
    <w:next w:val="Normal"/>
    <w:rsid w:val="00AE4D88"/>
    <w:pPr>
      <w:keepNext/>
      <w:keepLines/>
      <w:spacing w:before="120" w:after="120" w:line="360" w:lineRule="auto"/>
      <w:jc w:val="both"/>
      <w:outlineLvl w:val="2"/>
    </w:pPr>
    <w:rPr>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667472"/>
    <w:pPr>
      <w:tabs>
        <w:tab w:val="center" w:pos="4680"/>
        <w:tab w:val="right" w:pos="9360"/>
      </w:tabs>
      <w:spacing w:line="240" w:lineRule="auto"/>
    </w:pPr>
  </w:style>
  <w:style w:type="character" w:customStyle="1" w:styleId="HeaderChar">
    <w:name w:val="Header Char"/>
    <w:basedOn w:val="DefaultParagraphFont"/>
    <w:link w:val="Header"/>
    <w:uiPriority w:val="99"/>
    <w:rsid w:val="00667472"/>
  </w:style>
  <w:style w:type="paragraph" w:styleId="Footer">
    <w:name w:val="footer"/>
    <w:basedOn w:val="Normal"/>
    <w:link w:val="FooterChar"/>
    <w:uiPriority w:val="99"/>
    <w:unhideWhenUsed/>
    <w:rsid w:val="00667472"/>
    <w:pPr>
      <w:tabs>
        <w:tab w:val="center" w:pos="4680"/>
        <w:tab w:val="right" w:pos="9360"/>
      </w:tabs>
      <w:spacing w:line="240" w:lineRule="auto"/>
    </w:pPr>
  </w:style>
  <w:style w:type="character" w:customStyle="1" w:styleId="FooterChar">
    <w:name w:val="Footer Char"/>
    <w:basedOn w:val="DefaultParagraphFont"/>
    <w:link w:val="Footer"/>
    <w:uiPriority w:val="99"/>
    <w:rsid w:val="00667472"/>
  </w:style>
  <w:style w:type="character" w:styleId="Hyperlink">
    <w:name w:val="Hyperlink"/>
    <w:basedOn w:val="DefaultParagraphFont"/>
    <w:uiPriority w:val="99"/>
    <w:unhideWhenUsed/>
    <w:rsid w:val="00667472"/>
    <w:rPr>
      <w:color w:val="0000FF"/>
      <w:u w:val="single"/>
    </w:rPr>
  </w:style>
  <w:style w:type="paragraph" w:styleId="TOCHeading">
    <w:name w:val="TOC Heading"/>
    <w:basedOn w:val="Heading1"/>
    <w:next w:val="Normal"/>
    <w:uiPriority w:val="39"/>
    <w:unhideWhenUsed/>
    <w:qFormat/>
    <w:rsid w:val="00667472"/>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667472"/>
    <w:pPr>
      <w:spacing w:after="100"/>
    </w:pPr>
  </w:style>
  <w:style w:type="paragraph" w:styleId="TOC2">
    <w:name w:val="toc 2"/>
    <w:basedOn w:val="Normal"/>
    <w:next w:val="Normal"/>
    <w:autoRedefine/>
    <w:uiPriority w:val="39"/>
    <w:unhideWhenUsed/>
    <w:rsid w:val="00667472"/>
    <w:pPr>
      <w:spacing w:after="100"/>
      <w:ind w:left="220"/>
    </w:pPr>
  </w:style>
  <w:style w:type="paragraph" w:styleId="TOC3">
    <w:name w:val="toc 3"/>
    <w:basedOn w:val="Normal"/>
    <w:next w:val="Normal"/>
    <w:autoRedefine/>
    <w:uiPriority w:val="39"/>
    <w:unhideWhenUsed/>
    <w:rsid w:val="004C4061"/>
    <w:pPr>
      <w:spacing w:after="100"/>
      <w:ind w:left="440"/>
    </w:pPr>
  </w:style>
  <w:style w:type="paragraph" w:styleId="NormalWeb">
    <w:name w:val="Normal (Web)"/>
    <w:basedOn w:val="Normal"/>
    <w:uiPriority w:val="99"/>
    <w:unhideWhenUsed/>
    <w:rsid w:val="00B84D9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397002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www.academia.edu/download/113927011/Effective_Management_of_Construction_Project_Team_Identifying_Leadership_Qualities_and_Responsibilities.pdf" TargetMode="External"/><Relationship Id="rId26" Type="http://schemas.openxmlformats.org/officeDocument/2006/relationships/hyperlink" Target="https://delphis.org.uk/peak-performance/job-crafting-for-managers/" TargetMode="External"/><Relationship Id="rId39" Type="http://schemas.openxmlformats.org/officeDocument/2006/relationships/hyperlink" Target="https://www.aihr.com/blog/job-design/" TargetMode="External"/><Relationship Id="rId21" Type="http://schemas.openxmlformats.org/officeDocument/2006/relationships/hyperlink" Target="https://www.mdpi.com/2079-8954/13/4/219" TargetMode="External"/><Relationship Id="rId34" Type="http://schemas.openxmlformats.org/officeDocument/2006/relationships/hyperlink" Target="https://helpfulprofessor.com/social-identity-theory-exampl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unitesi.unive.it/bitstream/20.500.14247/8209/1/892171-1284003.pdf" TargetMode="External"/><Relationship Id="rId29" Type="http://schemas.openxmlformats.org/officeDocument/2006/relationships/hyperlink" Target="https://journals.sagepub.com/doi/pdf/10.1177/1362168822115104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cambridge.org/core/services/aop-cambridge-core/content/view/76BCD9F8910E29604C0E009EEB44760B/S1833367222000797a.pdf/rethinking_work_how_approach_and_avoidance_features_of_cognitive_crafting_are_linked_with_job_crafting_behaviors_and_work_engagement.pdf" TargetMode="External"/><Relationship Id="rId32" Type="http://schemas.openxmlformats.org/officeDocument/2006/relationships/hyperlink" Target="https://search.proquest.com/openview/aff4285641492f7278b78d4866ef2e3b/1.pdf?pq-origsite=gscholar&amp;cbl=18750&amp;diss=y" TargetMode="External"/><Relationship Id="rId37" Type="http://schemas.openxmlformats.org/officeDocument/2006/relationships/hyperlink" Target="https://repository.up.ac.za/bitstreams/0851ebd9-028c-494a-87e4-e772cff114b5/download"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nul.repository.guildhe.ac.uk/id/eprint/1138/1/1-s2.0-S0148296322000819-main.pdf" TargetMode="External"/><Relationship Id="rId28" Type="http://schemas.openxmlformats.org/officeDocument/2006/relationships/hyperlink" Target="https://www.tandfonline.com/doi/pdf/10.1080/10447318.2024.2310354" TargetMode="External"/><Relationship Id="rId36" Type="http://schemas.openxmlformats.org/officeDocument/2006/relationships/hyperlink" Target="https://blogs.microsoft.com/blog/2024/05/08/microsoft-and-linkedin-release-the-2024-work-trend-index-on-the-state-of-ai-at-work/?utm_source=chatgpt.com" TargetMode="External"/><Relationship Id="rId10" Type="http://schemas.openxmlformats.org/officeDocument/2006/relationships/diagramLayout" Target="diagrams/layout1.xml"/><Relationship Id="rId19" Type="http://schemas.openxmlformats.org/officeDocument/2006/relationships/hyperlink" Target="https://www.mdpi.com/2079-9292/14/16/3240" TargetMode="External"/><Relationship Id="rId31" Type="http://schemas.openxmlformats.org/officeDocument/2006/relationships/hyperlink" Target="https://www.academia.edu/download/126111583/Petrov_TheSmartTransportAsAPartOfSmartCitiesASTART_UPProjectSurveyOfTrainingNeed_BG.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dergipark.org.tr/en/download/article-file/5149117" TargetMode="External"/><Relationship Id="rId27" Type="http://schemas.openxmlformats.org/officeDocument/2006/relationships/hyperlink" Target="https://new.zodml.org/sites/default/files/2023-08/epdf.pub_handbook-of-principles-of-organizational-behavior-.pdf" TargetMode="External"/><Relationship Id="rId30" Type="http://schemas.openxmlformats.org/officeDocument/2006/relationships/hyperlink" Target="http://www.gbmrjournal.com/pdf/v14n4s/V14N4s-5.pdf" TargetMode="External"/><Relationship Id="rId35" Type="http://schemas.openxmlformats.org/officeDocument/2006/relationships/hyperlink" Target="https://www.mdpi.com/2071-1050/14/9/5519"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fourweekmba.com/psychological-contract/" TargetMode="External"/><Relationship Id="rId33" Type="http://schemas.openxmlformats.org/officeDocument/2006/relationships/hyperlink" Target="https://www.sciencedirect.com/science/article/pii/S1053482222000432" TargetMode="External"/><Relationship Id="rId38" Type="http://schemas.openxmlformats.org/officeDocument/2006/relationships/hyperlink" Target="https://files.osf.io/v1/resources/6rzkv/providers/osfstorage/63860449723a111d4618c9ef?format=pdf&amp;action=download&amp;direct&amp;version=1"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EBA74D-D57B-418F-9257-896B0D8F33F0}" type="doc">
      <dgm:prSet loTypeId="urn:diagrams.loki3.com/BracketList" loCatId="list" qsTypeId="urn:microsoft.com/office/officeart/2005/8/quickstyle/3d3" qsCatId="3D" csTypeId="urn:microsoft.com/office/officeart/2005/8/colors/colorful5" csCatId="colorful" phldr="1"/>
      <dgm:spPr/>
      <dgm:t>
        <a:bodyPr/>
        <a:lstStyle/>
        <a:p>
          <a:endParaRPr lang="en-US"/>
        </a:p>
      </dgm:t>
    </dgm:pt>
    <dgm:pt modelId="{57F38A06-4A7E-4438-83B4-01FCFB6E4456}">
      <dgm:prSet phldrT="[Text]" custT="1"/>
      <dgm:spPr/>
      <dgm:t>
        <a:bodyPr/>
        <a:lstStyle/>
        <a:p>
          <a:r>
            <a:rPr lang="en-US" sz="1600" b="0" i="1" u="none">
              <a:solidFill>
                <a:schemeClr val="tx1"/>
              </a:solidFill>
              <a:latin typeface="Arial" panose="020B0604020202020204" pitchFamily="34" charset="0"/>
              <a:cs typeface="Arial" panose="020B0604020202020204" pitchFamily="34" charset="0"/>
            </a:rPr>
            <a:t>Traditional Onboarding</a:t>
          </a:r>
          <a:endParaRPr lang="en-US" sz="1600" b="0">
            <a:solidFill>
              <a:schemeClr val="tx1"/>
            </a:solidFill>
            <a:latin typeface="Arial" panose="020B0604020202020204" pitchFamily="34" charset="0"/>
            <a:cs typeface="Arial" panose="020B0604020202020204" pitchFamily="34" charset="0"/>
          </a:endParaRPr>
        </a:p>
      </dgm:t>
    </dgm:pt>
    <dgm:pt modelId="{1C070471-35A3-46C3-ABD7-EC67E11BFC9C}" type="parTrans" cxnId="{11338961-ADF6-4A32-94FD-9C3CB543C40B}">
      <dgm:prSet/>
      <dgm:spPr/>
      <dgm:t>
        <a:bodyPr/>
        <a:lstStyle/>
        <a:p>
          <a:endParaRPr lang="en-US"/>
        </a:p>
      </dgm:t>
    </dgm:pt>
    <dgm:pt modelId="{9256829C-3EC3-4FB6-8FE5-A59FC4723410}" type="sibTrans" cxnId="{11338961-ADF6-4A32-94FD-9C3CB543C40B}">
      <dgm:prSet/>
      <dgm:spPr/>
      <dgm:t>
        <a:bodyPr/>
        <a:lstStyle/>
        <a:p>
          <a:endParaRPr lang="en-US"/>
        </a:p>
      </dgm:t>
    </dgm:pt>
    <dgm:pt modelId="{35FB00B0-0319-4E5C-B78A-02CBDF4E0935}">
      <dgm:prSet phldrT="[Text]" custT="1"/>
      <dgm:spPr/>
      <dgm:t>
        <a:bodyPr/>
        <a:lstStyle/>
        <a:p>
          <a:pPr rtl="0"/>
          <a:r>
            <a:rPr lang="en-US" sz="1200" b="0" i="0" u="none">
              <a:solidFill>
                <a:schemeClr val="tx1"/>
              </a:solidFill>
              <a:latin typeface="Arial" panose="020B0604020202020204" pitchFamily="34" charset="0"/>
              <a:cs typeface="Arial" panose="020B0604020202020204" pitchFamily="34" charset="0"/>
            </a:rPr>
            <a:t> Short-term orientation</a:t>
          </a:r>
          <a:endParaRPr lang="en-US" sz="1200">
            <a:solidFill>
              <a:schemeClr val="tx1"/>
            </a:solidFill>
            <a:latin typeface="Arial" panose="020B0604020202020204" pitchFamily="34" charset="0"/>
            <a:cs typeface="Arial" panose="020B0604020202020204" pitchFamily="34" charset="0"/>
          </a:endParaRPr>
        </a:p>
      </dgm:t>
    </dgm:pt>
    <dgm:pt modelId="{414CDAD4-87C5-49EE-99FF-5AB7D7339BE7}" type="parTrans" cxnId="{377606CB-6349-490C-8859-AA10D95C1434}">
      <dgm:prSet/>
      <dgm:spPr/>
      <dgm:t>
        <a:bodyPr/>
        <a:lstStyle/>
        <a:p>
          <a:endParaRPr lang="en-US"/>
        </a:p>
      </dgm:t>
    </dgm:pt>
    <dgm:pt modelId="{DA9F0374-DA57-46ED-A359-5AC11B5EC5ED}" type="sibTrans" cxnId="{377606CB-6349-490C-8859-AA10D95C1434}">
      <dgm:prSet/>
      <dgm:spPr/>
      <dgm:t>
        <a:bodyPr/>
        <a:lstStyle/>
        <a:p>
          <a:endParaRPr lang="en-US"/>
        </a:p>
      </dgm:t>
    </dgm:pt>
    <dgm:pt modelId="{872CDFC1-22C2-4FE0-A348-71A83AC17727}">
      <dgm:prSet phldrT="[Text]" custT="1"/>
      <dgm:spPr/>
      <dgm:t>
        <a:bodyPr/>
        <a:lstStyle/>
        <a:p>
          <a:pPr rtl="0"/>
          <a:r>
            <a:rPr lang="en-US" sz="1600" b="0" i="1" u="none">
              <a:solidFill>
                <a:schemeClr val="tx1"/>
              </a:solidFill>
              <a:latin typeface="Arial" panose="020B0604020202020204" pitchFamily="34" charset="0"/>
              <a:cs typeface="Arial" panose="020B0604020202020204" pitchFamily="34" charset="0"/>
            </a:rPr>
            <a:t>Strategic Socialisation</a:t>
          </a:r>
          <a:endParaRPr lang="en-US" sz="1600" b="0">
            <a:solidFill>
              <a:schemeClr val="tx1"/>
            </a:solidFill>
            <a:latin typeface="Arial" panose="020B0604020202020204" pitchFamily="34" charset="0"/>
            <a:cs typeface="Arial" panose="020B0604020202020204" pitchFamily="34" charset="0"/>
          </a:endParaRPr>
        </a:p>
      </dgm:t>
    </dgm:pt>
    <dgm:pt modelId="{01356B22-744D-469B-AC73-12F6871F18BA}" type="parTrans" cxnId="{D9C8E7C8-F1CD-497E-B086-65154182B7CB}">
      <dgm:prSet/>
      <dgm:spPr/>
      <dgm:t>
        <a:bodyPr/>
        <a:lstStyle/>
        <a:p>
          <a:endParaRPr lang="en-US"/>
        </a:p>
      </dgm:t>
    </dgm:pt>
    <dgm:pt modelId="{D3808607-C077-4284-9511-3709A1D0B50A}" type="sibTrans" cxnId="{D9C8E7C8-F1CD-497E-B086-65154182B7CB}">
      <dgm:prSet/>
      <dgm:spPr/>
      <dgm:t>
        <a:bodyPr/>
        <a:lstStyle/>
        <a:p>
          <a:endParaRPr lang="en-US"/>
        </a:p>
      </dgm:t>
    </dgm:pt>
    <dgm:pt modelId="{A374067F-C572-4EBA-86EC-66061FA1EAF2}">
      <dgm:prSet phldrT="[Text]" custT="1"/>
      <dgm:spPr/>
      <dgm:t>
        <a:bodyPr/>
        <a:lstStyle/>
        <a:p>
          <a:pPr rtl="0"/>
          <a:r>
            <a:rPr lang="en-US" sz="1200" b="0" i="0" u="none">
              <a:solidFill>
                <a:schemeClr val="tx1"/>
              </a:solidFill>
              <a:latin typeface="Arial" panose="020B0604020202020204" pitchFamily="34" charset="0"/>
              <a:cs typeface="Arial" panose="020B0604020202020204" pitchFamily="34" charset="0"/>
            </a:rPr>
            <a:t> Long-term integration</a:t>
          </a:r>
          <a:endParaRPr lang="en-US" sz="1200">
            <a:solidFill>
              <a:schemeClr val="tx1"/>
            </a:solidFill>
            <a:latin typeface="Arial" panose="020B0604020202020204" pitchFamily="34" charset="0"/>
            <a:cs typeface="Arial" panose="020B0604020202020204" pitchFamily="34" charset="0"/>
          </a:endParaRPr>
        </a:p>
      </dgm:t>
    </dgm:pt>
    <dgm:pt modelId="{3678F44C-6C52-4658-9CF3-A2F3188DA3A0}" type="parTrans" cxnId="{EE867AE5-E95F-4F6E-914D-EC93C76F85CF}">
      <dgm:prSet/>
      <dgm:spPr/>
      <dgm:t>
        <a:bodyPr/>
        <a:lstStyle/>
        <a:p>
          <a:endParaRPr lang="en-US"/>
        </a:p>
      </dgm:t>
    </dgm:pt>
    <dgm:pt modelId="{A1907C70-5723-49FD-9B29-5E74863D714C}" type="sibTrans" cxnId="{EE867AE5-E95F-4F6E-914D-EC93C76F85CF}">
      <dgm:prSet/>
      <dgm:spPr/>
      <dgm:t>
        <a:bodyPr/>
        <a:lstStyle/>
        <a:p>
          <a:endParaRPr lang="en-US"/>
        </a:p>
      </dgm:t>
    </dgm:pt>
    <dgm:pt modelId="{84146B85-757C-4DF6-B9E9-327D2D25C451}">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Commitment  creation</a:t>
          </a:r>
          <a:endParaRPr lang="en-US" sz="1200" b="0">
            <a:solidFill>
              <a:schemeClr val="tx1"/>
            </a:solidFill>
            <a:latin typeface="Arial" panose="020B0604020202020204" pitchFamily="34" charset="0"/>
            <a:cs typeface="Arial" panose="020B0604020202020204" pitchFamily="34" charset="0"/>
          </a:endParaRPr>
        </a:p>
      </dgm:t>
    </dgm:pt>
    <dgm:pt modelId="{9359D382-9246-478E-9895-5D10A9BB4FAC}" type="parTrans" cxnId="{2F973DB3-E5A2-493B-A489-631EA0E57DAA}">
      <dgm:prSet/>
      <dgm:spPr/>
      <dgm:t>
        <a:bodyPr/>
        <a:lstStyle/>
        <a:p>
          <a:endParaRPr lang="en-US"/>
        </a:p>
      </dgm:t>
    </dgm:pt>
    <dgm:pt modelId="{AB5A31E9-5C88-46D3-B851-5ABE06A4BF1F}" type="sibTrans" cxnId="{2F973DB3-E5A2-493B-A489-631EA0E57DAA}">
      <dgm:prSet/>
      <dgm:spPr/>
      <dgm:t>
        <a:bodyPr/>
        <a:lstStyle/>
        <a:p>
          <a:endParaRPr lang="en-US"/>
        </a:p>
      </dgm:t>
    </dgm:pt>
    <dgm:pt modelId="{D4C0C91B-C9B3-4A5D-B2B6-3FE850E2070C}">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The staff becomes part of the system</a:t>
          </a:r>
          <a:endParaRPr lang="en-US" sz="1200" b="0">
            <a:solidFill>
              <a:schemeClr val="tx1"/>
            </a:solidFill>
            <a:latin typeface="Arial" panose="020B0604020202020204" pitchFamily="34" charset="0"/>
            <a:cs typeface="Arial" panose="020B0604020202020204" pitchFamily="34" charset="0"/>
          </a:endParaRPr>
        </a:p>
      </dgm:t>
    </dgm:pt>
    <dgm:pt modelId="{5D3A8AB4-0642-457E-B052-ACC2744B1E0D}" type="parTrans" cxnId="{D7700BA8-ECD5-425B-A9AD-0E177D88AB03}">
      <dgm:prSet/>
      <dgm:spPr/>
      <dgm:t>
        <a:bodyPr/>
        <a:lstStyle/>
        <a:p>
          <a:endParaRPr lang="en-US"/>
        </a:p>
      </dgm:t>
    </dgm:pt>
    <dgm:pt modelId="{B8174550-6C89-49C3-AA0A-A82E5112B7E2}" type="sibTrans" cxnId="{D7700BA8-ECD5-425B-A9AD-0E177D88AB03}">
      <dgm:prSet/>
      <dgm:spPr/>
      <dgm:t>
        <a:bodyPr/>
        <a:lstStyle/>
        <a:p>
          <a:endParaRPr lang="en-US"/>
        </a:p>
      </dgm:t>
    </dgm:pt>
    <dgm:pt modelId="{72A301AD-7610-4302-A29E-E487EB74D117}">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The staff adapts to the system</a:t>
          </a:r>
          <a:endParaRPr lang="en-US" sz="1200" b="0">
            <a:solidFill>
              <a:schemeClr val="tx1"/>
            </a:solidFill>
            <a:latin typeface="Arial" panose="020B0604020202020204" pitchFamily="34" charset="0"/>
            <a:cs typeface="Arial" panose="020B0604020202020204" pitchFamily="34" charset="0"/>
          </a:endParaRPr>
        </a:p>
      </dgm:t>
    </dgm:pt>
    <dgm:pt modelId="{E1B2490A-8460-42A9-B631-99E6AC5114F9}" type="sibTrans" cxnId="{D8BEBE7E-EEF3-463C-BDC1-F6B78CC88278}">
      <dgm:prSet/>
      <dgm:spPr/>
      <dgm:t>
        <a:bodyPr/>
        <a:lstStyle/>
        <a:p>
          <a:endParaRPr lang="en-US"/>
        </a:p>
      </dgm:t>
    </dgm:pt>
    <dgm:pt modelId="{996567FC-BCDB-48AE-B9B8-C926B703F00F}" type="parTrans" cxnId="{D8BEBE7E-EEF3-463C-BDC1-F6B78CC88278}">
      <dgm:prSet/>
      <dgm:spPr/>
      <dgm:t>
        <a:bodyPr/>
        <a:lstStyle/>
        <a:p>
          <a:endParaRPr lang="en-US"/>
        </a:p>
      </dgm:t>
    </dgm:pt>
    <dgm:pt modelId="{9F67D266-91BD-4409-B3B6-EDA6BE798E17}">
      <dgm:prSet custT="1"/>
      <dgm:spPr/>
      <dgm:t>
        <a:bodyPr/>
        <a:lstStyle/>
        <a:p>
          <a:pPr rtl="0"/>
          <a:r>
            <a:rPr lang="en-US" sz="1200" b="0" i="0" u="none">
              <a:solidFill>
                <a:schemeClr val="tx1"/>
              </a:solidFill>
              <a:latin typeface="Arial" panose="020B0604020202020204" pitchFamily="34" charset="0"/>
              <a:cs typeface="Arial" panose="020B0604020202020204" pitchFamily="34" charset="0"/>
            </a:rPr>
            <a:t>Information transfer</a:t>
          </a:r>
          <a:endParaRPr lang="en-US" sz="1200" b="0">
            <a:solidFill>
              <a:schemeClr val="tx1"/>
            </a:solidFill>
            <a:latin typeface="Arial" panose="020B0604020202020204" pitchFamily="34" charset="0"/>
            <a:cs typeface="Arial" panose="020B0604020202020204" pitchFamily="34" charset="0"/>
          </a:endParaRPr>
        </a:p>
      </dgm:t>
    </dgm:pt>
    <dgm:pt modelId="{E703D5FA-D2AA-4B3D-AB15-B6AD097D27CB}" type="sibTrans" cxnId="{DAB6838F-1715-4A5C-99A9-3FEB16879620}">
      <dgm:prSet/>
      <dgm:spPr/>
      <dgm:t>
        <a:bodyPr/>
        <a:lstStyle/>
        <a:p>
          <a:endParaRPr lang="en-US"/>
        </a:p>
      </dgm:t>
    </dgm:pt>
    <dgm:pt modelId="{57D78CA2-B9D8-4B5F-8AFA-45689611489A}" type="parTrans" cxnId="{DAB6838F-1715-4A5C-99A9-3FEB16879620}">
      <dgm:prSet/>
      <dgm:spPr/>
      <dgm:t>
        <a:bodyPr/>
        <a:lstStyle/>
        <a:p>
          <a:endParaRPr lang="en-US"/>
        </a:p>
      </dgm:t>
    </dgm:pt>
    <dgm:pt modelId="{AE9EFE1C-EFA2-4352-A4B5-EA88F0BF9F84}" type="pres">
      <dgm:prSet presAssocID="{E1EBA74D-D57B-418F-9257-896B0D8F33F0}" presName="Name0" presStyleCnt="0">
        <dgm:presLayoutVars>
          <dgm:dir/>
          <dgm:animLvl val="lvl"/>
          <dgm:resizeHandles val="exact"/>
        </dgm:presLayoutVars>
      </dgm:prSet>
      <dgm:spPr/>
    </dgm:pt>
    <dgm:pt modelId="{6693A308-D14A-4AAE-81CA-FD2F68A68792}" type="pres">
      <dgm:prSet presAssocID="{57F38A06-4A7E-4438-83B4-01FCFB6E4456}" presName="linNode" presStyleCnt="0"/>
      <dgm:spPr/>
    </dgm:pt>
    <dgm:pt modelId="{1AE1CC0E-E512-4341-AEC7-F3B64FA10F0E}" type="pres">
      <dgm:prSet presAssocID="{57F38A06-4A7E-4438-83B4-01FCFB6E4456}" presName="parTx" presStyleLbl="revTx" presStyleIdx="0" presStyleCnt="2">
        <dgm:presLayoutVars>
          <dgm:chMax val="1"/>
          <dgm:bulletEnabled val="1"/>
        </dgm:presLayoutVars>
      </dgm:prSet>
      <dgm:spPr/>
    </dgm:pt>
    <dgm:pt modelId="{0F116A71-1634-499F-9099-2A7A2BB6B21B}" type="pres">
      <dgm:prSet presAssocID="{57F38A06-4A7E-4438-83B4-01FCFB6E4456}" presName="bracket" presStyleLbl="parChTrans1D1" presStyleIdx="0" presStyleCnt="2"/>
      <dgm:spPr/>
    </dgm:pt>
    <dgm:pt modelId="{EBFAA307-6453-44E5-9AC5-A18CF3001AC0}" type="pres">
      <dgm:prSet presAssocID="{57F38A06-4A7E-4438-83B4-01FCFB6E4456}" presName="spH" presStyleCnt="0"/>
      <dgm:spPr/>
    </dgm:pt>
    <dgm:pt modelId="{FB4D214D-1DC0-4275-9299-1FC7E3C9DB80}" type="pres">
      <dgm:prSet presAssocID="{57F38A06-4A7E-4438-83B4-01FCFB6E4456}" presName="desTx" presStyleLbl="node1" presStyleIdx="0" presStyleCnt="2">
        <dgm:presLayoutVars>
          <dgm:bulletEnabled val="1"/>
        </dgm:presLayoutVars>
      </dgm:prSet>
      <dgm:spPr/>
    </dgm:pt>
    <dgm:pt modelId="{151BA8A0-B112-4F9A-97E9-B92623CEDD75}" type="pres">
      <dgm:prSet presAssocID="{9256829C-3EC3-4FB6-8FE5-A59FC4723410}" presName="spV" presStyleCnt="0"/>
      <dgm:spPr/>
    </dgm:pt>
    <dgm:pt modelId="{5F339F69-16E8-4001-8DE9-57F3FB57FF77}" type="pres">
      <dgm:prSet presAssocID="{872CDFC1-22C2-4FE0-A348-71A83AC17727}" presName="linNode" presStyleCnt="0"/>
      <dgm:spPr/>
    </dgm:pt>
    <dgm:pt modelId="{F05D0E59-B3EA-4994-AC6A-2A3CE66D8F6B}" type="pres">
      <dgm:prSet presAssocID="{872CDFC1-22C2-4FE0-A348-71A83AC17727}" presName="parTx" presStyleLbl="revTx" presStyleIdx="1" presStyleCnt="2">
        <dgm:presLayoutVars>
          <dgm:chMax val="1"/>
          <dgm:bulletEnabled val="1"/>
        </dgm:presLayoutVars>
      </dgm:prSet>
      <dgm:spPr/>
    </dgm:pt>
    <dgm:pt modelId="{C0BEADBF-096A-4F30-94FA-93A7A5CA7CE3}" type="pres">
      <dgm:prSet presAssocID="{872CDFC1-22C2-4FE0-A348-71A83AC17727}" presName="bracket" presStyleLbl="parChTrans1D1" presStyleIdx="1" presStyleCnt="2"/>
      <dgm:spPr/>
    </dgm:pt>
    <dgm:pt modelId="{13843176-E28E-4170-BC25-115C70C3593A}" type="pres">
      <dgm:prSet presAssocID="{872CDFC1-22C2-4FE0-A348-71A83AC17727}" presName="spH" presStyleCnt="0"/>
      <dgm:spPr/>
    </dgm:pt>
    <dgm:pt modelId="{46C65797-88F6-45FD-9438-7BA012535B49}" type="pres">
      <dgm:prSet presAssocID="{872CDFC1-22C2-4FE0-A348-71A83AC17727}" presName="desTx" presStyleLbl="node1" presStyleIdx="1" presStyleCnt="2">
        <dgm:presLayoutVars>
          <dgm:bulletEnabled val="1"/>
        </dgm:presLayoutVars>
      </dgm:prSet>
      <dgm:spPr/>
    </dgm:pt>
  </dgm:ptLst>
  <dgm:cxnLst>
    <dgm:cxn modelId="{99055E02-F0AD-4040-867D-83E372149443}" type="presOf" srcId="{872CDFC1-22C2-4FE0-A348-71A83AC17727}" destId="{F05D0E59-B3EA-4994-AC6A-2A3CE66D8F6B}" srcOrd="0" destOrd="0" presId="urn:diagrams.loki3.com/BracketList"/>
    <dgm:cxn modelId="{07565024-C159-4A4A-A47F-AE26E6DD591E}" type="presOf" srcId="{A374067F-C572-4EBA-86EC-66061FA1EAF2}" destId="{46C65797-88F6-45FD-9438-7BA012535B49}" srcOrd="0" destOrd="0" presId="urn:diagrams.loki3.com/BracketList"/>
    <dgm:cxn modelId="{30C05E2C-2458-4A68-A2A6-45BCF794A98B}" type="presOf" srcId="{35FB00B0-0319-4E5C-B78A-02CBDF4E0935}" destId="{FB4D214D-1DC0-4275-9299-1FC7E3C9DB80}" srcOrd="0" destOrd="0" presId="urn:diagrams.loki3.com/BracketList"/>
    <dgm:cxn modelId="{01DDFA59-8561-48B5-90FC-C6B307F87D74}" type="presOf" srcId="{E1EBA74D-D57B-418F-9257-896B0D8F33F0}" destId="{AE9EFE1C-EFA2-4352-A4B5-EA88F0BF9F84}" srcOrd="0" destOrd="0" presId="urn:diagrams.loki3.com/BracketList"/>
    <dgm:cxn modelId="{11338961-ADF6-4A32-94FD-9C3CB543C40B}" srcId="{E1EBA74D-D57B-418F-9257-896B0D8F33F0}" destId="{57F38A06-4A7E-4438-83B4-01FCFB6E4456}" srcOrd="0" destOrd="0" parTransId="{1C070471-35A3-46C3-ABD7-EC67E11BFC9C}" sibTransId="{9256829C-3EC3-4FB6-8FE5-A59FC4723410}"/>
    <dgm:cxn modelId="{D8BEBE7E-EEF3-463C-BDC1-F6B78CC88278}" srcId="{57F38A06-4A7E-4438-83B4-01FCFB6E4456}" destId="{72A301AD-7610-4302-A29E-E487EB74D117}" srcOrd="2" destOrd="0" parTransId="{996567FC-BCDB-48AE-B9B8-C926B703F00F}" sibTransId="{E1B2490A-8460-42A9-B631-99E6AC5114F9}"/>
    <dgm:cxn modelId="{07958B86-9A3D-4C5C-9C72-93FBE60BF335}" type="presOf" srcId="{9F67D266-91BD-4409-B3B6-EDA6BE798E17}" destId="{FB4D214D-1DC0-4275-9299-1FC7E3C9DB80}" srcOrd="0" destOrd="1" presId="urn:diagrams.loki3.com/BracketList"/>
    <dgm:cxn modelId="{06630387-B9C9-4E2F-A93F-97D15F9D51CB}" type="presOf" srcId="{72A301AD-7610-4302-A29E-E487EB74D117}" destId="{FB4D214D-1DC0-4275-9299-1FC7E3C9DB80}" srcOrd="0" destOrd="2" presId="urn:diagrams.loki3.com/BracketList"/>
    <dgm:cxn modelId="{DAB6838F-1715-4A5C-99A9-3FEB16879620}" srcId="{57F38A06-4A7E-4438-83B4-01FCFB6E4456}" destId="{9F67D266-91BD-4409-B3B6-EDA6BE798E17}" srcOrd="1" destOrd="0" parTransId="{57D78CA2-B9D8-4B5F-8AFA-45689611489A}" sibTransId="{E703D5FA-D2AA-4B3D-AB15-B6AD097D27CB}"/>
    <dgm:cxn modelId="{556F8394-87D4-4070-8E56-2BDD4C35A4E9}" type="presOf" srcId="{57F38A06-4A7E-4438-83B4-01FCFB6E4456}" destId="{1AE1CC0E-E512-4341-AEC7-F3B64FA10F0E}" srcOrd="0" destOrd="0" presId="urn:diagrams.loki3.com/BracketList"/>
    <dgm:cxn modelId="{D7700BA8-ECD5-425B-A9AD-0E177D88AB03}" srcId="{872CDFC1-22C2-4FE0-A348-71A83AC17727}" destId="{D4C0C91B-C9B3-4A5D-B2B6-3FE850E2070C}" srcOrd="2" destOrd="0" parTransId="{5D3A8AB4-0642-457E-B052-ACC2744B1E0D}" sibTransId="{B8174550-6C89-49C3-AA0A-A82E5112B7E2}"/>
    <dgm:cxn modelId="{2F973DB3-E5A2-493B-A489-631EA0E57DAA}" srcId="{872CDFC1-22C2-4FE0-A348-71A83AC17727}" destId="{84146B85-757C-4DF6-B9E9-327D2D25C451}" srcOrd="1" destOrd="0" parTransId="{9359D382-9246-478E-9895-5D10A9BB4FAC}" sibTransId="{AB5A31E9-5C88-46D3-B851-5ABE06A4BF1F}"/>
    <dgm:cxn modelId="{D9C8E7C8-F1CD-497E-B086-65154182B7CB}" srcId="{E1EBA74D-D57B-418F-9257-896B0D8F33F0}" destId="{872CDFC1-22C2-4FE0-A348-71A83AC17727}" srcOrd="1" destOrd="0" parTransId="{01356B22-744D-469B-AC73-12F6871F18BA}" sibTransId="{D3808607-C077-4284-9511-3709A1D0B50A}"/>
    <dgm:cxn modelId="{377606CB-6349-490C-8859-AA10D95C1434}" srcId="{57F38A06-4A7E-4438-83B4-01FCFB6E4456}" destId="{35FB00B0-0319-4E5C-B78A-02CBDF4E0935}" srcOrd="0" destOrd="0" parTransId="{414CDAD4-87C5-49EE-99FF-5AB7D7339BE7}" sibTransId="{DA9F0374-DA57-46ED-A359-5AC11B5EC5ED}"/>
    <dgm:cxn modelId="{877CE7D4-307A-423F-9A2D-E29D47930090}" type="presOf" srcId="{D4C0C91B-C9B3-4A5D-B2B6-3FE850E2070C}" destId="{46C65797-88F6-45FD-9438-7BA012535B49}" srcOrd="0" destOrd="2" presId="urn:diagrams.loki3.com/BracketList"/>
    <dgm:cxn modelId="{EE867AE5-E95F-4F6E-914D-EC93C76F85CF}" srcId="{872CDFC1-22C2-4FE0-A348-71A83AC17727}" destId="{A374067F-C572-4EBA-86EC-66061FA1EAF2}" srcOrd="0" destOrd="0" parTransId="{3678F44C-6C52-4658-9CF3-A2F3188DA3A0}" sibTransId="{A1907C70-5723-49FD-9B29-5E74863D714C}"/>
    <dgm:cxn modelId="{DF9FA7FD-CB08-4B13-AD5F-A7C065A72F00}" type="presOf" srcId="{84146B85-757C-4DF6-B9E9-327D2D25C451}" destId="{46C65797-88F6-45FD-9438-7BA012535B49}" srcOrd="0" destOrd="1" presId="urn:diagrams.loki3.com/BracketList"/>
    <dgm:cxn modelId="{17E2EA7A-4538-45A5-8915-86145220B899}" type="presParOf" srcId="{AE9EFE1C-EFA2-4352-A4B5-EA88F0BF9F84}" destId="{6693A308-D14A-4AAE-81CA-FD2F68A68792}" srcOrd="0" destOrd="0" presId="urn:diagrams.loki3.com/BracketList"/>
    <dgm:cxn modelId="{670F8571-15DD-45AA-83CF-013F06F0C55F}" type="presParOf" srcId="{6693A308-D14A-4AAE-81CA-FD2F68A68792}" destId="{1AE1CC0E-E512-4341-AEC7-F3B64FA10F0E}" srcOrd="0" destOrd="0" presId="urn:diagrams.loki3.com/BracketList"/>
    <dgm:cxn modelId="{39F1D583-04B0-4951-AFE4-F4638E39D9C5}" type="presParOf" srcId="{6693A308-D14A-4AAE-81CA-FD2F68A68792}" destId="{0F116A71-1634-499F-9099-2A7A2BB6B21B}" srcOrd="1" destOrd="0" presId="urn:diagrams.loki3.com/BracketList"/>
    <dgm:cxn modelId="{306B85A1-8CD9-4B97-A214-4B8E0F476B27}" type="presParOf" srcId="{6693A308-D14A-4AAE-81CA-FD2F68A68792}" destId="{EBFAA307-6453-44E5-9AC5-A18CF3001AC0}" srcOrd="2" destOrd="0" presId="urn:diagrams.loki3.com/BracketList"/>
    <dgm:cxn modelId="{51FC3BCE-BF5C-41B9-BA83-A6195EEB05C1}" type="presParOf" srcId="{6693A308-D14A-4AAE-81CA-FD2F68A68792}" destId="{FB4D214D-1DC0-4275-9299-1FC7E3C9DB80}" srcOrd="3" destOrd="0" presId="urn:diagrams.loki3.com/BracketList"/>
    <dgm:cxn modelId="{E109BBAA-6066-4223-835D-7DF56908DEB9}" type="presParOf" srcId="{AE9EFE1C-EFA2-4352-A4B5-EA88F0BF9F84}" destId="{151BA8A0-B112-4F9A-97E9-B92623CEDD75}" srcOrd="1" destOrd="0" presId="urn:diagrams.loki3.com/BracketList"/>
    <dgm:cxn modelId="{9C4141A7-6FB3-4530-9C79-0F0CF65769CB}" type="presParOf" srcId="{AE9EFE1C-EFA2-4352-A4B5-EA88F0BF9F84}" destId="{5F339F69-16E8-4001-8DE9-57F3FB57FF77}" srcOrd="2" destOrd="0" presId="urn:diagrams.loki3.com/BracketList"/>
    <dgm:cxn modelId="{A95FFCFA-9800-4D01-819A-9BC6A4B188F1}" type="presParOf" srcId="{5F339F69-16E8-4001-8DE9-57F3FB57FF77}" destId="{F05D0E59-B3EA-4994-AC6A-2A3CE66D8F6B}" srcOrd="0" destOrd="0" presId="urn:diagrams.loki3.com/BracketList"/>
    <dgm:cxn modelId="{C0B3D900-EB43-421A-BB38-010AF89B1CFA}" type="presParOf" srcId="{5F339F69-16E8-4001-8DE9-57F3FB57FF77}" destId="{C0BEADBF-096A-4F30-94FA-93A7A5CA7CE3}" srcOrd="1" destOrd="0" presId="urn:diagrams.loki3.com/BracketList"/>
    <dgm:cxn modelId="{C9BCB0CD-898B-4C3D-93DC-DC7442836255}" type="presParOf" srcId="{5F339F69-16E8-4001-8DE9-57F3FB57FF77}" destId="{13843176-E28E-4170-BC25-115C70C3593A}" srcOrd="2" destOrd="0" presId="urn:diagrams.loki3.com/BracketList"/>
    <dgm:cxn modelId="{7F88AE26-1CA3-4BBD-9CDB-1FB25A6536C9}" type="presParOf" srcId="{5F339F69-16E8-4001-8DE9-57F3FB57FF77}" destId="{46C65797-88F6-45FD-9438-7BA012535B49}" srcOrd="3" destOrd="0" presId="urn:diagrams.loki3.com/Bracket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E1CC0E-E512-4341-AEC7-F3B64FA10F0E}">
      <dsp:nvSpPr>
        <dsp:cNvPr id="0" name=""/>
        <dsp:cNvSpPr/>
      </dsp:nvSpPr>
      <dsp:spPr>
        <a:xfrm>
          <a:off x="0" y="805800"/>
          <a:ext cx="1409700" cy="1287000"/>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a:lnSpc>
              <a:spcPct val="90000"/>
            </a:lnSpc>
            <a:spcBef>
              <a:spcPct val="0"/>
            </a:spcBef>
            <a:spcAft>
              <a:spcPct val="35000"/>
            </a:spcAft>
            <a:buNone/>
          </a:pPr>
          <a:r>
            <a:rPr lang="en-US" sz="1600" b="0" i="1" u="none" kern="1200">
              <a:solidFill>
                <a:schemeClr val="tx1"/>
              </a:solidFill>
              <a:latin typeface="Arial" panose="020B0604020202020204" pitchFamily="34" charset="0"/>
              <a:cs typeface="Arial" panose="020B0604020202020204" pitchFamily="34" charset="0"/>
            </a:rPr>
            <a:t>Traditional Onboarding</a:t>
          </a:r>
          <a:endParaRPr lang="en-US" sz="1600" b="0" kern="1200">
            <a:solidFill>
              <a:schemeClr val="tx1"/>
            </a:solidFill>
            <a:latin typeface="Arial" panose="020B0604020202020204" pitchFamily="34" charset="0"/>
            <a:cs typeface="Arial" panose="020B0604020202020204" pitchFamily="34" charset="0"/>
          </a:endParaRPr>
        </a:p>
      </dsp:txBody>
      <dsp:txXfrm>
        <a:off x="0" y="805800"/>
        <a:ext cx="1409700" cy="1287000"/>
      </dsp:txXfrm>
    </dsp:sp>
    <dsp:sp modelId="{0F116A71-1634-499F-9099-2A7A2BB6B21B}">
      <dsp:nvSpPr>
        <dsp:cNvPr id="0" name=""/>
        <dsp:cNvSpPr/>
      </dsp:nvSpPr>
      <dsp:spPr>
        <a:xfrm>
          <a:off x="1409699" y="805800"/>
          <a:ext cx="281940" cy="1287000"/>
        </a:xfrm>
        <a:prstGeom prst="leftBrace">
          <a:avLst>
            <a:gd name="adj1" fmla="val 35000"/>
            <a:gd name="adj2" fmla="val 50000"/>
          </a:avLst>
        </a:prstGeom>
        <a:noFill/>
        <a:ln w="25400" cap="flat" cmpd="sng" algn="ctr">
          <a:solidFill>
            <a:schemeClr val="accent5">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FB4D214D-1DC0-4275-9299-1FC7E3C9DB80}">
      <dsp:nvSpPr>
        <dsp:cNvPr id="0" name=""/>
        <dsp:cNvSpPr/>
      </dsp:nvSpPr>
      <dsp:spPr>
        <a:xfrm>
          <a:off x="1804415" y="805800"/>
          <a:ext cx="3834384" cy="1287000"/>
        </a:xfrm>
        <a:prstGeom prst="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 Short-term orientation</a:t>
          </a:r>
          <a:endParaRPr lang="en-US" sz="120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Information transfer</a:t>
          </a:r>
          <a:endParaRPr lang="en-US" sz="1200" b="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The staff adapts to the system</a:t>
          </a:r>
          <a:endParaRPr lang="en-US" sz="1200" b="0" kern="1200">
            <a:solidFill>
              <a:schemeClr val="tx1"/>
            </a:solidFill>
            <a:latin typeface="Arial" panose="020B0604020202020204" pitchFamily="34" charset="0"/>
            <a:cs typeface="Arial" panose="020B0604020202020204" pitchFamily="34" charset="0"/>
          </a:endParaRPr>
        </a:p>
      </dsp:txBody>
      <dsp:txXfrm>
        <a:off x="1804415" y="805800"/>
        <a:ext cx="3834384" cy="1287000"/>
      </dsp:txXfrm>
    </dsp:sp>
    <dsp:sp modelId="{F05D0E59-B3EA-4994-AC6A-2A3CE66D8F6B}">
      <dsp:nvSpPr>
        <dsp:cNvPr id="0" name=""/>
        <dsp:cNvSpPr/>
      </dsp:nvSpPr>
      <dsp:spPr>
        <a:xfrm>
          <a:off x="0" y="2326799"/>
          <a:ext cx="1409700" cy="1287000"/>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13792" tIns="40640" rIns="113792" bIns="40640" numCol="1" spcCol="1270" anchor="ctr" anchorCtr="0">
          <a:noAutofit/>
        </a:bodyPr>
        <a:lstStyle/>
        <a:p>
          <a:pPr marL="0" lvl="0" indent="0" algn="r" defTabSz="711200" rtl="0">
            <a:lnSpc>
              <a:spcPct val="90000"/>
            </a:lnSpc>
            <a:spcBef>
              <a:spcPct val="0"/>
            </a:spcBef>
            <a:spcAft>
              <a:spcPct val="35000"/>
            </a:spcAft>
            <a:buNone/>
          </a:pPr>
          <a:r>
            <a:rPr lang="en-US" sz="1600" b="0" i="1" u="none" kern="1200">
              <a:solidFill>
                <a:schemeClr val="tx1"/>
              </a:solidFill>
              <a:latin typeface="Arial" panose="020B0604020202020204" pitchFamily="34" charset="0"/>
              <a:cs typeface="Arial" panose="020B0604020202020204" pitchFamily="34" charset="0"/>
            </a:rPr>
            <a:t>Strategic Socialisation</a:t>
          </a:r>
          <a:endParaRPr lang="en-US" sz="1600" b="0" kern="1200">
            <a:solidFill>
              <a:schemeClr val="tx1"/>
            </a:solidFill>
            <a:latin typeface="Arial" panose="020B0604020202020204" pitchFamily="34" charset="0"/>
            <a:cs typeface="Arial" panose="020B0604020202020204" pitchFamily="34" charset="0"/>
          </a:endParaRPr>
        </a:p>
      </dsp:txBody>
      <dsp:txXfrm>
        <a:off x="0" y="2326799"/>
        <a:ext cx="1409700" cy="1287000"/>
      </dsp:txXfrm>
    </dsp:sp>
    <dsp:sp modelId="{C0BEADBF-096A-4F30-94FA-93A7A5CA7CE3}">
      <dsp:nvSpPr>
        <dsp:cNvPr id="0" name=""/>
        <dsp:cNvSpPr/>
      </dsp:nvSpPr>
      <dsp:spPr>
        <a:xfrm>
          <a:off x="1409699" y="2326799"/>
          <a:ext cx="281940" cy="1287000"/>
        </a:xfrm>
        <a:prstGeom prst="leftBrace">
          <a:avLst>
            <a:gd name="adj1" fmla="val 35000"/>
            <a:gd name="adj2" fmla="val 50000"/>
          </a:avLst>
        </a:prstGeom>
        <a:noFill/>
        <a:ln w="25400" cap="flat" cmpd="sng" algn="ctr">
          <a:solidFill>
            <a:schemeClr val="accent5">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46C65797-88F6-45FD-9438-7BA012535B49}">
      <dsp:nvSpPr>
        <dsp:cNvPr id="0" name=""/>
        <dsp:cNvSpPr/>
      </dsp:nvSpPr>
      <dsp:spPr>
        <a:xfrm>
          <a:off x="1804415" y="2326799"/>
          <a:ext cx="3834384" cy="1287000"/>
        </a:xfrm>
        <a:prstGeom prst="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 Long-term integration</a:t>
          </a:r>
          <a:endParaRPr lang="en-US" sz="120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Commitment  creation</a:t>
          </a:r>
          <a:endParaRPr lang="en-US" sz="1200" b="0" kern="1200">
            <a:solidFill>
              <a:schemeClr val="tx1"/>
            </a:solidFill>
            <a:latin typeface="Arial" panose="020B0604020202020204" pitchFamily="34" charset="0"/>
            <a:cs typeface="Arial" panose="020B0604020202020204" pitchFamily="34" charset="0"/>
          </a:endParaRPr>
        </a:p>
        <a:p>
          <a:pPr marL="114300" lvl="1" indent="-114300" algn="l" defTabSz="533400" rtl="0">
            <a:lnSpc>
              <a:spcPct val="90000"/>
            </a:lnSpc>
            <a:spcBef>
              <a:spcPct val="0"/>
            </a:spcBef>
            <a:spcAft>
              <a:spcPct val="15000"/>
            </a:spcAft>
            <a:buChar char="•"/>
          </a:pPr>
          <a:r>
            <a:rPr lang="en-US" sz="1200" b="0" i="0" u="none" kern="1200">
              <a:solidFill>
                <a:schemeClr val="tx1"/>
              </a:solidFill>
              <a:latin typeface="Arial" panose="020B0604020202020204" pitchFamily="34" charset="0"/>
              <a:cs typeface="Arial" panose="020B0604020202020204" pitchFamily="34" charset="0"/>
            </a:rPr>
            <a:t>The staff becomes part of the system</a:t>
          </a:r>
          <a:endParaRPr lang="en-US" sz="1200" b="0" kern="1200">
            <a:solidFill>
              <a:schemeClr val="tx1"/>
            </a:solidFill>
            <a:latin typeface="Arial" panose="020B0604020202020204" pitchFamily="34" charset="0"/>
            <a:cs typeface="Arial" panose="020B0604020202020204" pitchFamily="34" charset="0"/>
          </a:endParaRPr>
        </a:p>
      </dsp:txBody>
      <dsp:txXfrm>
        <a:off x="1804415" y="2326799"/>
        <a:ext cx="3834384" cy="1287000"/>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27071-D5B7-4DF6-837B-9E67E4EA3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4610</Words>
  <Characters>26283</Characters>
  <Application>Microsoft Office Word</Application>
  <DocSecurity>0</DocSecurity>
  <Lines>219</Lines>
  <Paragraphs>61</Paragraphs>
  <ScaleCrop>false</ScaleCrop>
  <Company/>
  <LinksUpToDate>false</LinksUpToDate>
  <CharactersWithSpaces>30832</CharactersWithSpaces>
  <SharedDoc>false</SharedDoc>
  <HLinks>
    <vt:vector size="252" baseType="variant">
      <vt:variant>
        <vt:i4>6226004</vt:i4>
      </vt:variant>
      <vt:variant>
        <vt:i4>186</vt:i4>
      </vt:variant>
      <vt:variant>
        <vt:i4>0</vt:i4>
      </vt:variant>
      <vt:variant>
        <vt:i4>5</vt:i4>
      </vt:variant>
      <vt:variant>
        <vt:lpwstr>https://www.aihr.com/blog/job-design/</vt:lpwstr>
      </vt:variant>
      <vt:variant>
        <vt:lpwstr/>
      </vt:variant>
      <vt:variant>
        <vt:i4>131148</vt:i4>
      </vt:variant>
      <vt:variant>
        <vt:i4>183</vt:i4>
      </vt:variant>
      <vt:variant>
        <vt:i4>0</vt:i4>
      </vt:variant>
      <vt:variant>
        <vt:i4>5</vt:i4>
      </vt:variant>
      <vt:variant>
        <vt:lpwstr>https://files.osf.io/v1/resources/6rzkv/providers/osfstorage/63860449723a111d4618c9ef?format=pdf&amp;action=download&amp;direct&amp;version=1</vt:lpwstr>
      </vt:variant>
      <vt:variant>
        <vt:lpwstr/>
      </vt:variant>
      <vt:variant>
        <vt:i4>262160</vt:i4>
      </vt:variant>
      <vt:variant>
        <vt:i4>180</vt:i4>
      </vt:variant>
      <vt:variant>
        <vt:i4>0</vt:i4>
      </vt:variant>
      <vt:variant>
        <vt:i4>5</vt:i4>
      </vt:variant>
      <vt:variant>
        <vt:lpwstr>https://repository.up.ac.za/bitstreams/0851ebd9-028c-494a-87e4-e772cff114b5/download</vt:lpwstr>
      </vt:variant>
      <vt:variant>
        <vt:lpwstr/>
      </vt:variant>
      <vt:variant>
        <vt:i4>2293826</vt:i4>
      </vt:variant>
      <vt:variant>
        <vt:i4>177</vt:i4>
      </vt:variant>
      <vt:variant>
        <vt:i4>0</vt:i4>
      </vt:variant>
      <vt:variant>
        <vt:i4>5</vt:i4>
      </vt:variant>
      <vt:variant>
        <vt:lpwstr>https://blogs.microsoft.com/blog/2024/05/08/microsoft-and-linkedin-release-the-2024-work-trend-index-on-the-state-of-ai-at-work/?utm_source=chatgpt.com</vt:lpwstr>
      </vt:variant>
      <vt:variant>
        <vt:lpwstr/>
      </vt:variant>
      <vt:variant>
        <vt:i4>6160400</vt:i4>
      </vt:variant>
      <vt:variant>
        <vt:i4>174</vt:i4>
      </vt:variant>
      <vt:variant>
        <vt:i4>0</vt:i4>
      </vt:variant>
      <vt:variant>
        <vt:i4>5</vt:i4>
      </vt:variant>
      <vt:variant>
        <vt:lpwstr>https://www.mdpi.com/2071-1050/14/9/5519</vt:lpwstr>
      </vt:variant>
      <vt:variant>
        <vt:lpwstr/>
      </vt:variant>
      <vt:variant>
        <vt:i4>393228</vt:i4>
      </vt:variant>
      <vt:variant>
        <vt:i4>171</vt:i4>
      </vt:variant>
      <vt:variant>
        <vt:i4>0</vt:i4>
      </vt:variant>
      <vt:variant>
        <vt:i4>5</vt:i4>
      </vt:variant>
      <vt:variant>
        <vt:lpwstr>https://helpfulprofessor.com/social-identity-theory-examples/</vt:lpwstr>
      </vt:variant>
      <vt:variant>
        <vt:lpwstr/>
      </vt:variant>
      <vt:variant>
        <vt:i4>6357104</vt:i4>
      </vt:variant>
      <vt:variant>
        <vt:i4>168</vt:i4>
      </vt:variant>
      <vt:variant>
        <vt:i4>0</vt:i4>
      </vt:variant>
      <vt:variant>
        <vt:i4>5</vt:i4>
      </vt:variant>
      <vt:variant>
        <vt:lpwstr>https://www.sciencedirect.com/science/article/pii/S1053482222000432</vt:lpwstr>
      </vt:variant>
      <vt:variant>
        <vt:lpwstr/>
      </vt:variant>
      <vt:variant>
        <vt:i4>1441808</vt:i4>
      </vt:variant>
      <vt:variant>
        <vt:i4>165</vt:i4>
      </vt:variant>
      <vt:variant>
        <vt:i4>0</vt:i4>
      </vt:variant>
      <vt:variant>
        <vt:i4>5</vt:i4>
      </vt:variant>
      <vt:variant>
        <vt:lpwstr>https://search.proquest.com/openview/aff4285641492f7278b78d4866ef2e3b/1.pdf?pq-origsite=gscholar&amp;cbl=18750&amp;diss=y</vt:lpwstr>
      </vt:variant>
      <vt:variant>
        <vt:lpwstr/>
      </vt:variant>
      <vt:variant>
        <vt:i4>6488135</vt:i4>
      </vt:variant>
      <vt:variant>
        <vt:i4>162</vt:i4>
      </vt:variant>
      <vt:variant>
        <vt:i4>0</vt:i4>
      </vt:variant>
      <vt:variant>
        <vt:i4>5</vt:i4>
      </vt:variant>
      <vt:variant>
        <vt:lpwstr>https://www.academia.edu/download/126111583/Petrov_TheSmartTransportAsAPartOfSmartCitiesASTART_UPProjectSurveyOfTrainingNeed_BG.pdf</vt:lpwstr>
      </vt:variant>
      <vt:variant>
        <vt:lpwstr/>
      </vt:variant>
      <vt:variant>
        <vt:i4>7471140</vt:i4>
      </vt:variant>
      <vt:variant>
        <vt:i4>159</vt:i4>
      </vt:variant>
      <vt:variant>
        <vt:i4>0</vt:i4>
      </vt:variant>
      <vt:variant>
        <vt:i4>5</vt:i4>
      </vt:variant>
      <vt:variant>
        <vt:lpwstr>http://www.gbmrjournal.com/pdf/v14n4s/V14N4s-5.pdf</vt:lpwstr>
      </vt:variant>
      <vt:variant>
        <vt:lpwstr/>
      </vt:variant>
      <vt:variant>
        <vt:i4>2752631</vt:i4>
      </vt:variant>
      <vt:variant>
        <vt:i4>156</vt:i4>
      </vt:variant>
      <vt:variant>
        <vt:i4>0</vt:i4>
      </vt:variant>
      <vt:variant>
        <vt:i4>5</vt:i4>
      </vt:variant>
      <vt:variant>
        <vt:lpwstr>https://journals.sagepub.com/doi/pdf/10.1177/13621688221151046</vt:lpwstr>
      </vt:variant>
      <vt:variant>
        <vt:lpwstr/>
      </vt:variant>
      <vt:variant>
        <vt:i4>4456525</vt:i4>
      </vt:variant>
      <vt:variant>
        <vt:i4>153</vt:i4>
      </vt:variant>
      <vt:variant>
        <vt:i4>0</vt:i4>
      </vt:variant>
      <vt:variant>
        <vt:i4>5</vt:i4>
      </vt:variant>
      <vt:variant>
        <vt:lpwstr>https://www.tandfonline.com/doi/pdf/10.1080/10447318.2024.2310354</vt:lpwstr>
      </vt:variant>
      <vt:variant>
        <vt:lpwstr/>
      </vt:variant>
      <vt:variant>
        <vt:i4>524411</vt:i4>
      </vt:variant>
      <vt:variant>
        <vt:i4>150</vt:i4>
      </vt:variant>
      <vt:variant>
        <vt:i4>0</vt:i4>
      </vt:variant>
      <vt:variant>
        <vt:i4>5</vt:i4>
      </vt:variant>
      <vt:variant>
        <vt:lpwstr>https://new.zodml.org/sites/default/files/2023-08/epdf.pub_handbook-of-principles-of-organizational-behavior-.pdf</vt:lpwstr>
      </vt:variant>
      <vt:variant>
        <vt:lpwstr>page=193</vt:lpwstr>
      </vt:variant>
      <vt:variant>
        <vt:i4>6357101</vt:i4>
      </vt:variant>
      <vt:variant>
        <vt:i4>147</vt:i4>
      </vt:variant>
      <vt:variant>
        <vt:i4>0</vt:i4>
      </vt:variant>
      <vt:variant>
        <vt:i4>5</vt:i4>
      </vt:variant>
      <vt:variant>
        <vt:lpwstr>https://delphis.org.uk/peak-performance/job-crafting-for-managers/</vt:lpwstr>
      </vt:variant>
      <vt:variant>
        <vt:lpwstr/>
      </vt:variant>
      <vt:variant>
        <vt:i4>3473466</vt:i4>
      </vt:variant>
      <vt:variant>
        <vt:i4>144</vt:i4>
      </vt:variant>
      <vt:variant>
        <vt:i4>0</vt:i4>
      </vt:variant>
      <vt:variant>
        <vt:i4>5</vt:i4>
      </vt:variant>
      <vt:variant>
        <vt:lpwstr>https://fourweekmba.com/psychological-contract/</vt:lpwstr>
      </vt:variant>
      <vt:variant>
        <vt:lpwstr/>
      </vt:variant>
      <vt:variant>
        <vt:i4>7864374</vt:i4>
      </vt:variant>
      <vt:variant>
        <vt:i4>141</vt:i4>
      </vt:variant>
      <vt:variant>
        <vt:i4>0</vt:i4>
      </vt:variant>
      <vt:variant>
        <vt:i4>5</vt:i4>
      </vt:variant>
      <vt:variant>
        <vt:lpwstr>https://www.cambridge.org/core/services/aop-cambridge-core/content/view/76BCD9F8910E29604C0E009EEB44760B/S1833367222000797a.pdf/rethinking_work_how_approach_and_avoidance_features_of_cognitive_crafting_are_linked_with_job_crafting_behaviors_and_work_engagement.pdf</vt:lpwstr>
      </vt:variant>
      <vt:variant>
        <vt:lpwstr/>
      </vt:variant>
      <vt:variant>
        <vt:i4>3080295</vt:i4>
      </vt:variant>
      <vt:variant>
        <vt:i4>138</vt:i4>
      </vt:variant>
      <vt:variant>
        <vt:i4>0</vt:i4>
      </vt:variant>
      <vt:variant>
        <vt:i4>5</vt:i4>
      </vt:variant>
      <vt:variant>
        <vt:lpwstr>https://nul.repository.guildhe.ac.uk/id/eprint/1138/1/1-s2.0-S0148296322000819-main.pdf</vt:lpwstr>
      </vt:variant>
      <vt:variant>
        <vt:lpwstr/>
      </vt:variant>
      <vt:variant>
        <vt:i4>6160479</vt:i4>
      </vt:variant>
      <vt:variant>
        <vt:i4>135</vt:i4>
      </vt:variant>
      <vt:variant>
        <vt:i4>0</vt:i4>
      </vt:variant>
      <vt:variant>
        <vt:i4>5</vt:i4>
      </vt:variant>
      <vt:variant>
        <vt:lpwstr>https://dergipark.org.tr/en/download/article-file/5149117</vt:lpwstr>
      </vt:variant>
      <vt:variant>
        <vt:lpwstr/>
      </vt:variant>
      <vt:variant>
        <vt:i4>7209005</vt:i4>
      </vt:variant>
      <vt:variant>
        <vt:i4>132</vt:i4>
      </vt:variant>
      <vt:variant>
        <vt:i4>0</vt:i4>
      </vt:variant>
      <vt:variant>
        <vt:i4>5</vt:i4>
      </vt:variant>
      <vt:variant>
        <vt:lpwstr>https://www.mdpi.com/2079-8954/13/4/219</vt:lpwstr>
      </vt:variant>
      <vt:variant>
        <vt:lpwstr/>
      </vt:variant>
      <vt:variant>
        <vt:i4>327683</vt:i4>
      </vt:variant>
      <vt:variant>
        <vt:i4>129</vt:i4>
      </vt:variant>
      <vt:variant>
        <vt:i4>0</vt:i4>
      </vt:variant>
      <vt:variant>
        <vt:i4>5</vt:i4>
      </vt:variant>
      <vt:variant>
        <vt:lpwstr>https://unitesi.unive.it/bitstream/20.500.14247/8209/1/892171-1284003.pdf</vt:lpwstr>
      </vt:variant>
      <vt:variant>
        <vt:lpwstr/>
      </vt:variant>
      <vt:variant>
        <vt:i4>4980749</vt:i4>
      </vt:variant>
      <vt:variant>
        <vt:i4>126</vt:i4>
      </vt:variant>
      <vt:variant>
        <vt:i4>0</vt:i4>
      </vt:variant>
      <vt:variant>
        <vt:i4>5</vt:i4>
      </vt:variant>
      <vt:variant>
        <vt:lpwstr>https://www.mdpi.com/2079-9292/14/16/3240</vt:lpwstr>
      </vt:variant>
      <vt:variant>
        <vt:lpwstr/>
      </vt:variant>
      <vt:variant>
        <vt:i4>7929959</vt:i4>
      </vt:variant>
      <vt:variant>
        <vt:i4>123</vt:i4>
      </vt:variant>
      <vt:variant>
        <vt:i4>0</vt:i4>
      </vt:variant>
      <vt:variant>
        <vt:i4>5</vt:i4>
      </vt:variant>
      <vt:variant>
        <vt:lpwstr>https://www.academia.edu/download/113927011/Effective_Management_of_Construction_Project_Team_Identifying_Leadership_Qualities_and_Responsibilities.pdf</vt:lpwstr>
      </vt:variant>
      <vt:variant>
        <vt:lpwstr/>
      </vt:variant>
      <vt:variant>
        <vt:i4>1310777</vt:i4>
      </vt:variant>
      <vt:variant>
        <vt:i4>116</vt:i4>
      </vt:variant>
      <vt:variant>
        <vt:i4>0</vt:i4>
      </vt:variant>
      <vt:variant>
        <vt:i4>5</vt:i4>
      </vt:variant>
      <vt:variant>
        <vt:lpwstr/>
      </vt:variant>
      <vt:variant>
        <vt:lpwstr>_Toc234861990</vt:lpwstr>
      </vt:variant>
      <vt:variant>
        <vt:i4>1376313</vt:i4>
      </vt:variant>
      <vt:variant>
        <vt:i4>110</vt:i4>
      </vt:variant>
      <vt:variant>
        <vt:i4>0</vt:i4>
      </vt:variant>
      <vt:variant>
        <vt:i4>5</vt:i4>
      </vt:variant>
      <vt:variant>
        <vt:lpwstr/>
      </vt:variant>
      <vt:variant>
        <vt:lpwstr>_Toc234861989</vt:lpwstr>
      </vt:variant>
      <vt:variant>
        <vt:i4>1376313</vt:i4>
      </vt:variant>
      <vt:variant>
        <vt:i4>104</vt:i4>
      </vt:variant>
      <vt:variant>
        <vt:i4>0</vt:i4>
      </vt:variant>
      <vt:variant>
        <vt:i4>5</vt:i4>
      </vt:variant>
      <vt:variant>
        <vt:lpwstr/>
      </vt:variant>
      <vt:variant>
        <vt:lpwstr>_Toc234861988</vt:lpwstr>
      </vt:variant>
      <vt:variant>
        <vt:i4>1376313</vt:i4>
      </vt:variant>
      <vt:variant>
        <vt:i4>98</vt:i4>
      </vt:variant>
      <vt:variant>
        <vt:i4>0</vt:i4>
      </vt:variant>
      <vt:variant>
        <vt:i4>5</vt:i4>
      </vt:variant>
      <vt:variant>
        <vt:lpwstr/>
      </vt:variant>
      <vt:variant>
        <vt:lpwstr>_Toc234861987</vt:lpwstr>
      </vt:variant>
      <vt:variant>
        <vt:i4>1376313</vt:i4>
      </vt:variant>
      <vt:variant>
        <vt:i4>92</vt:i4>
      </vt:variant>
      <vt:variant>
        <vt:i4>0</vt:i4>
      </vt:variant>
      <vt:variant>
        <vt:i4>5</vt:i4>
      </vt:variant>
      <vt:variant>
        <vt:lpwstr/>
      </vt:variant>
      <vt:variant>
        <vt:lpwstr>_Toc234861986</vt:lpwstr>
      </vt:variant>
      <vt:variant>
        <vt:i4>1376313</vt:i4>
      </vt:variant>
      <vt:variant>
        <vt:i4>86</vt:i4>
      </vt:variant>
      <vt:variant>
        <vt:i4>0</vt:i4>
      </vt:variant>
      <vt:variant>
        <vt:i4>5</vt:i4>
      </vt:variant>
      <vt:variant>
        <vt:lpwstr/>
      </vt:variant>
      <vt:variant>
        <vt:lpwstr>_Toc234861985</vt:lpwstr>
      </vt:variant>
      <vt:variant>
        <vt:i4>1376313</vt:i4>
      </vt:variant>
      <vt:variant>
        <vt:i4>80</vt:i4>
      </vt:variant>
      <vt:variant>
        <vt:i4>0</vt:i4>
      </vt:variant>
      <vt:variant>
        <vt:i4>5</vt:i4>
      </vt:variant>
      <vt:variant>
        <vt:lpwstr/>
      </vt:variant>
      <vt:variant>
        <vt:lpwstr>_Toc234861984</vt:lpwstr>
      </vt:variant>
      <vt:variant>
        <vt:i4>1376313</vt:i4>
      </vt:variant>
      <vt:variant>
        <vt:i4>74</vt:i4>
      </vt:variant>
      <vt:variant>
        <vt:i4>0</vt:i4>
      </vt:variant>
      <vt:variant>
        <vt:i4>5</vt:i4>
      </vt:variant>
      <vt:variant>
        <vt:lpwstr/>
      </vt:variant>
      <vt:variant>
        <vt:lpwstr>_Toc234861983</vt:lpwstr>
      </vt:variant>
      <vt:variant>
        <vt:i4>1376313</vt:i4>
      </vt:variant>
      <vt:variant>
        <vt:i4>68</vt:i4>
      </vt:variant>
      <vt:variant>
        <vt:i4>0</vt:i4>
      </vt:variant>
      <vt:variant>
        <vt:i4>5</vt:i4>
      </vt:variant>
      <vt:variant>
        <vt:lpwstr/>
      </vt:variant>
      <vt:variant>
        <vt:lpwstr>_Toc234861982</vt:lpwstr>
      </vt:variant>
      <vt:variant>
        <vt:i4>1376313</vt:i4>
      </vt:variant>
      <vt:variant>
        <vt:i4>62</vt:i4>
      </vt:variant>
      <vt:variant>
        <vt:i4>0</vt:i4>
      </vt:variant>
      <vt:variant>
        <vt:i4>5</vt:i4>
      </vt:variant>
      <vt:variant>
        <vt:lpwstr/>
      </vt:variant>
      <vt:variant>
        <vt:lpwstr>_Toc234861981</vt:lpwstr>
      </vt:variant>
      <vt:variant>
        <vt:i4>1376313</vt:i4>
      </vt:variant>
      <vt:variant>
        <vt:i4>56</vt:i4>
      </vt:variant>
      <vt:variant>
        <vt:i4>0</vt:i4>
      </vt:variant>
      <vt:variant>
        <vt:i4>5</vt:i4>
      </vt:variant>
      <vt:variant>
        <vt:lpwstr/>
      </vt:variant>
      <vt:variant>
        <vt:lpwstr>_Toc234861980</vt:lpwstr>
      </vt:variant>
      <vt:variant>
        <vt:i4>1703993</vt:i4>
      </vt:variant>
      <vt:variant>
        <vt:i4>50</vt:i4>
      </vt:variant>
      <vt:variant>
        <vt:i4>0</vt:i4>
      </vt:variant>
      <vt:variant>
        <vt:i4>5</vt:i4>
      </vt:variant>
      <vt:variant>
        <vt:lpwstr/>
      </vt:variant>
      <vt:variant>
        <vt:lpwstr>_Toc234861979</vt:lpwstr>
      </vt:variant>
      <vt:variant>
        <vt:i4>1703993</vt:i4>
      </vt:variant>
      <vt:variant>
        <vt:i4>44</vt:i4>
      </vt:variant>
      <vt:variant>
        <vt:i4>0</vt:i4>
      </vt:variant>
      <vt:variant>
        <vt:i4>5</vt:i4>
      </vt:variant>
      <vt:variant>
        <vt:lpwstr/>
      </vt:variant>
      <vt:variant>
        <vt:lpwstr>_Toc234861978</vt:lpwstr>
      </vt:variant>
      <vt:variant>
        <vt:i4>1703993</vt:i4>
      </vt:variant>
      <vt:variant>
        <vt:i4>38</vt:i4>
      </vt:variant>
      <vt:variant>
        <vt:i4>0</vt:i4>
      </vt:variant>
      <vt:variant>
        <vt:i4>5</vt:i4>
      </vt:variant>
      <vt:variant>
        <vt:lpwstr/>
      </vt:variant>
      <vt:variant>
        <vt:lpwstr>_Toc234861977</vt:lpwstr>
      </vt:variant>
      <vt:variant>
        <vt:i4>1703993</vt:i4>
      </vt:variant>
      <vt:variant>
        <vt:i4>32</vt:i4>
      </vt:variant>
      <vt:variant>
        <vt:i4>0</vt:i4>
      </vt:variant>
      <vt:variant>
        <vt:i4>5</vt:i4>
      </vt:variant>
      <vt:variant>
        <vt:lpwstr/>
      </vt:variant>
      <vt:variant>
        <vt:lpwstr>_Toc234861976</vt:lpwstr>
      </vt:variant>
      <vt:variant>
        <vt:i4>1703993</vt:i4>
      </vt:variant>
      <vt:variant>
        <vt:i4>26</vt:i4>
      </vt:variant>
      <vt:variant>
        <vt:i4>0</vt:i4>
      </vt:variant>
      <vt:variant>
        <vt:i4>5</vt:i4>
      </vt:variant>
      <vt:variant>
        <vt:lpwstr/>
      </vt:variant>
      <vt:variant>
        <vt:lpwstr>_Toc234861975</vt:lpwstr>
      </vt:variant>
      <vt:variant>
        <vt:i4>1703993</vt:i4>
      </vt:variant>
      <vt:variant>
        <vt:i4>20</vt:i4>
      </vt:variant>
      <vt:variant>
        <vt:i4>0</vt:i4>
      </vt:variant>
      <vt:variant>
        <vt:i4>5</vt:i4>
      </vt:variant>
      <vt:variant>
        <vt:lpwstr/>
      </vt:variant>
      <vt:variant>
        <vt:lpwstr>_Toc234861974</vt:lpwstr>
      </vt:variant>
      <vt:variant>
        <vt:i4>1703993</vt:i4>
      </vt:variant>
      <vt:variant>
        <vt:i4>14</vt:i4>
      </vt:variant>
      <vt:variant>
        <vt:i4>0</vt:i4>
      </vt:variant>
      <vt:variant>
        <vt:i4>5</vt:i4>
      </vt:variant>
      <vt:variant>
        <vt:lpwstr/>
      </vt:variant>
      <vt:variant>
        <vt:lpwstr>_Toc234861973</vt:lpwstr>
      </vt:variant>
      <vt:variant>
        <vt:i4>1703993</vt:i4>
      </vt:variant>
      <vt:variant>
        <vt:i4>8</vt:i4>
      </vt:variant>
      <vt:variant>
        <vt:i4>0</vt:i4>
      </vt:variant>
      <vt:variant>
        <vt:i4>5</vt:i4>
      </vt:variant>
      <vt:variant>
        <vt:lpwstr/>
      </vt:variant>
      <vt:variant>
        <vt:lpwstr>_Toc234861972</vt:lpwstr>
      </vt:variant>
      <vt:variant>
        <vt:i4>1703993</vt:i4>
      </vt:variant>
      <vt:variant>
        <vt:i4>2</vt:i4>
      </vt:variant>
      <vt:variant>
        <vt:i4>0</vt:i4>
      </vt:variant>
      <vt:variant>
        <vt:i4>5</vt:i4>
      </vt:variant>
      <vt:variant>
        <vt:lpwstr/>
      </vt:variant>
      <vt:variant>
        <vt:lpwstr>_Toc234861971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Hoang Dang Nguyen</cp:lastModifiedBy>
  <cp:revision>2</cp:revision>
  <dcterms:created xsi:type="dcterms:W3CDTF">2026-07-15T17:06:00Z</dcterms:created>
  <dcterms:modified xsi:type="dcterms:W3CDTF">2026-07-15T17:06:00Z</dcterms:modified>
</cp:coreProperties>
</file>