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B116B" w14:textId="1DC625FC" w:rsidR="0014642B" w:rsidRPr="00094BA4" w:rsidRDefault="00094BA4" w:rsidP="00094BA4">
      <w:pPr>
        <w:jc w:val="center"/>
        <w:rPr>
          <w:rFonts w:ascii="Arial" w:hAnsi="Arial" w:cs="Arial"/>
          <w:b/>
          <w:bCs/>
        </w:rPr>
      </w:pPr>
      <w:r w:rsidRPr="00094BA4">
        <w:rPr>
          <w:rFonts w:ascii="Arial" w:hAnsi="Arial" w:cs="Arial"/>
          <w:b/>
          <w:bCs/>
        </w:rPr>
        <w:t>Critical evaluation and self-reflective report on your counselling practice.</w:t>
      </w:r>
    </w:p>
    <w:p w14:paraId="78FE7F1C" w14:textId="77777777" w:rsidR="00094BA4" w:rsidRDefault="00094BA4" w:rsidP="00094BA4">
      <w:pPr>
        <w:jc w:val="center"/>
        <w:rPr>
          <w:rFonts w:ascii="Arial" w:hAnsi="Arial" w:cs="Arial"/>
        </w:rPr>
      </w:pPr>
    </w:p>
    <w:p w14:paraId="4B2D8E0E" w14:textId="029E63C3" w:rsidR="00C7685E" w:rsidRDefault="00094BA4" w:rsidP="000154D4">
      <w:pPr>
        <w:spacing w:after="0" w:line="480" w:lineRule="auto"/>
        <w:rPr>
          <w:rFonts w:ascii="Arial" w:eastAsia="Calibri" w:hAnsi="Arial" w:cs="Arial"/>
          <w:b/>
          <w:color w:val="000000"/>
          <w:lang w:eastAsia="en-GB"/>
        </w:rPr>
      </w:pPr>
      <w:bookmarkStart w:id="0" w:name="_Hlk183707817"/>
      <w:r>
        <w:rPr>
          <w:rFonts w:ascii="Arial" w:eastAsia="Calibri" w:hAnsi="Arial" w:cs="Arial"/>
          <w:b/>
          <w:color w:val="000000"/>
          <w:lang w:eastAsia="en-GB"/>
        </w:rPr>
        <w:t>Introduction.</w:t>
      </w:r>
    </w:p>
    <w:p w14:paraId="39F07A84" w14:textId="6B8DECC5" w:rsidR="000154D4" w:rsidRPr="000154D4" w:rsidRDefault="000154D4" w:rsidP="000154D4">
      <w:pPr>
        <w:pStyle w:val="NormalWeb"/>
        <w:spacing w:line="480" w:lineRule="auto"/>
        <w:ind w:firstLine="360"/>
        <w:rPr>
          <w:rFonts w:ascii="Arial" w:hAnsi="Arial" w:cs="Arial"/>
        </w:rPr>
      </w:pPr>
      <w:r w:rsidRPr="000154D4">
        <w:rPr>
          <w:rFonts w:ascii="Arial" w:hAnsi="Arial" w:cs="Arial"/>
        </w:rPr>
        <w:t xml:space="preserve">Reflective practice is a vital skill for counsellors, fostering self-awareness, professional growth, and the ability to provide ethical and effective care. By examining their thoughts, emotions, and responses during sessions, practitioners can identify biases, strengths, and areas for improvement. This enhances the therapeutic relationship by ensuring interventions are responsive to the client's needs. Reflection also supports continuous learning, allowing counsellors to integrate new insights and techniques, adapt practices, and maintain a client-centred approach. Furthermore, it promotes professional development by encouraging critical analysis and identifying opportunities for further training or supervision. For </w:t>
      </w:r>
      <w:r w:rsidRPr="00C539E9">
        <w:rPr>
          <w:rFonts w:ascii="Arial" w:hAnsi="Arial" w:cs="Arial"/>
        </w:rPr>
        <w:t xml:space="preserve">this reflection, I will analyse my recording from 22:45 to 42:50 using Schön’s reflective model </w:t>
      </w:r>
      <w:r w:rsidR="00C539E9" w:rsidRPr="00C539E9">
        <w:rPr>
          <w:rFonts w:ascii="Arial" w:hAnsi="Arial" w:cs="Arial"/>
        </w:rPr>
        <w:fldChar w:fldCharType="begin"/>
      </w:r>
      <w:r w:rsidR="00BC1B97">
        <w:rPr>
          <w:rFonts w:ascii="Arial" w:hAnsi="Arial" w:cs="Arial"/>
        </w:rPr>
        <w:instrText xml:space="preserve"> ADDIN ZOTERO_ITEM CSL_CITATION {"citationID":"SFXp6lpL","properties":{"formattedCitation":"(Sch\\uc0\\u246{}n, 1991)","plainCitation":"(Schön, 1991)","dontUpdate":true,"noteIndex":0},"citationItems":[{"id":1313,"uris":["http://zotero.org/users/15461753/items/MNSMBJT7"],"itemData":{"id":1313,"type":"book","abstract":"A leading M.I.T. social scientist and consultant examines five professions - engineering, architecture, management, psychotherapy, and town planning - to show how professionals really go about solving problems. The best professionals, Donald SchÃ¶n maintains, know more than they can put into words. To meet the challenges of their work, they rely less on formulas learned in graduate school than on the kind of improvisation learned in practice. This unarticulated, largely unexamined process is the subject of SchÃ¶n's provocatively original book, an effort to show precisely how 'reflection-in-action' works and how this vital creativity might be fostered in future professionals.","edition":"1st edition","event-place":"Farnham","ISBN":"978-1-85742-319-8","language":"English","number-of-pages":"384","publisher":"Routledge","publisher-place":"Farnham","source":"Amazon","title":"The Reflective Practitioner: How Professionals Think in Action","title-short":"The Reflective Practitioner","author":[{"family":"Schön","given":"Donald A."}],"issued":{"date-parts":[["1991",8,22]]}}}],"schema":"https://github.com/citation-style-language/schema/raw/master/csl-citation.json"} </w:instrText>
      </w:r>
      <w:r w:rsidR="00C539E9" w:rsidRPr="00C539E9">
        <w:rPr>
          <w:rFonts w:ascii="Arial" w:hAnsi="Arial" w:cs="Arial"/>
        </w:rPr>
        <w:fldChar w:fldCharType="separate"/>
      </w:r>
      <w:r w:rsidR="00C539E9" w:rsidRPr="00C539E9">
        <w:rPr>
          <w:rFonts w:ascii="Arial" w:hAnsi="Arial" w:cs="Arial"/>
        </w:rPr>
        <w:t>(1991)</w:t>
      </w:r>
      <w:r w:rsidR="00C539E9" w:rsidRPr="00C539E9">
        <w:rPr>
          <w:rFonts w:ascii="Arial" w:hAnsi="Arial" w:cs="Arial"/>
        </w:rPr>
        <w:fldChar w:fldCharType="end"/>
      </w:r>
      <w:r w:rsidRPr="000154D4">
        <w:rPr>
          <w:rFonts w:ascii="Arial" w:hAnsi="Arial" w:cs="Arial"/>
        </w:rPr>
        <w:t>, focusing on both reflection-in-action and reflection-on-action</w:t>
      </w:r>
      <w:r>
        <w:rPr>
          <w:rFonts w:ascii="Arial" w:hAnsi="Arial" w:cs="Arial"/>
        </w:rPr>
        <w:t>.</w:t>
      </w:r>
    </w:p>
    <w:p w14:paraId="1807099B" w14:textId="77777777" w:rsidR="003C6C26" w:rsidRDefault="00094BA4" w:rsidP="003C6C26">
      <w:pPr>
        <w:spacing w:after="0" w:line="456" w:lineRule="auto"/>
        <w:rPr>
          <w:rFonts w:ascii="Arial" w:eastAsia="Calibri" w:hAnsi="Arial" w:cs="Arial"/>
          <w:color w:val="000000"/>
          <w:lang w:eastAsia="en-GB"/>
        </w:rPr>
      </w:pPr>
      <w:r w:rsidRPr="003C6C26">
        <w:rPr>
          <w:rFonts w:ascii="Arial" w:eastAsia="Calibri" w:hAnsi="Arial" w:cs="Arial"/>
          <w:b/>
          <w:color w:val="000000"/>
          <w:lang w:eastAsia="en-GB"/>
        </w:rPr>
        <w:t>Reflection-in-action</w:t>
      </w:r>
      <w:r w:rsidR="003C6C26">
        <w:rPr>
          <w:rFonts w:ascii="Arial" w:eastAsia="Calibri" w:hAnsi="Arial" w:cs="Arial"/>
          <w:color w:val="000000"/>
          <w:lang w:eastAsia="en-GB"/>
        </w:rPr>
        <w:t>.</w:t>
      </w:r>
    </w:p>
    <w:p w14:paraId="027724D6" w14:textId="00EACDCA" w:rsidR="002865F3" w:rsidRPr="002865F3" w:rsidRDefault="002865F3" w:rsidP="005C2350">
      <w:pPr>
        <w:pStyle w:val="NormalWeb"/>
        <w:spacing w:line="480" w:lineRule="auto"/>
        <w:ind w:firstLine="720"/>
        <w:rPr>
          <w:rFonts w:ascii="Arial" w:hAnsi="Arial" w:cs="Arial"/>
        </w:rPr>
      </w:pPr>
      <w:r w:rsidRPr="002865F3">
        <w:rPr>
          <w:rFonts w:ascii="Arial" w:hAnsi="Arial" w:cs="Arial"/>
        </w:rPr>
        <w:t>During the session, I employed various counselling techniques to facilitate the client’s exploration of their feelings and experiences. Grounding strategies were used to help the client remain present and engaged, particularly when addressing feelings of burnout and frustration over situations that felt beyond their control</w:t>
      </w:r>
      <w:r w:rsidR="00374261">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{"citationID":"sBCOJ0p8","properties":{"formattedCitation":"(Koniver, 2023)","plainCitation":"(Koniver, 2023)","noteIndex":0},"citationItems":[{"id":1318,"uris":["http://zotero.org/users/15461753/items/NNEXBPFA"],"itemData":{"id":1318,"type":"article-journal","abstract":"An ever expanding body of research over the past several decades suggest that directly touching the earth, a practice known as grounding, puts the body into a healing state. The natural universe conducts an energy current known as a direct current (DC). This DC circuit of energy flows through everything on our planet, including plants, animals, human beings, and the surface of our entire globe, creating a global electrical circuit. DC energy is also what the living human body uses to function, as everything from the beating of our heart to the movement of our muscles to our brain's ability to think operates using DC energy. The earth's DC energy flows continuously across the earth's crust, and anything conductive that touches the earth becomes part of this natural circuit. Our human bodies, which are highly conductive, join this global electrical circuit whenever we make direct contact with the earth, a practice known as grounding. Medical studies are revealing that by becoming a part of the global electrical circuit, through grounding, the human body enters a profound healing state. As our understanding of the health benefits of grounding continue to deepen, we can begin to use grounding as an intentional healing tool in clinical medicine. Grounding may play a role in not only improving the body's natural ability to function, but may also play a role in the healing of disease and the prevention of disease development in the first place. Studies so far suggest that becoming a part of the earth's global DC circuit enhances our conductive health, which has far reaching implications to all our organ systems that utilize DC energy and conductivity to work, including but not limited to: our central and peripheral nervous system, our musculoskeletal system, and our cardiovascular system. Further research into the healing properties of grounding will help clinicians tailor suggestions for specific health issues, and will help us understand the role of our body's conductivity in the presence of our global electrical circuit.","container-title":"Biomedical Journal","DOI":"10.1016/j.bj.2022.12.001","ISSN":"2319-4170","issue":"1","journalAbbreviation":"Biomedical Journal","page":"41-47","source":"ScienceDirect","title":"Practical applications of grounding to support health","volume":"46","author":[{"family":"Koniver","given":"Laura"}],"issued":{"date-parts":[["2023",2,1]]}}}],"schema":"https://github.com/citation-style-language/schema/raw/master/csl-citation.json"}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(Koniver, 2023)</w:t>
      </w:r>
      <w:r w:rsidR="00374261" w:rsidRPr="00C539E9">
        <w:rPr>
          <w:rFonts w:ascii="Arial" w:hAnsi="Arial" w:cs="Arial"/>
        </w:rPr>
        <w:fldChar w:fldCharType="end"/>
      </w:r>
      <w:r w:rsidRPr="002865F3">
        <w:rPr>
          <w:rFonts w:ascii="Arial" w:hAnsi="Arial" w:cs="Arial"/>
        </w:rPr>
        <w:t xml:space="preserve">. These strategies reflect </w:t>
      </w:r>
      <w:r w:rsidRPr="005C2350">
        <w:rPr>
          <w:rStyle w:val="Strong"/>
          <w:rFonts w:ascii="Arial" w:eastAsiaTheme="majorEastAsia" w:hAnsi="Arial" w:cs="Arial"/>
          <w:b w:val="0"/>
          <w:bCs w:val="0"/>
        </w:rPr>
        <w:t>Trauma-Informed Care</w:t>
      </w:r>
      <w:r w:rsidRPr="002865F3">
        <w:rPr>
          <w:rFonts w:ascii="Arial" w:hAnsi="Arial" w:cs="Arial"/>
        </w:rPr>
        <w:t xml:space="preserve"> principles, emphasizing safety and pacing interventions to avoid overwhelming the client. This approach also aligns with Bowlby’s attachment </w:t>
      </w:r>
      <w:r w:rsidRPr="00C539E9">
        <w:rPr>
          <w:rFonts w:ascii="Arial" w:hAnsi="Arial" w:cs="Arial"/>
        </w:rPr>
        <w:t xml:space="preserve">theory </w:t>
      </w:r>
      <w:r w:rsidR="00BC1B97">
        <w:rPr>
          <w:rFonts w:ascii="Arial" w:hAnsi="Arial" w:cs="Arial"/>
        </w:rPr>
        <w:fldChar w:fldCharType="begin"/>
      </w:r>
      <w:r w:rsidR="00BC1B97">
        <w:rPr>
          <w:rFonts w:ascii="Arial" w:hAnsi="Arial" w:cs="Arial"/>
        </w:rPr>
        <w:instrText xml:space="preserve"> ADDIN ZOTERO_ITEM CSL_CITATION {"citationID":"jJttdTAH","properties":{"formattedCitation":"(Fearon &amp; Roisman, 2017)","plainCitation":"(Fearon &amp; Roisman, 2017)","noteIndex":0},"citationItems":[{"id":189,"uris":["http://zotero.org/users/15461753/items/Z5NNWZAX"],"itemData":{"id":189,"type":"article-journal","abstract":"Byline: R.M. Pasco Fearon (1), Glenn I Roisman (2) * Attachment measures need to be improved; dimensional measures may be superior. * Attachment is influenced by the environment but the determinants remain elusive. * Attachment is transmitted between generations more weakly than previously thought. * Attachment in children is not highly stable; change is the norm not the exception. * Attachment is linked to outcomes, but not strongly; effects vary by type and domain. Author Affiliation: (1) Research Department of Clinical, Educational and Health Psychology, University College London, Gower Street, London WC1E 6BT, UK (2) University of Minnesota, United States","container-title":"Current opinion in psychology","DOI":"10.1016/j.copsyc.2017.03.002","ISSN":"2352-250X","language":"eng","note":"publisher: Elsevier B.V","page":"131–136","source":"librarysearch.uwtsd.ac.uk","title":"Attachment theory: progress and future directions","title-short":"Attachment theory","volume":"15","author":[{"family":"Fearon","given":"RM Pasco"},{"family":"Roisman","given":"Glenn I."}],"issued":{"date-parts":[["2017"]]}}}],"schema":"https://github.com/citation-style-language/schema/raw/master/csl-citation.json"} </w:instrText>
      </w:r>
      <w:r w:rsidR="00BC1B97">
        <w:rPr>
          <w:rFonts w:ascii="Arial" w:hAnsi="Arial" w:cs="Arial"/>
        </w:rPr>
        <w:fldChar w:fldCharType="separate"/>
      </w:r>
      <w:r w:rsidR="00BC1B97" w:rsidRPr="00BC1B97">
        <w:rPr>
          <w:rFonts w:ascii="Arial" w:hAnsi="Arial" w:cs="Arial"/>
        </w:rPr>
        <w:t>(Fearon &amp; Roisman, 2017)</w:t>
      </w:r>
      <w:r w:rsidR="00BC1B97">
        <w:rPr>
          <w:rFonts w:ascii="Arial" w:hAnsi="Arial" w:cs="Arial"/>
        </w:rPr>
        <w:fldChar w:fldCharType="end"/>
      </w:r>
      <w:r w:rsidRPr="00C539E9">
        <w:rPr>
          <w:rFonts w:ascii="Arial" w:hAnsi="Arial" w:cs="Arial"/>
        </w:rPr>
        <w:t xml:space="preserve">, </w:t>
      </w:r>
      <w:r w:rsidRPr="002865F3">
        <w:rPr>
          <w:rFonts w:ascii="Arial" w:hAnsi="Arial" w:cs="Arial"/>
        </w:rPr>
        <w:t>which highlights the importance of a secure base in fostering emotional processing.</w:t>
      </w:r>
      <w:r w:rsidR="005C2350">
        <w:rPr>
          <w:rFonts w:ascii="Arial" w:hAnsi="Arial" w:cs="Arial"/>
        </w:rPr>
        <w:t xml:space="preserve"> </w:t>
      </w:r>
      <w:r w:rsidRPr="002865F3">
        <w:rPr>
          <w:rFonts w:ascii="Arial" w:hAnsi="Arial" w:cs="Arial"/>
        </w:rPr>
        <w:t xml:space="preserve">I acknowledged and validated the client’s emotions, including their expressed feelings </w:t>
      </w:r>
      <w:r w:rsidRPr="002865F3">
        <w:rPr>
          <w:rFonts w:ascii="Arial" w:hAnsi="Arial" w:cs="Arial"/>
        </w:rPr>
        <w:lastRenderedPageBreak/>
        <w:t xml:space="preserve">of being </w:t>
      </w:r>
      <w:r w:rsidR="00BC1B97">
        <w:rPr>
          <w:rFonts w:ascii="Arial" w:hAnsi="Arial" w:cs="Arial"/>
        </w:rPr>
        <w:t>‘</w:t>
      </w:r>
      <w:r w:rsidRPr="002865F3">
        <w:rPr>
          <w:rFonts w:ascii="Arial" w:hAnsi="Arial" w:cs="Arial"/>
        </w:rPr>
        <w:t>lost</w:t>
      </w:r>
      <w:r w:rsidR="00BC1B97">
        <w:rPr>
          <w:rFonts w:ascii="Arial" w:hAnsi="Arial" w:cs="Arial"/>
        </w:rPr>
        <w:t>’</w:t>
      </w:r>
      <w:r w:rsidRPr="002865F3">
        <w:rPr>
          <w:rFonts w:ascii="Arial" w:hAnsi="Arial" w:cs="Arial"/>
        </w:rPr>
        <w:t xml:space="preserve"> and </w:t>
      </w:r>
      <w:r w:rsidR="00BC1B97">
        <w:rPr>
          <w:rFonts w:ascii="Arial" w:hAnsi="Arial" w:cs="Arial"/>
        </w:rPr>
        <w:t>‘</w:t>
      </w:r>
      <w:r w:rsidRPr="002865F3">
        <w:rPr>
          <w:rFonts w:ascii="Arial" w:hAnsi="Arial" w:cs="Arial"/>
        </w:rPr>
        <w:t>vulnerable</w:t>
      </w:r>
      <w:r w:rsidR="00BC1B97">
        <w:rPr>
          <w:rFonts w:ascii="Arial" w:hAnsi="Arial" w:cs="Arial"/>
        </w:rPr>
        <w:t>’.</w:t>
      </w:r>
      <w:r w:rsidRPr="002865F3">
        <w:rPr>
          <w:rFonts w:ascii="Arial" w:hAnsi="Arial" w:cs="Arial"/>
        </w:rPr>
        <w:t xml:space="preserve"> By referencing their recurring mention of burnout and inviting clarification on their description of a </w:t>
      </w:r>
      <w:r w:rsidR="00BC1B97">
        <w:rPr>
          <w:rFonts w:ascii="Arial" w:hAnsi="Arial" w:cs="Arial"/>
        </w:rPr>
        <w:t>‘</w:t>
      </w:r>
      <w:r w:rsidRPr="002865F3">
        <w:rPr>
          <w:rFonts w:ascii="Arial" w:hAnsi="Arial" w:cs="Arial"/>
        </w:rPr>
        <w:t>low impact point</w:t>
      </w:r>
      <w:r w:rsidR="00BC1B97">
        <w:rPr>
          <w:rFonts w:ascii="Arial" w:hAnsi="Arial" w:cs="Arial"/>
        </w:rPr>
        <w:t>’,</w:t>
      </w:r>
      <w:r w:rsidRPr="002865F3">
        <w:rPr>
          <w:rFonts w:ascii="Arial" w:hAnsi="Arial" w:cs="Arial"/>
        </w:rPr>
        <w:t xml:space="preserve"> I aimed to deepen their emotional exploration. This approach is consistent with </w:t>
      </w:r>
      <w:r w:rsidRPr="005C2350">
        <w:rPr>
          <w:rStyle w:val="Strong"/>
          <w:rFonts w:ascii="Arial" w:eastAsiaTheme="majorEastAsia" w:hAnsi="Arial" w:cs="Arial"/>
          <w:b w:val="0"/>
          <w:bCs w:val="0"/>
        </w:rPr>
        <w:t>Emotion-Focused Therapy (EFT)</w:t>
      </w:r>
      <w:r w:rsidRPr="005C2350">
        <w:rPr>
          <w:rFonts w:ascii="Arial" w:hAnsi="Arial" w:cs="Arial"/>
          <w:b/>
          <w:bCs/>
        </w:rPr>
        <w:t>,</w:t>
      </w:r>
      <w:r w:rsidRPr="002865F3">
        <w:rPr>
          <w:rFonts w:ascii="Arial" w:hAnsi="Arial" w:cs="Arial"/>
        </w:rPr>
        <w:t xml:space="preserve"> which emphasizes attending to key emotional markers to enhance self-awareness and processing.</w:t>
      </w:r>
    </w:p>
    <w:p w14:paraId="2FCCD2ED" w14:textId="00C57B16" w:rsidR="002865F3" w:rsidRPr="002865F3" w:rsidRDefault="002865F3" w:rsidP="002865F3">
      <w:pPr>
        <w:pStyle w:val="NormalWeb"/>
        <w:spacing w:line="480" w:lineRule="auto"/>
        <w:ind w:firstLine="720"/>
        <w:rPr>
          <w:rFonts w:ascii="Arial" w:hAnsi="Arial" w:cs="Arial"/>
        </w:rPr>
      </w:pPr>
      <w:r w:rsidRPr="002865F3">
        <w:rPr>
          <w:rFonts w:ascii="Arial" w:hAnsi="Arial" w:cs="Arial"/>
        </w:rPr>
        <w:t>A significant moment in the session arose from the client’s use of metaphor</w:t>
      </w:r>
      <w:r w:rsidR="00646FEA">
        <w:rPr>
          <w:rFonts w:ascii="Arial" w:hAnsi="Arial" w:cs="Arial"/>
        </w:rPr>
        <w:t xml:space="preserve"> </w:t>
      </w:r>
      <w:r w:rsidRPr="002865F3">
        <w:rPr>
          <w:rFonts w:ascii="Arial" w:hAnsi="Arial" w:cs="Arial"/>
        </w:rPr>
        <w:t xml:space="preserve">describing their emotions as a </w:t>
      </w:r>
      <w:r w:rsidR="00BC1B97">
        <w:rPr>
          <w:rFonts w:ascii="Arial" w:hAnsi="Arial" w:cs="Arial"/>
        </w:rPr>
        <w:t>‘</w:t>
      </w:r>
      <w:r w:rsidRPr="002865F3">
        <w:rPr>
          <w:rFonts w:ascii="Arial" w:hAnsi="Arial" w:cs="Arial"/>
        </w:rPr>
        <w:t>crushed-up ball of paper</w:t>
      </w:r>
      <w:r w:rsidR="00BC1B97">
        <w:rPr>
          <w:rFonts w:ascii="Arial" w:hAnsi="Arial" w:cs="Arial"/>
        </w:rPr>
        <w:t>’.</w:t>
      </w:r>
      <w:r w:rsidRPr="002865F3">
        <w:rPr>
          <w:rFonts w:ascii="Arial" w:hAnsi="Arial" w:cs="Arial"/>
        </w:rPr>
        <w:t xml:space="preserve"> Metaphors often symbolize inner experiences, and their exploration can lead to deeper </w:t>
      </w:r>
      <w:r w:rsidRPr="00C539E9">
        <w:rPr>
          <w:rFonts w:ascii="Arial" w:hAnsi="Arial" w:cs="Arial"/>
        </w:rPr>
        <w:t>insight</w:t>
      </w:r>
      <w:r w:rsidR="00374261" w:rsidRPr="00C539E9">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{"citationID":"jLnxy7sb","properties":{"formattedCitation":"(Malkomsen et al., 2021)","plainCitation":"(Malkomsen et al., 2021)","noteIndex":0},"citationItems":[{"id":1321,"uris":["http://zotero.org/users/15461753/items/LGZL9YV4"],"itemData":{"id":1321,"type":"article-journal","abstract":"Background\nIn the present study, we wanted to explore which metaphors patients suffering from major depressive disorder (MDD) use to explain their experience of being in therapy and their improvement from depression.\n\nMethods\nPatients with MDD (N = 22) received either psychodynamic therapy (PDT) or cognitive behavioral therapy (CBT). They were interviewed with semi-structured qualitative interviews after ending therapy. The transcripts were analyzed using a method based on metaphor-led discourse analysis.\n\nResults\nMetaphors were organized into three different categories concerning the process of therapy, the therapeutic relationship and of improvement from depression. Most frequent were the metaphorical concepts of surface and depth, being open and closed, chemistry, tools, improvement as a journey from darkness to light and depression as a disease or opponent.\n\nConclusions\nPatient metaphors concerning the therapeutic experience may provide clinicians and researchers valuable information about the process of therapy. Metaphors offer an opportunity for patients to communicate nuances about their therapeutic experience that are difficult to express in literal language. However, if not sufficiently explored and understood, metaphors may be misinterpreted and become a barrier for therapeutic change.\n\nTrial registration\nClinical Trial gov. Identifier: NCT03022071. Date of registration: 16/01/2017.","container-title":"BMC Psychiatry","DOI":"10.1186/s12888-021-03551-1","ISSN":"1471-244X","journalAbbreviation":"BMC Psychiatry","note":"PMID: 34706691\nPMCID: PMC8555134","page":"533","source":"PubMed Central","title":"Digging down or scratching the surface: how patients use metaphors to describe their experiences of psychotherapy","title-short":"Digging down or scratching the surface","volume":"21","author":[{"family":"Malkomsen","given":"A."},{"family":"Røssberg","given":"J. I."},{"family":"Dammen","given":"T."},{"family":"Wilberg","given":"T."},{"family":"Løvgren","given":"A."},{"family":"Ulberg","given":"R."},{"family":"Evensen","given":"J."}],"issued":{"date-parts":[["2021",10,27]]}}}],"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(Malkomsen et al., 2021)</w:t>
      </w:r>
      <w:r w:rsidR="00374261" w:rsidRPr="00C539E9">
        <w:rPr>
          <w:rFonts w:ascii="Arial" w:hAnsi="Arial" w:cs="Arial"/>
        </w:rPr>
        <w:fldChar w:fldCharType="end"/>
      </w:r>
      <w:r w:rsidRPr="00C539E9">
        <w:rPr>
          <w:rFonts w:ascii="Arial" w:hAnsi="Arial" w:cs="Arial"/>
        </w:rPr>
        <w:t>. When I suggested the possibility of discarding t</w:t>
      </w:r>
      <w:r w:rsidRPr="002865F3">
        <w:rPr>
          <w:rFonts w:ascii="Arial" w:hAnsi="Arial" w:cs="Arial"/>
        </w:rPr>
        <w:t xml:space="preserve">he </w:t>
      </w:r>
      <w:r w:rsidR="00BC1B97">
        <w:rPr>
          <w:rFonts w:ascii="Arial" w:hAnsi="Arial" w:cs="Arial"/>
        </w:rPr>
        <w:t>‘</w:t>
      </w:r>
      <w:r w:rsidRPr="002865F3">
        <w:rPr>
          <w:rFonts w:ascii="Arial" w:hAnsi="Arial" w:cs="Arial"/>
        </w:rPr>
        <w:t>ball</w:t>
      </w:r>
      <w:r w:rsidR="00BC1B97">
        <w:rPr>
          <w:rFonts w:ascii="Arial" w:hAnsi="Arial" w:cs="Arial"/>
        </w:rPr>
        <w:t>’</w:t>
      </w:r>
      <w:r w:rsidRPr="002865F3">
        <w:rPr>
          <w:rFonts w:ascii="Arial" w:hAnsi="Arial" w:cs="Arial"/>
        </w:rPr>
        <w:t xml:space="preserve">, the client expressed discomfort, indicating that letting go felt overwhelming. Instead, they preferred </w:t>
      </w:r>
      <w:r w:rsidR="00BC1B97">
        <w:rPr>
          <w:rFonts w:ascii="Arial" w:hAnsi="Arial" w:cs="Arial"/>
        </w:rPr>
        <w:t>‘</w:t>
      </w:r>
      <w:r w:rsidRPr="002865F3">
        <w:rPr>
          <w:rFonts w:ascii="Arial" w:hAnsi="Arial" w:cs="Arial"/>
        </w:rPr>
        <w:t>unlocking</w:t>
      </w:r>
      <w:r w:rsidR="00BC1B97">
        <w:rPr>
          <w:rFonts w:ascii="Arial" w:hAnsi="Arial" w:cs="Arial"/>
        </w:rPr>
        <w:t>’</w:t>
      </w:r>
      <w:r w:rsidRPr="002865F3">
        <w:rPr>
          <w:rFonts w:ascii="Arial" w:hAnsi="Arial" w:cs="Arial"/>
        </w:rPr>
        <w:t xml:space="preserve"> and </w:t>
      </w:r>
      <w:r w:rsidR="00BC1B97">
        <w:rPr>
          <w:rFonts w:ascii="Arial" w:hAnsi="Arial" w:cs="Arial"/>
        </w:rPr>
        <w:t>‘</w:t>
      </w:r>
      <w:r w:rsidRPr="002865F3">
        <w:rPr>
          <w:rFonts w:ascii="Arial" w:hAnsi="Arial" w:cs="Arial"/>
        </w:rPr>
        <w:t>acknowledging</w:t>
      </w:r>
      <w:r w:rsidR="00BC1B97">
        <w:rPr>
          <w:rFonts w:ascii="Arial" w:hAnsi="Arial" w:cs="Arial"/>
        </w:rPr>
        <w:t>’</w:t>
      </w:r>
      <w:r w:rsidRPr="002865F3">
        <w:rPr>
          <w:rFonts w:ascii="Arial" w:hAnsi="Arial" w:cs="Arial"/>
        </w:rPr>
        <w:t xml:space="preserve"> the emotions symbolized by the ball. This adjustment mirrors </w:t>
      </w:r>
      <w:r w:rsidRPr="005C2350">
        <w:rPr>
          <w:rStyle w:val="Strong"/>
          <w:rFonts w:ascii="Arial" w:eastAsiaTheme="majorEastAsia" w:hAnsi="Arial" w:cs="Arial"/>
          <w:b w:val="0"/>
          <w:bCs w:val="0"/>
        </w:rPr>
        <w:t>Gestalt Therapy’s</w:t>
      </w:r>
      <w:r w:rsidRPr="005C2350">
        <w:rPr>
          <w:rFonts w:ascii="Arial" w:hAnsi="Arial" w:cs="Arial"/>
        </w:rPr>
        <w:t xml:space="preserve"> emphasis</w:t>
      </w:r>
      <w:r w:rsidRPr="002865F3">
        <w:rPr>
          <w:rFonts w:ascii="Arial" w:hAnsi="Arial" w:cs="Arial"/>
        </w:rPr>
        <w:t xml:space="preserve"> on meeting clients where they are and respecting their boundaries. By validating the client’s preference for </w:t>
      </w:r>
      <w:r w:rsidR="00BC1B97">
        <w:rPr>
          <w:rFonts w:ascii="Arial" w:hAnsi="Arial" w:cs="Arial"/>
        </w:rPr>
        <w:t>‘</w:t>
      </w:r>
      <w:r w:rsidRPr="002865F3">
        <w:rPr>
          <w:rFonts w:ascii="Arial" w:hAnsi="Arial" w:cs="Arial"/>
        </w:rPr>
        <w:t>unlocking</w:t>
      </w:r>
      <w:r w:rsidR="00BC1B97">
        <w:rPr>
          <w:rFonts w:ascii="Arial" w:hAnsi="Arial" w:cs="Arial"/>
        </w:rPr>
        <w:t>’,</w:t>
      </w:r>
      <w:r w:rsidRPr="002865F3">
        <w:rPr>
          <w:rFonts w:ascii="Arial" w:hAnsi="Arial" w:cs="Arial"/>
        </w:rPr>
        <w:t xml:space="preserve"> I supported a gentler approach to emotional exploration that aligned with their capacity at the time.</w:t>
      </w:r>
    </w:p>
    <w:p w14:paraId="5FC495E1" w14:textId="176A2875" w:rsidR="002865F3" w:rsidRPr="002865F3" w:rsidRDefault="002865F3" w:rsidP="002865F3">
      <w:pPr>
        <w:pStyle w:val="NormalWeb"/>
        <w:spacing w:line="480" w:lineRule="auto"/>
        <w:ind w:firstLine="720"/>
        <w:rPr>
          <w:rFonts w:ascii="Arial" w:hAnsi="Arial" w:cs="Arial"/>
        </w:rPr>
      </w:pPr>
      <w:r w:rsidRPr="002865F3">
        <w:rPr>
          <w:rFonts w:ascii="Arial" w:hAnsi="Arial" w:cs="Arial"/>
        </w:rPr>
        <w:t xml:space="preserve">To encourage future-oriented thinking, I introduced the </w:t>
      </w:r>
      <w:r w:rsidR="00BC1B97">
        <w:rPr>
          <w:rFonts w:ascii="Arial" w:hAnsi="Arial" w:cs="Arial"/>
        </w:rPr>
        <w:t>‘</w:t>
      </w:r>
      <w:r w:rsidRPr="002865F3">
        <w:rPr>
          <w:rFonts w:ascii="Arial" w:hAnsi="Arial" w:cs="Arial"/>
        </w:rPr>
        <w:t>magic wand</w:t>
      </w:r>
      <w:r w:rsidR="00BC1B97">
        <w:rPr>
          <w:rFonts w:ascii="Arial" w:hAnsi="Arial" w:cs="Arial"/>
        </w:rPr>
        <w:t>’</w:t>
      </w:r>
      <w:r w:rsidRPr="002865F3">
        <w:rPr>
          <w:rFonts w:ascii="Arial" w:hAnsi="Arial" w:cs="Arial"/>
        </w:rPr>
        <w:t xml:space="preserve"> scenario, a tool from </w:t>
      </w:r>
      <w:r w:rsidRPr="005C2350">
        <w:rPr>
          <w:rStyle w:val="Strong"/>
          <w:rFonts w:ascii="Arial" w:eastAsiaTheme="majorEastAsia" w:hAnsi="Arial" w:cs="Arial"/>
          <w:b w:val="0"/>
          <w:bCs w:val="0"/>
        </w:rPr>
        <w:t xml:space="preserve">Solution-Focused Brief Therapy </w:t>
      </w:r>
      <w:r w:rsidRPr="00374261">
        <w:rPr>
          <w:rStyle w:val="Strong"/>
          <w:rFonts w:ascii="Arial" w:eastAsiaTheme="majorEastAsia" w:hAnsi="Arial" w:cs="Arial"/>
          <w:b w:val="0"/>
          <w:bCs w:val="0"/>
        </w:rPr>
        <w:t>(SFBT)</w:t>
      </w:r>
      <w:r w:rsidRPr="00374261">
        <w:rPr>
          <w:rFonts w:ascii="Arial" w:hAnsi="Arial" w:cs="Arial"/>
        </w:rPr>
        <w:t xml:space="preserve"> </w:t>
      </w:r>
      <w:r w:rsidRPr="002865F3">
        <w:rPr>
          <w:rFonts w:ascii="Arial" w:hAnsi="Arial" w:cs="Arial"/>
        </w:rPr>
        <w:t xml:space="preserve">designed to help clients envision ideal outcomes and actionable </w:t>
      </w:r>
      <w:r w:rsidRPr="00C539E9">
        <w:rPr>
          <w:rFonts w:ascii="Arial" w:hAnsi="Arial" w:cs="Arial"/>
        </w:rPr>
        <w:t>goals</w:t>
      </w:r>
      <w:r w:rsidR="00374261" w:rsidRPr="00C539E9">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{"citationID":"ujuYIn3g","properties":{"formattedCitation":"(Jerome et al., 2023)","plainCitation":"(Jerome et al., 2023)","noteIndex":0},"citationItems":[{"id":1324,"uris":["http://zotero.org/users/15461753/items/NTRTSM54"],"itemData":{"id":1324,"type":"article-journal","abstract":"Solution-focused approaches are one approach to treatment used in a wide variety of settings in modern mental healthcare services. As yet, there has been no overall synthesis of how this approach is understood in the adult mental health literature. This conceptual review aimed to synthesize the ways that solution-focused approaches have been conceptualized and understood, within the adult mental health literature, in the five decades since their conception. A systematic search followed by multiple techniques from the narrative synthesis approach were used to develop a conceptual framework of the extracted data. Fifty-six papers published between 1993 and 2019 were included in the review. These papers spanned a variety of clinical contexts and countries, but despite this the underlying key principles and concepts of solution-focused approaches were remarkably similar over time and setting. Thematic analysis of extracted data outlined five key themes relevant to the conceptualization of this approach. This conceptual framework will help support clinicians using solution-focused techniques or therapies by giving them a coherent understanding of such approaches, by what mechanisms they work, and how key principles of this approach can be utilized in adult mental health settings.","container-title":"Frontiers in Psychiatry","DOI":"10.3389/fpsyt.2023.1068006","ISSN":"1664-0640","journalAbbreviation":"Front Psychiatry","note":"PMID: 37065885\nPMCID: PMC10098109","page":"1068006","source":"PubMed Central","title":"Solution-focused approaches in adult mental health research: A conceptual literature review and narrative synthesis","title-short":"Solution-focused approaches in adult mental health research","volume":"14","author":[{"family":"Jerome","given":"Lauren"},{"family":"McNamee","given":"Philip"},{"family":"Abdel-Halim","given":"Nadia"},{"family":"Elliot","given":"Kathryn"},{"family":"Woods","given":"Jonathan"}],"issued":{"date-parts":[["2023",3,30]]}}}],"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(Jerome et al., 2023)</w:t>
      </w:r>
      <w:r w:rsidR="00374261" w:rsidRPr="00C539E9">
        <w:rPr>
          <w:rFonts w:ascii="Arial" w:hAnsi="Arial" w:cs="Arial"/>
        </w:rPr>
        <w:fldChar w:fldCharType="end"/>
      </w:r>
      <w:r w:rsidRPr="00C539E9">
        <w:rPr>
          <w:rFonts w:ascii="Arial" w:hAnsi="Arial" w:cs="Arial"/>
        </w:rPr>
        <w:t xml:space="preserve">. </w:t>
      </w:r>
      <w:r w:rsidRPr="002865F3">
        <w:rPr>
          <w:rFonts w:ascii="Arial" w:hAnsi="Arial" w:cs="Arial"/>
        </w:rPr>
        <w:t xml:space="preserve">While effective in promoting reflection, this exercise brought up the unexpected topic of children. I hesitated to explore this further, uncertain if the client was ready for such a sensitive discussion. </w:t>
      </w:r>
      <w:r w:rsidRPr="00BC1B97">
        <w:rPr>
          <w:rFonts w:ascii="Arial" w:hAnsi="Arial" w:cs="Arial"/>
        </w:rPr>
        <w:t xml:space="preserve">This moment </w:t>
      </w:r>
      <w:r w:rsidR="00BC1B97" w:rsidRPr="00BC1B97">
        <w:rPr>
          <w:rFonts w:ascii="Arial" w:hAnsi="Arial" w:cs="Arial"/>
        </w:rPr>
        <w:t>revealed an opportunity for growth to enhance my confidence and sensitivity in managing session dynamics while addressing emerging themes.</w:t>
      </w:r>
    </w:p>
    <w:p w14:paraId="09ECCA6A" w14:textId="260DBFD5" w:rsidR="002865F3" w:rsidRDefault="002865F3" w:rsidP="002865F3">
      <w:pPr>
        <w:pStyle w:val="NormalWeb"/>
        <w:spacing w:line="480" w:lineRule="auto"/>
        <w:ind w:firstLine="720"/>
        <w:rPr>
          <w:rFonts w:ascii="Arial" w:hAnsi="Arial" w:cs="Arial"/>
        </w:rPr>
      </w:pPr>
      <w:r w:rsidRPr="002865F3">
        <w:rPr>
          <w:rFonts w:ascii="Arial" w:hAnsi="Arial" w:cs="Arial"/>
        </w:rPr>
        <w:lastRenderedPageBreak/>
        <w:t xml:space="preserve">Additionally, the client mentioned feeling overwhelmed by </w:t>
      </w:r>
      <w:r w:rsidR="00BC1B97">
        <w:rPr>
          <w:rFonts w:ascii="Arial" w:hAnsi="Arial" w:cs="Arial"/>
        </w:rPr>
        <w:t>‘</w:t>
      </w:r>
      <w:r w:rsidRPr="002865F3">
        <w:rPr>
          <w:rFonts w:ascii="Arial" w:hAnsi="Arial" w:cs="Arial"/>
        </w:rPr>
        <w:t>lots of questions</w:t>
      </w:r>
      <w:r w:rsidR="00BC1B97">
        <w:rPr>
          <w:rFonts w:ascii="Arial" w:hAnsi="Arial" w:cs="Arial"/>
        </w:rPr>
        <w:t>’,</w:t>
      </w:r>
      <w:r w:rsidRPr="002865F3">
        <w:rPr>
          <w:rFonts w:ascii="Arial" w:hAnsi="Arial" w:cs="Arial"/>
        </w:rPr>
        <w:t xml:space="preserve"> which I could have explored further. Understanding whether this discomfort was specific to our session or a broader interpersonal challenge would have provided valuable insights. This aligns with </w:t>
      </w:r>
      <w:r w:rsidRPr="005C2350">
        <w:rPr>
          <w:rStyle w:val="Strong"/>
          <w:rFonts w:ascii="Arial" w:eastAsiaTheme="majorEastAsia" w:hAnsi="Arial" w:cs="Arial"/>
          <w:b w:val="0"/>
          <w:bCs w:val="0"/>
        </w:rPr>
        <w:t>Interpersonal Therapy (IPT)</w:t>
      </w:r>
      <w:r w:rsidRPr="005C2350">
        <w:rPr>
          <w:rFonts w:ascii="Arial" w:hAnsi="Arial" w:cs="Arial"/>
          <w:b/>
          <w:bCs/>
        </w:rPr>
        <w:t>,</w:t>
      </w:r>
      <w:r w:rsidRPr="002865F3">
        <w:rPr>
          <w:rFonts w:ascii="Arial" w:hAnsi="Arial" w:cs="Arial"/>
        </w:rPr>
        <w:t xml:space="preserve"> which examines the impact of social interactions on emotional well</w:t>
      </w:r>
      <w:r w:rsidR="00374261">
        <w:rPr>
          <w:rFonts w:ascii="Arial" w:hAnsi="Arial" w:cs="Arial"/>
        </w:rPr>
        <w:t>-</w:t>
      </w:r>
      <w:r w:rsidRPr="002865F3">
        <w:rPr>
          <w:rFonts w:ascii="Arial" w:hAnsi="Arial" w:cs="Arial"/>
        </w:rPr>
        <w:t>being.</w:t>
      </w:r>
      <w:r>
        <w:rPr>
          <w:rFonts w:ascii="Arial" w:hAnsi="Arial" w:cs="Arial"/>
        </w:rPr>
        <w:t xml:space="preserve"> </w:t>
      </w:r>
    </w:p>
    <w:p w14:paraId="75A257FA" w14:textId="7B770555" w:rsidR="002865F3" w:rsidRDefault="002865F3" w:rsidP="002865F3">
      <w:pPr>
        <w:pStyle w:val="NormalWeb"/>
        <w:spacing w:line="480" w:lineRule="auto"/>
        <w:ind w:firstLine="720"/>
        <w:rPr>
          <w:rFonts w:ascii="Arial" w:hAnsi="Arial" w:cs="Arial"/>
        </w:rPr>
      </w:pPr>
      <w:r w:rsidRPr="002865F3">
        <w:rPr>
          <w:rFonts w:ascii="Arial" w:hAnsi="Arial" w:cs="Arial"/>
        </w:rPr>
        <w:t>Upon reviewing the session, I recogni</w:t>
      </w:r>
      <w:r w:rsidR="00646FEA">
        <w:rPr>
          <w:rFonts w:ascii="Arial" w:hAnsi="Arial" w:cs="Arial"/>
        </w:rPr>
        <w:t>s</w:t>
      </w:r>
      <w:r w:rsidRPr="002865F3">
        <w:rPr>
          <w:rFonts w:ascii="Arial" w:hAnsi="Arial" w:cs="Arial"/>
        </w:rPr>
        <w:t xml:space="preserve">ed the importance of balancing encouragement for emotional exploration with sensitivity to the client’s readiness. For example, the suggestion to discard the metaphorical ball, while well-intentioned, felt premature for the client. Adjusting interventions to align with the client’s pace reflects the principles of </w:t>
      </w:r>
      <w:r w:rsidRPr="005C2350">
        <w:rPr>
          <w:rStyle w:val="Strong"/>
          <w:rFonts w:ascii="Arial" w:eastAsiaTheme="majorEastAsia" w:hAnsi="Arial" w:cs="Arial"/>
          <w:b w:val="0"/>
          <w:bCs w:val="0"/>
        </w:rPr>
        <w:t>Person-Centred Therapy</w:t>
      </w:r>
      <w:r w:rsidRPr="002865F3">
        <w:rPr>
          <w:rFonts w:ascii="Arial" w:hAnsi="Arial" w:cs="Arial"/>
        </w:rPr>
        <w:t>, which prioritizes the client’s autonomy in directing their therapeutic process.</w:t>
      </w:r>
      <w:r>
        <w:rPr>
          <w:rFonts w:ascii="Arial" w:hAnsi="Arial" w:cs="Arial"/>
        </w:rPr>
        <w:t xml:space="preserve"> </w:t>
      </w:r>
    </w:p>
    <w:p w14:paraId="547AE57B" w14:textId="77777777" w:rsidR="00374261" w:rsidRDefault="00094BA4" w:rsidP="00374261">
      <w:pPr>
        <w:pStyle w:val="NormalWeb"/>
        <w:spacing w:line="480" w:lineRule="auto"/>
        <w:rPr>
          <w:rFonts w:ascii="Arial" w:eastAsia="Calibri" w:hAnsi="Arial" w:cs="Arial"/>
          <w:color w:val="000000"/>
        </w:rPr>
      </w:pPr>
      <w:r w:rsidRPr="000154D4">
        <w:rPr>
          <w:rFonts w:ascii="Arial" w:eastAsia="Calibri" w:hAnsi="Arial" w:cs="Arial"/>
          <w:b/>
          <w:color w:val="000000"/>
        </w:rPr>
        <w:t>R</w:t>
      </w:r>
      <w:r w:rsidRPr="00094BA4">
        <w:rPr>
          <w:rFonts w:ascii="Arial" w:eastAsia="Calibri" w:hAnsi="Arial" w:cs="Arial"/>
          <w:b/>
          <w:color w:val="000000"/>
        </w:rPr>
        <w:t>eflection-on-action</w:t>
      </w:r>
      <w:r w:rsidR="000154D4">
        <w:rPr>
          <w:rFonts w:ascii="Arial" w:eastAsia="Calibri" w:hAnsi="Arial" w:cs="Arial"/>
          <w:color w:val="000000"/>
        </w:rPr>
        <w:t>.</w:t>
      </w:r>
      <w:r w:rsidR="00374261">
        <w:rPr>
          <w:rFonts w:ascii="Arial" w:eastAsia="Calibri" w:hAnsi="Arial" w:cs="Arial"/>
          <w:color w:val="000000"/>
        </w:rPr>
        <w:t xml:space="preserve"> </w:t>
      </w:r>
    </w:p>
    <w:p w14:paraId="4FEB3844" w14:textId="4FA59CF6" w:rsidR="00390EA6" w:rsidRDefault="004819C4" w:rsidP="00374261">
      <w:pPr>
        <w:pStyle w:val="NormalWeb"/>
        <w:spacing w:line="480" w:lineRule="auto"/>
        <w:ind w:firstLine="720"/>
        <w:rPr>
          <w:rFonts w:ascii="Arial" w:hAnsi="Arial" w:cs="Arial"/>
        </w:rPr>
      </w:pPr>
      <w:r w:rsidRPr="00BC1B97">
        <w:rPr>
          <w:rFonts w:ascii="Arial" w:hAnsi="Arial" w:cs="Arial"/>
        </w:rPr>
        <w:t xml:space="preserve">In </w:t>
      </w:r>
      <w:r w:rsidR="00BC1B97" w:rsidRPr="00BC1B97">
        <w:rPr>
          <w:rFonts w:ascii="Arial" w:hAnsi="Arial" w:cs="Arial"/>
        </w:rPr>
        <w:t xml:space="preserve">completing </w:t>
      </w:r>
      <w:r w:rsidRPr="00BC1B97">
        <w:rPr>
          <w:rFonts w:ascii="Arial" w:hAnsi="Arial" w:cs="Arial"/>
        </w:rPr>
        <w:t xml:space="preserve">the reflective </w:t>
      </w:r>
      <w:r w:rsidR="00BC1B97">
        <w:rPr>
          <w:rFonts w:ascii="Arial" w:hAnsi="Arial" w:cs="Arial"/>
        </w:rPr>
        <w:t xml:space="preserve">drawing </w:t>
      </w:r>
      <w:r w:rsidRPr="00BC1B97">
        <w:rPr>
          <w:rFonts w:ascii="Arial" w:hAnsi="Arial" w:cs="Arial"/>
        </w:rPr>
        <w:t xml:space="preserve">exercise, </w:t>
      </w:r>
      <w:r w:rsidR="00BC1B97" w:rsidRPr="00BC1B97">
        <w:rPr>
          <w:rFonts w:ascii="Arial" w:hAnsi="Arial" w:cs="Arial"/>
        </w:rPr>
        <w:t>I</w:t>
      </w:r>
      <w:r w:rsidR="00BC1B97">
        <w:rPr>
          <w:rFonts w:ascii="Arial" w:hAnsi="Arial" w:cs="Arial"/>
        </w:rPr>
        <w:t xml:space="preserve"> </w:t>
      </w:r>
      <w:r w:rsidRPr="004819C4">
        <w:rPr>
          <w:rFonts w:ascii="Arial" w:hAnsi="Arial" w:cs="Arial"/>
        </w:rPr>
        <w:t>use</w:t>
      </w:r>
      <w:r w:rsidR="00BC1B97">
        <w:rPr>
          <w:rFonts w:ascii="Arial" w:hAnsi="Arial" w:cs="Arial"/>
        </w:rPr>
        <w:t>d</w:t>
      </w:r>
      <w:r w:rsidRPr="004819C4">
        <w:rPr>
          <w:rFonts w:ascii="Arial" w:hAnsi="Arial" w:cs="Arial"/>
        </w:rPr>
        <w:t xml:space="preserve"> imagery such as the </w:t>
      </w:r>
      <w:r w:rsidR="00BC1B97">
        <w:rPr>
          <w:rFonts w:ascii="Arial" w:hAnsi="Arial" w:cs="Arial"/>
        </w:rPr>
        <w:t>‘</w:t>
      </w:r>
      <w:r w:rsidRPr="004819C4">
        <w:rPr>
          <w:rFonts w:ascii="Arial" w:hAnsi="Arial" w:cs="Arial"/>
        </w:rPr>
        <w:t>opening of the box</w:t>
      </w:r>
      <w:r w:rsidR="00BC1B97">
        <w:rPr>
          <w:rFonts w:ascii="Arial" w:hAnsi="Arial" w:cs="Arial"/>
        </w:rPr>
        <w:t>’,</w:t>
      </w:r>
      <w:r w:rsidRPr="004819C4">
        <w:rPr>
          <w:rFonts w:ascii="Arial" w:hAnsi="Arial" w:cs="Arial"/>
        </w:rPr>
        <w:t xml:space="preserve"> </w:t>
      </w:r>
      <w:r w:rsidR="00BC1B97">
        <w:rPr>
          <w:rFonts w:ascii="Arial" w:hAnsi="Arial" w:cs="Arial"/>
        </w:rPr>
        <w:t>‘</w:t>
      </w:r>
      <w:r w:rsidRPr="004819C4">
        <w:rPr>
          <w:rFonts w:ascii="Arial" w:hAnsi="Arial" w:cs="Arial"/>
        </w:rPr>
        <w:t>symmetrical stages</w:t>
      </w:r>
      <w:r w:rsidR="00BC1B97">
        <w:rPr>
          <w:rFonts w:ascii="Arial" w:hAnsi="Arial" w:cs="Arial"/>
        </w:rPr>
        <w:t>’,</w:t>
      </w:r>
      <w:r w:rsidRPr="004819C4">
        <w:rPr>
          <w:rFonts w:ascii="Arial" w:hAnsi="Arial" w:cs="Arial"/>
        </w:rPr>
        <w:t xml:space="preserve"> and </w:t>
      </w:r>
      <w:r w:rsidR="00BC1B97">
        <w:rPr>
          <w:rFonts w:ascii="Arial" w:hAnsi="Arial" w:cs="Arial"/>
        </w:rPr>
        <w:t>‘</w:t>
      </w:r>
      <w:r w:rsidRPr="004819C4">
        <w:rPr>
          <w:rFonts w:ascii="Arial" w:hAnsi="Arial" w:cs="Arial"/>
        </w:rPr>
        <w:t>pouring jugs</w:t>
      </w:r>
      <w:r w:rsidR="00BC1B97">
        <w:rPr>
          <w:rFonts w:ascii="Arial" w:hAnsi="Arial" w:cs="Arial"/>
        </w:rPr>
        <w:t>’</w:t>
      </w:r>
      <w:r w:rsidRPr="004819C4">
        <w:rPr>
          <w:rFonts w:ascii="Arial" w:hAnsi="Arial" w:cs="Arial"/>
        </w:rPr>
        <w:t xml:space="preserve"> </w:t>
      </w:r>
      <w:r w:rsidR="00BC1B97">
        <w:rPr>
          <w:rFonts w:ascii="Arial" w:hAnsi="Arial" w:cs="Arial"/>
        </w:rPr>
        <w:t xml:space="preserve">to </w:t>
      </w:r>
      <w:r w:rsidRPr="004819C4">
        <w:rPr>
          <w:rFonts w:ascii="Arial" w:hAnsi="Arial" w:cs="Arial"/>
        </w:rPr>
        <w:t>metaphorically represented key elements of the counselling process.</w:t>
      </w:r>
      <w:r w:rsidR="003C6C26" w:rsidRPr="003C6C26">
        <w:rPr>
          <w:rFonts w:ascii="Arial" w:hAnsi="Arial" w:cs="Arial"/>
        </w:rPr>
        <w:t xml:space="preserve"> </w:t>
      </w:r>
      <w:r w:rsidR="003C6C26" w:rsidRPr="004819C4">
        <w:rPr>
          <w:rFonts w:ascii="Arial" w:hAnsi="Arial" w:cs="Arial"/>
        </w:rPr>
        <w:t xml:space="preserve">The metaphor of the </w:t>
      </w:r>
      <w:r w:rsidR="00BC1B97">
        <w:rPr>
          <w:rFonts w:ascii="Arial" w:hAnsi="Arial" w:cs="Arial"/>
        </w:rPr>
        <w:t>‘</w:t>
      </w:r>
      <w:r w:rsidR="003C6C26" w:rsidRPr="004819C4">
        <w:rPr>
          <w:rFonts w:ascii="Arial" w:hAnsi="Arial" w:cs="Arial"/>
        </w:rPr>
        <w:t>box</w:t>
      </w:r>
      <w:r w:rsidR="00BC1B97">
        <w:rPr>
          <w:rFonts w:ascii="Arial" w:hAnsi="Arial" w:cs="Arial"/>
        </w:rPr>
        <w:t>’</w:t>
      </w:r>
      <w:r w:rsidR="003C6C26" w:rsidRPr="004819C4">
        <w:rPr>
          <w:rFonts w:ascii="Arial" w:hAnsi="Arial" w:cs="Arial"/>
        </w:rPr>
        <w:t xml:space="preserve"> also reflects </w:t>
      </w:r>
      <w:r w:rsidR="003C6C26" w:rsidRPr="00CB130D">
        <w:rPr>
          <w:rFonts w:ascii="Arial" w:hAnsi="Arial" w:cs="Arial"/>
        </w:rPr>
        <w:t>Gestalt Therapy’s</w:t>
      </w:r>
      <w:r w:rsidR="003C6C26" w:rsidRPr="004819C4">
        <w:rPr>
          <w:rFonts w:ascii="Arial" w:hAnsi="Arial" w:cs="Arial"/>
          <w:b/>
          <w:bCs/>
        </w:rPr>
        <w:t xml:space="preserve"> </w:t>
      </w:r>
      <w:r w:rsidR="003C6C26">
        <w:rPr>
          <w:rFonts w:ascii="Arial" w:hAnsi="Arial" w:cs="Arial"/>
          <w:b/>
          <w:bCs/>
        </w:rPr>
        <w:fldChar w:fldCharType="begin"/>
      </w:r>
      <w:r w:rsidR="003C6C26">
        <w:rPr>
          <w:rFonts w:ascii="Arial" w:hAnsi="Arial" w:cs="Arial"/>
          <w:b/>
          <w:bCs/>
        </w:rPr>
        <w:instrText xml:space="preserve"> ADDIN ZOTERO_ITEM CSL_CITATION {"citationID":"qdh6rwp9","properties":{"formattedCitation":"(Bourgault du Coudray, 2022)","plainCitation":"(Bourgault du Coudray, 2022)","noteIndex":0},"citationItems":[{"id":721,"uris":["http://zotero.org/users/15461753/items/JS8695FD"],"itemData":{"id":721,"type":"article-journal","abstract":"Humanistic psychology is grounded in dialogic communication and existentialist phenomenology, involving a relational philosophy and experientialist methodology. Its relative neglect within listening research is canvased before exploring the praxis of Gestalt therapy - a humanistic psychotherapy - which models integration of philosophy, theory, and practice relevant to listening. While listening research is increasingly attuned to relational aspects of communication and elements of humanistic therapies, it remains shaped by a metaphysics of atomization, compromising its capacity for integrated praxis. The value of conceptualizing listening as a praxis similar to that of Gestalt therapy is therefore elucidated, with particular reference to listening pedagogy in higher education.","container-title":"International journal of listening","DOI":"10.1080/10904018.2020.1803747","ISSN":"1090-4018","issue":"1","language":"eng","note":"publisher: Routledge","page":"31–43","source":"librarysearch.uwtsd.ac.uk","title":"Listening as a Relational and Experientialist Praxis: Insights from Gestalt Therapy","title-short":"Listening as a Relational and Experientialist Praxis","volume":"36","author":[{"family":"Bourgault du Coudray","given":"Chantal"}],"issued":{"date-parts":[["2022"]]}}}],"schema":"https://github.com/citation-style-language/schema/raw/master/csl-citation.json"} </w:instrText>
      </w:r>
      <w:r w:rsidR="003C6C26">
        <w:rPr>
          <w:rFonts w:ascii="Arial" w:hAnsi="Arial" w:cs="Arial"/>
          <w:b/>
          <w:bCs/>
        </w:rPr>
        <w:fldChar w:fldCharType="separate"/>
      </w:r>
      <w:r w:rsidR="003C6C26" w:rsidRPr="00C539E9">
        <w:rPr>
          <w:rFonts w:ascii="Arial" w:hAnsi="Arial" w:cs="Arial"/>
        </w:rPr>
        <w:t>(Bourgault du Coudray, 2022</w:t>
      </w:r>
      <w:r w:rsidR="003C6C26" w:rsidRPr="004819C4">
        <w:rPr>
          <w:rFonts w:ascii="Arial" w:hAnsi="Arial" w:cs="Arial"/>
        </w:rPr>
        <w:t>)</w:t>
      </w:r>
      <w:r w:rsidR="003C6C26">
        <w:rPr>
          <w:rFonts w:ascii="Arial" w:hAnsi="Arial" w:cs="Arial"/>
          <w:b/>
          <w:bCs/>
        </w:rPr>
        <w:fldChar w:fldCharType="end"/>
      </w:r>
      <w:r w:rsidR="003C6C26">
        <w:rPr>
          <w:rFonts w:ascii="Arial" w:hAnsi="Arial" w:cs="Arial"/>
          <w:b/>
          <w:bCs/>
        </w:rPr>
        <w:t xml:space="preserve"> </w:t>
      </w:r>
      <w:r w:rsidR="003C6C26" w:rsidRPr="00CB130D">
        <w:rPr>
          <w:rFonts w:ascii="Arial" w:hAnsi="Arial" w:cs="Arial"/>
        </w:rPr>
        <w:t>concept of the here-and-now</w:t>
      </w:r>
      <w:r w:rsidR="003C6C26" w:rsidRPr="004819C4">
        <w:rPr>
          <w:rFonts w:ascii="Arial" w:hAnsi="Arial" w:cs="Arial"/>
        </w:rPr>
        <w:t xml:space="preserve">, where the opening of a box corresponds to raising awareness of emotions in the present moment. However, this also required sensitivity to the client’s readiness and boundaries, reflecting </w:t>
      </w:r>
      <w:r w:rsidR="00BC1B97" w:rsidRPr="00BC1B97">
        <w:rPr>
          <w:rFonts w:ascii="Arial" w:hAnsi="Arial" w:cs="Arial"/>
        </w:rPr>
        <w:t xml:space="preserve">an </w:t>
      </w:r>
      <w:r w:rsidR="003C6C26" w:rsidRPr="00BC1B97">
        <w:rPr>
          <w:rFonts w:ascii="Arial" w:hAnsi="Arial" w:cs="Arial"/>
        </w:rPr>
        <w:t>emphasis</w:t>
      </w:r>
      <w:r w:rsidR="003C6C26" w:rsidRPr="00C539E9">
        <w:rPr>
          <w:rFonts w:ascii="Arial" w:hAnsi="Arial" w:cs="Arial"/>
        </w:rPr>
        <w:t xml:space="preserve"> </w:t>
      </w:r>
      <w:r w:rsidR="003C6C26" w:rsidRPr="00CB130D">
        <w:rPr>
          <w:rFonts w:ascii="Arial" w:hAnsi="Arial" w:cs="Arial"/>
        </w:rPr>
        <w:t>on empowerment</w:t>
      </w:r>
      <w:r w:rsidR="00BC1B97">
        <w:rPr>
          <w:rFonts w:ascii="Arial" w:hAnsi="Arial" w:cs="Arial"/>
        </w:rPr>
        <w:t xml:space="preserve">, </w:t>
      </w:r>
      <w:r w:rsidR="003C6C26" w:rsidRPr="004819C4">
        <w:rPr>
          <w:rFonts w:ascii="Arial" w:hAnsi="Arial" w:cs="Arial"/>
        </w:rPr>
        <w:t>the need to respect the client’s autonomy in choosing how much to reveal and explore.</w:t>
      </w:r>
      <w:r w:rsidRPr="004819C4">
        <w:rPr>
          <w:rFonts w:ascii="Arial" w:hAnsi="Arial" w:cs="Arial"/>
        </w:rPr>
        <w:t xml:space="preserve"> The box symboli</w:t>
      </w:r>
      <w:r w:rsidR="00374261">
        <w:rPr>
          <w:rFonts w:ascii="Arial" w:hAnsi="Arial" w:cs="Arial"/>
        </w:rPr>
        <w:t>ses</w:t>
      </w:r>
      <w:r w:rsidRPr="004819C4">
        <w:rPr>
          <w:rFonts w:ascii="Arial" w:hAnsi="Arial" w:cs="Arial"/>
        </w:rPr>
        <w:t xml:space="preserve"> the client's emotions and anxieties, highlighting the need for a </w:t>
      </w:r>
      <w:r w:rsidRPr="00CB130D">
        <w:rPr>
          <w:rFonts w:ascii="Arial" w:hAnsi="Arial" w:cs="Arial"/>
        </w:rPr>
        <w:t>safe therapeutic environment</w:t>
      </w:r>
      <w:r w:rsidRPr="004819C4">
        <w:rPr>
          <w:rFonts w:ascii="Arial" w:hAnsi="Arial" w:cs="Arial"/>
        </w:rPr>
        <w:t xml:space="preserve"> where clients feel secure enough to process their experiences at their own pace. This aligns with</w:t>
      </w:r>
      <w:r w:rsidRPr="00CB130D">
        <w:rPr>
          <w:rFonts w:ascii="Arial" w:hAnsi="Arial" w:cs="Arial"/>
        </w:rPr>
        <w:t xml:space="preserve"> Carl Rogers' core conditions </w:t>
      </w:r>
      <w:r w:rsidRPr="00C539E9">
        <w:rPr>
          <w:rFonts w:ascii="Arial" w:hAnsi="Arial" w:cs="Arial"/>
          <w:b/>
          <w:bCs/>
        </w:rPr>
        <w:fldChar w:fldCharType="begin"/>
      </w:r>
      <w:r w:rsidRPr="00C539E9">
        <w:rPr>
          <w:rFonts w:ascii="Arial" w:hAnsi="Arial" w:cs="Arial"/>
          <w:b/>
          <w:bCs/>
        </w:rPr>
        <w:instrText xml:space="preserve"> ADDIN ZOTERO_ITEM CSL_CITATION {"citationID":"OP8KNI1f","properties":{"formattedCitation":"(Rogers, 1992)","plainCitation":"(Rogers, 1992)","noteIndex":0},"citationItems":[{"id":1190,"uris":["http://zotero.org/users/15461753/items/RFR9FIJX"],"itemData":{"id":1190,"type":"article-journal","abstract":"Presents reprint of original work published in 1957 in \"Journal of Consulting Psychology\" in which Carl Rogers takes one small segment of theory of psychotherapy, of personality, and of interpersonal relationships; spells it out more completely; and explores its meaning and usefulness. Rogers examines psychological conditions necessary and sufficient to bring about constructive personality change. (NB)","container-title":"Journal of consulting and clinical psychology","DOI":"10.1037/0022-006X.60.6.827","ISSN":"0022-006X","issue":"6","language":"eng","note":"publisher-place: Arlington\npublisher: American Psychological Association","page":"827–832","source":"librarysearch.uwtsd.ac.uk","title":"The Necessary and Sufficient Conditions of Therapeutic Personality Change","volume":"60","author":[{"family":"Rogers","given":"Carl R."}],"issued":{"date-parts":[["1992"]]}}}],"schema":"https://github.com/citation-style-language/schema/raw/master/csl-citation.json"} </w:instrText>
      </w:r>
      <w:r w:rsidRPr="00C539E9">
        <w:rPr>
          <w:rFonts w:ascii="Arial" w:hAnsi="Arial" w:cs="Arial"/>
          <w:b/>
          <w:bCs/>
        </w:rPr>
        <w:fldChar w:fldCharType="separate"/>
      </w:r>
      <w:r w:rsidRPr="00C539E9">
        <w:rPr>
          <w:rFonts w:ascii="Arial" w:hAnsi="Arial" w:cs="Arial"/>
        </w:rPr>
        <w:t>(Rogers, 1992)</w:t>
      </w:r>
      <w:r w:rsidRPr="00C539E9">
        <w:rPr>
          <w:rFonts w:ascii="Arial" w:hAnsi="Arial" w:cs="Arial"/>
          <w:b/>
          <w:bCs/>
        </w:rPr>
        <w:fldChar w:fldCharType="end"/>
      </w:r>
      <w:r w:rsidRPr="00C539E9">
        <w:rPr>
          <w:rFonts w:ascii="Arial" w:hAnsi="Arial" w:cs="Arial"/>
        </w:rPr>
        <w:t xml:space="preserve"> </w:t>
      </w:r>
      <w:r w:rsidRPr="00CB130D">
        <w:rPr>
          <w:rFonts w:ascii="Arial" w:hAnsi="Arial" w:cs="Arial"/>
        </w:rPr>
        <w:t>of empathy, congruence, and unconditional positive regard,</w:t>
      </w:r>
      <w:r w:rsidRPr="004819C4">
        <w:rPr>
          <w:rFonts w:ascii="Arial" w:hAnsi="Arial" w:cs="Arial"/>
        </w:rPr>
        <w:t xml:space="preserve"> which emphasize creating a space </w:t>
      </w:r>
      <w:r w:rsidRPr="004819C4">
        <w:rPr>
          <w:rFonts w:ascii="Arial" w:hAnsi="Arial" w:cs="Arial"/>
        </w:rPr>
        <w:lastRenderedPageBreak/>
        <w:t>conducive to trust and emotional exploration.</w:t>
      </w:r>
      <w:r w:rsidR="000154D4">
        <w:rPr>
          <w:rFonts w:ascii="Arial" w:eastAsia="Calibri" w:hAnsi="Arial" w:cs="Arial"/>
          <w:bCs/>
          <w:color w:val="000000"/>
        </w:rPr>
        <w:t xml:space="preserve"> </w:t>
      </w:r>
      <w:r w:rsidRPr="004819C4">
        <w:rPr>
          <w:rFonts w:ascii="Arial" w:hAnsi="Arial" w:cs="Arial"/>
        </w:rPr>
        <w:t>The symmetry in my drawing symboli</w:t>
      </w:r>
      <w:r w:rsidR="00646FEA">
        <w:rPr>
          <w:rFonts w:ascii="Arial" w:hAnsi="Arial" w:cs="Arial"/>
        </w:rPr>
        <w:t>s</w:t>
      </w:r>
      <w:r w:rsidRPr="004819C4">
        <w:rPr>
          <w:rFonts w:ascii="Arial" w:hAnsi="Arial" w:cs="Arial"/>
        </w:rPr>
        <w:t xml:space="preserve">ed the stages of counselling and the mutual journey of client and counsellor. This idea resonates with the concept of </w:t>
      </w:r>
      <w:r w:rsidR="00BC1B97">
        <w:rPr>
          <w:rFonts w:ascii="Arial" w:hAnsi="Arial" w:cs="Arial"/>
        </w:rPr>
        <w:t>connection</w:t>
      </w:r>
      <w:r w:rsidRPr="00CB130D">
        <w:rPr>
          <w:rFonts w:ascii="Arial" w:hAnsi="Arial" w:cs="Arial"/>
        </w:rPr>
        <w:t xml:space="preserve"> from relational therapy</w:t>
      </w:r>
      <w:r w:rsidRPr="004819C4">
        <w:rPr>
          <w:rFonts w:ascii="Arial" w:hAnsi="Arial" w:cs="Arial"/>
        </w:rPr>
        <w:t>, where the counsellor matches the client’s emotional and developmental stage</w:t>
      </w:r>
      <w:r w:rsidR="00374261">
        <w:rPr>
          <w:rFonts w:ascii="Arial" w:hAnsi="Arial" w:cs="Arial"/>
        </w:rPr>
        <w:t>s</w:t>
      </w:r>
      <w:r w:rsidRPr="004819C4">
        <w:rPr>
          <w:rFonts w:ascii="Arial" w:hAnsi="Arial" w:cs="Arial"/>
        </w:rPr>
        <w:t xml:space="preserve">. The image of pouring jugs suggested a dynamic flow in the therapeutic relationship, signifying both the exchange and containment of emotions. Retrospectively, this could also represent the </w:t>
      </w:r>
      <w:r w:rsidRPr="00CB130D">
        <w:rPr>
          <w:rFonts w:ascii="Arial" w:hAnsi="Arial" w:cs="Arial"/>
        </w:rPr>
        <w:t>therapeutic alliance</w:t>
      </w:r>
      <w:r w:rsidRPr="004819C4">
        <w:rPr>
          <w:rFonts w:ascii="Arial" w:hAnsi="Arial" w:cs="Arial"/>
        </w:rPr>
        <w:t xml:space="preserve">, a collaborative process as described by </w:t>
      </w:r>
      <w:r w:rsidR="00C539E9">
        <w:rPr>
          <w:rFonts w:ascii="Arial" w:hAnsi="Arial" w:cs="Arial"/>
        </w:rPr>
        <w:fldChar w:fldCharType="begin"/>
      </w:r>
      <w:r w:rsidR="00BC1B97">
        <w:rPr>
          <w:rFonts w:ascii="Arial" w:hAnsi="Arial" w:cs="Arial"/>
        </w:rPr>
        <w:instrText xml:space="preserve"> ADDIN ZOTERO_ITEM CSL_CITATION {"citationID":"5jcQT7DT","properties":{"formattedCitation":"(Bordin, 1979)","plainCitation":"(Bordin, 1979)","dontUpdate":true,"noteIndex":0},"citationItems":[{"id":1333,"uris":["http://zotero.org/users/15461753/items/CZP6Q25Z"],"itemData":{"id":1333,"type":"article-journal","abstract":"Reviews and elaborates the psychoanalytic concept of the working alliance. It is argued that various modes of psychotherapy can be meaningfully differentiated in terms of the kinds of working alliances (WA) embedded in them. Moreover, the strength, rather than the kind of WA, will prove to be the major factor in change achieved through psychotherapy. Strength of alliance will be a function of the goodness of fit of the respective personalities of patient and therapist to the demands of the WA. The WA includes 3 features: agreement on goals, assignment of tasks, and the development of bonds. (36 ref) (PsycINFO Database Record (c) 2016 APA, all rights reserved)","container-title":"Psychotherapy: Theory, Research &amp; Practice","DOI":"10.1037/h0085885","ISSN":"0033-3204","issue":"3","note":"publisher-place: US\npublisher: Division of Psychotherapy (29), American Psychological Association","page":"252-260","source":"APA PsycNet","title":"The generalizability of the psychoanalytic concept of the working alliance","volume":"16","author":[{"family":"Bordin","given":"Edward S."}],"issued":{"date-parts":[["1979"]]}}}],"schema":"https://github.com/citation-style-language/schema/raw/master/csl-citation.json"} </w:instrText>
      </w:r>
      <w:r w:rsidR="00C539E9">
        <w:rPr>
          <w:rFonts w:ascii="Arial" w:hAnsi="Arial" w:cs="Arial"/>
        </w:rPr>
        <w:fldChar w:fldCharType="separate"/>
      </w:r>
      <w:r w:rsidR="00C539E9" w:rsidRPr="00C539E9">
        <w:rPr>
          <w:rFonts w:ascii="Arial" w:hAnsi="Arial" w:cs="Arial"/>
        </w:rPr>
        <w:t xml:space="preserve">Bordin, </w:t>
      </w:r>
      <w:r w:rsidR="00C539E9">
        <w:rPr>
          <w:rFonts w:ascii="Arial" w:hAnsi="Arial" w:cs="Arial"/>
        </w:rPr>
        <w:t>(</w:t>
      </w:r>
      <w:r w:rsidR="00C539E9" w:rsidRPr="00C539E9">
        <w:rPr>
          <w:rFonts w:ascii="Arial" w:hAnsi="Arial" w:cs="Arial"/>
        </w:rPr>
        <w:t>1979)</w:t>
      </w:r>
      <w:r w:rsidR="00C539E9">
        <w:rPr>
          <w:rFonts w:ascii="Arial" w:hAnsi="Arial" w:cs="Arial"/>
        </w:rPr>
        <w:fldChar w:fldCharType="end"/>
      </w:r>
      <w:r w:rsidRPr="00CB130D">
        <w:rPr>
          <w:rFonts w:ascii="Arial" w:hAnsi="Arial" w:cs="Arial"/>
        </w:rPr>
        <w:t>,</w:t>
      </w:r>
      <w:r w:rsidRPr="004819C4">
        <w:rPr>
          <w:rFonts w:ascii="Arial" w:hAnsi="Arial" w:cs="Arial"/>
        </w:rPr>
        <w:t xml:space="preserve"> wherein both client and counsellor actively contribute to the progress of therapy</w:t>
      </w:r>
      <w:r w:rsidR="00390EA6">
        <w:rPr>
          <w:rFonts w:ascii="Arial" w:hAnsi="Arial" w:cs="Arial"/>
        </w:rPr>
        <w:t>.</w:t>
      </w:r>
    </w:p>
    <w:p w14:paraId="37672F97" w14:textId="1454027F" w:rsidR="00374261" w:rsidRDefault="00374261" w:rsidP="00374261">
      <w:pPr>
        <w:pStyle w:val="NormalWeb"/>
        <w:spacing w:line="480" w:lineRule="auto"/>
        <w:ind w:firstLine="720"/>
        <w:rPr>
          <w:rFonts w:ascii="Arial" w:hAnsi="Arial" w:cs="Arial"/>
        </w:rPr>
      </w:pPr>
      <w:r w:rsidRPr="00374261">
        <w:rPr>
          <w:rFonts w:ascii="Arial" w:hAnsi="Arial" w:cs="Arial"/>
        </w:rPr>
        <w:t xml:space="preserve">Peer feedback highlighted strengths such as active listening, empathy, and congruence, but also pointed out areas for improvement. For example, I missed opportunities to explore the client’s body language more deeply, which could have offered additional insights into their emotional state. This observation aligns with </w:t>
      </w:r>
      <w:r w:rsidRPr="00374261">
        <w:rPr>
          <w:rStyle w:val="Strong"/>
          <w:rFonts w:ascii="Arial" w:eastAsiaTheme="majorEastAsia" w:hAnsi="Arial" w:cs="Arial"/>
          <w:b w:val="0"/>
          <w:bCs w:val="0"/>
        </w:rPr>
        <w:t>Interpersonal Process Recall (IPR)</w:t>
      </w:r>
      <w:r w:rsidRPr="00374261">
        <w:rPr>
          <w:rFonts w:ascii="Arial" w:hAnsi="Arial" w:cs="Arial"/>
        </w:rPr>
        <w:t xml:space="preserve"> </w:t>
      </w:r>
      <w:r w:rsidR="00BC1B97">
        <w:rPr>
          <w:rFonts w:ascii="Arial" w:hAnsi="Arial" w:cs="Arial"/>
        </w:rPr>
        <w:fldChar w:fldCharType="begin"/>
      </w:r>
      <w:r w:rsidR="00BC1B97">
        <w:rPr>
          <w:rFonts w:ascii="Arial" w:hAnsi="Arial" w:cs="Arial"/>
        </w:rPr>
        <w:instrText xml:space="preserve"> ADDIN ZOTERO_ITEM CSL_CITATION {"citationID":"YyMk1Dxe","properties":{"formattedCitation":"(Kagan et al., 1969)","plainCitation":"(Kagan et al., 1969)","noteIndex":0},"citationItems":[{"id":700,"uris":["http://zotero.org/users/15461753/items/6UDLWP4U"],"itemData":{"id":700,"type":"article-journal","abstract":"The interpersonal process recall (IPR) method uses stimulated recall of videotaped interactions to facilitate therapy and counselor training. Recall sessions are conducted by a clinical “interrogator” who helps the client examine the underlying dynamics of his interaction with the counselor. The development, role and training of this “interrogator” are described.\n          The value of the IPR method in accelerating client progress in counseling and basic considerations in regard to its application are discussed.","container-title":"The Journal of Nervous and Mental Disease","ISSN":"0022-3018","issue":"4","language":"en-US","page":"365","source":"journals.lww.com","title":"INTERPERSONAL PROCESS RECALL","volume":"148","author":[{"family":"Kagan","given":"Norman"},{"family":"Schauble","given":"Paul"},{"family":"Resnikoff","given":"Arthur"},{"family":"Danish","given":"Steven J."},{"family":"Krathwohl","given":"David R."}],"issued":{"date-parts":[["1969",4]]}}}],"schema":"https://github.com/citation-style-language/schema/raw/master/csl-citation.json"} </w:instrText>
      </w:r>
      <w:r w:rsidR="00BC1B97">
        <w:rPr>
          <w:rFonts w:ascii="Arial" w:hAnsi="Arial" w:cs="Arial"/>
        </w:rPr>
        <w:fldChar w:fldCharType="separate"/>
      </w:r>
      <w:r w:rsidR="00BC1B97" w:rsidRPr="00BC1B97">
        <w:rPr>
          <w:rFonts w:ascii="Arial" w:hAnsi="Arial" w:cs="Arial"/>
        </w:rPr>
        <w:t>(Kagan et al., 1969)</w:t>
      </w:r>
      <w:r w:rsidR="00BC1B97">
        <w:rPr>
          <w:rFonts w:ascii="Arial" w:hAnsi="Arial" w:cs="Arial"/>
        </w:rPr>
        <w:fldChar w:fldCharType="end"/>
      </w:r>
      <w:r w:rsidRPr="00C539E9">
        <w:rPr>
          <w:rFonts w:ascii="Arial" w:hAnsi="Arial" w:cs="Arial"/>
        </w:rPr>
        <w:t xml:space="preserve">, </w:t>
      </w:r>
      <w:r w:rsidRPr="00374261">
        <w:rPr>
          <w:rFonts w:ascii="Arial" w:hAnsi="Arial" w:cs="Arial"/>
        </w:rPr>
        <w:t>which emphasizes the importance of analy</w:t>
      </w:r>
      <w:r>
        <w:rPr>
          <w:rFonts w:ascii="Arial" w:hAnsi="Arial" w:cs="Arial"/>
        </w:rPr>
        <w:t>s</w:t>
      </w:r>
      <w:r w:rsidRPr="00374261">
        <w:rPr>
          <w:rFonts w:ascii="Arial" w:hAnsi="Arial" w:cs="Arial"/>
        </w:rPr>
        <w:t xml:space="preserve">ing both verbal and nonverbal communication. </w:t>
      </w:r>
    </w:p>
    <w:p w14:paraId="52BDC592" w14:textId="55FB8E27" w:rsidR="00DB6DB2" w:rsidRDefault="000154D4" w:rsidP="00374261">
      <w:pPr>
        <w:pStyle w:val="NormalWeb"/>
        <w:spacing w:line="480" w:lineRule="auto"/>
        <w:ind w:firstLine="720"/>
        <w:rPr>
          <w:rFonts w:ascii="Arial" w:hAnsi="Arial" w:cs="Arial"/>
        </w:rPr>
      </w:pPr>
      <w:r w:rsidRPr="000154D4">
        <w:rPr>
          <w:rFonts w:ascii="Arial" w:hAnsi="Arial" w:cs="Arial"/>
        </w:rPr>
        <w:t>Through this reflective process, I identified several areas for professional growth that can enhance my practice and deepen the therapeutic relationship</w:t>
      </w:r>
      <w:r w:rsidR="00DB6DB2">
        <w:rPr>
          <w:rFonts w:ascii="Arial" w:hAnsi="Arial" w:cs="Arial"/>
        </w:rPr>
        <w:t>. Observing body language by p</w:t>
      </w:r>
      <w:r w:rsidRPr="000154D4">
        <w:rPr>
          <w:rFonts w:ascii="Arial" w:hAnsi="Arial" w:cs="Arial"/>
        </w:rPr>
        <w:t xml:space="preserve">aying greater attention to nonverbal cues would improve my ability to attune to the client’s emotional state. </w:t>
      </w:r>
      <w:r w:rsidR="00390EA6" w:rsidRPr="00CB130D">
        <w:rPr>
          <w:rStyle w:val="Strong"/>
          <w:rFonts w:ascii="Arial" w:eastAsiaTheme="majorEastAsia" w:hAnsi="Arial" w:cs="Arial"/>
          <w:b w:val="0"/>
          <w:bCs w:val="0"/>
        </w:rPr>
        <w:t>Polyvagal Theory</w:t>
      </w:r>
      <w:r w:rsidR="00390EA6" w:rsidRPr="000154D4">
        <w:rPr>
          <w:rFonts w:ascii="Arial" w:hAnsi="Arial" w:cs="Arial"/>
        </w:rPr>
        <w:t xml:space="preserve">, developed by </w:t>
      </w:r>
      <w:r w:rsidR="00390EA6" w:rsidRPr="00CB130D">
        <w:rPr>
          <w:rStyle w:val="Strong"/>
          <w:rFonts w:ascii="Arial" w:eastAsiaTheme="majorEastAsia" w:hAnsi="Arial" w:cs="Arial"/>
          <w:b w:val="0"/>
          <w:bCs w:val="0"/>
        </w:rPr>
        <w:t>Dr. Stephen Porges</w:t>
      </w:r>
      <w:r w:rsidR="00390EA6" w:rsidRPr="000154D4">
        <w:rPr>
          <w:rFonts w:ascii="Arial" w:hAnsi="Arial" w:cs="Arial"/>
        </w:rPr>
        <w:t xml:space="preserve"> </w:t>
      </w:r>
      <w:r w:rsidR="00374261" w:rsidRPr="00C539E9">
        <w:rPr>
          <w:rFonts w:ascii="Arial" w:hAnsi="Arial" w:cs="Arial"/>
        </w:rPr>
        <w:fldChar w:fldCharType="begin"/>
      </w:r>
      <w:r w:rsidR="00374261" w:rsidRPr="00C539E9">
        <w:rPr>
          <w:rFonts w:ascii="Arial" w:hAnsi="Arial" w:cs="Arial"/>
        </w:rPr>
        <w:instrText xml:space="preserve"> ADDIN ZOTERO_ITEM CSL_CITATION {"citationID":"uSFGZ6Nf","properties":{"formattedCitation":"(Porges, 2022)","plainCitation":"(Porges, 2022)","noteIndex":0},"citationItems":[{"id":1327,"uris":["http://zotero.org/users/15461753/items/VFLVFF33"],"itemData":{"id":1327,"type":"article-journal","abstract":"&lt;p&gt;Contemporary strategies for health and wellbeing fail our biological needs by not acknowledging that feelings of safety emerge from internal physiological states regulated by the autonomic nervous system. The study of feelings of safety has been an elusive construct that has historically been dependent upon subjectivity. Acknowledging that feelings of safety have a measurable underlying neurophysiological substrate would shift investigations of feelings of safety from a subjective to an objective science. Polyvagal Theory provides an innovative scientific perspective to study feelings of safety that incorporates an understanding of neuroanatomy and neurophysiology. This perspective identifies neural circuits that downregulate neural regulation of threat reactions and functionally neutralize defensive strategies via neural circuits communicating cues of safety that enable feelings of safety to support interpersonal accessibility and homeostatic functions. Basically, when humans feel safe, their nervous systems support the homeostatic functions of health, growth, and restoration, while they simultaneously become accessible to others without feeling or expressing threat and vulnerability. Feelings of safety reflect a core fundamental process that has enabled humans to survive through the opportunistic features of trusting social engagements that have co-regulatory capacities to mitigate metabolically costly defense reactions. Through the study of neural development and phylogeny, we can extract foundational principles and their underlying mechanisms through which the autonomic nervous system leads to feelings of safety and opportunities to co-regulate. Several principles highlight the validity of a science of safety that when implemented in societal institutions, ranging from healthcare to education, would enhance health, sociality, and lead to greater productivity, creativity, and a sense of wellbeing. By respecting our need to feel safe as a biological imperative linked to survival, we respect our phylogenetic heritage and elevate sociality as a neuromodulator that functionally provides the scientific validation for a societal focus on promoting opportunities to experience feelings of safety and co-regulation.&lt;/p&gt;","container-title":"Frontiers in Integrative Neuroscience","DOI":"10.3389/fnint.2022.871227","ISSN":"1662-5145","journalAbbreviation":"Front. Integr. Neurosci.","language":"English","note":"publisher: Frontiers","source":"Frontiers","title":"Polyvagal Theory: A Science of Safety","title-short":"Polyvagal Theory","URL":"https://www.frontiersin.org/journals/integrative-neuroscience/articles/10.3389/fnint.2022.871227/full","volume":"16","author":[{"family":"Porges","given":"Stephen W."}],"accessed":{"date-parts":[["2024",11,29]]},"issued":{"date-parts":[["2022",5,10]]}}}],"schema":"https://github.com/citation-style-language/schema/raw/master/csl-citation.json"} </w:instrText>
      </w:r>
      <w:r w:rsidR="00374261" w:rsidRPr="00C539E9">
        <w:rPr>
          <w:rFonts w:ascii="Arial" w:hAnsi="Arial" w:cs="Arial"/>
        </w:rPr>
        <w:fldChar w:fldCharType="separate"/>
      </w:r>
      <w:r w:rsidR="00374261" w:rsidRPr="00C539E9">
        <w:rPr>
          <w:rFonts w:ascii="Arial" w:hAnsi="Arial" w:cs="Arial"/>
        </w:rPr>
        <w:t>(Porges, 2022)</w:t>
      </w:r>
      <w:r w:rsidR="00374261" w:rsidRPr="00C539E9">
        <w:rPr>
          <w:rFonts w:ascii="Arial" w:hAnsi="Arial" w:cs="Arial"/>
        </w:rPr>
        <w:fldChar w:fldCharType="end"/>
      </w:r>
      <w:r w:rsidR="00390EA6" w:rsidRPr="00C539E9">
        <w:rPr>
          <w:rFonts w:ascii="Arial" w:hAnsi="Arial" w:cs="Arial"/>
        </w:rPr>
        <w:t xml:space="preserve"> </w:t>
      </w:r>
      <w:r w:rsidR="00390EA6" w:rsidRPr="000154D4">
        <w:rPr>
          <w:rFonts w:ascii="Arial" w:hAnsi="Arial" w:cs="Arial"/>
        </w:rPr>
        <w:t xml:space="preserve">provides a biological framework for understanding how the nervous system responds to stress, safety, and social interaction. This theory highlights the role of the </w:t>
      </w:r>
      <w:r w:rsidR="00390EA6" w:rsidRPr="00CB130D">
        <w:rPr>
          <w:rStyle w:val="Strong"/>
          <w:rFonts w:ascii="Arial" w:eastAsiaTheme="majorEastAsia" w:hAnsi="Arial" w:cs="Arial"/>
          <w:b w:val="0"/>
          <w:bCs w:val="0"/>
        </w:rPr>
        <w:t>vagus nerve</w:t>
      </w:r>
      <w:r w:rsidR="00390EA6" w:rsidRPr="00CB130D">
        <w:rPr>
          <w:rFonts w:ascii="Arial" w:hAnsi="Arial" w:cs="Arial"/>
          <w:b/>
          <w:bCs/>
        </w:rPr>
        <w:t xml:space="preserve"> </w:t>
      </w:r>
      <w:r w:rsidR="00390EA6" w:rsidRPr="000154D4">
        <w:rPr>
          <w:rFonts w:ascii="Arial" w:hAnsi="Arial" w:cs="Arial"/>
        </w:rPr>
        <w:t>in regulating emotional states and behavio</w:t>
      </w:r>
      <w:r w:rsidR="00390EA6">
        <w:rPr>
          <w:rFonts w:ascii="Arial" w:hAnsi="Arial" w:cs="Arial"/>
        </w:rPr>
        <w:t>u</w:t>
      </w:r>
      <w:r w:rsidR="00390EA6" w:rsidRPr="000154D4">
        <w:rPr>
          <w:rFonts w:ascii="Arial" w:hAnsi="Arial" w:cs="Arial"/>
        </w:rPr>
        <w:t xml:space="preserve">r, emphasizing the critical importance of safety and connection within the therapeutic process. An awareness of polyvagal theory equips therapists </w:t>
      </w:r>
      <w:r w:rsidR="00390EA6" w:rsidRPr="000154D4">
        <w:rPr>
          <w:rFonts w:ascii="Arial" w:hAnsi="Arial" w:cs="Arial"/>
        </w:rPr>
        <w:lastRenderedPageBreak/>
        <w:t>with insights into the physiological underpinnings of trauma responses and emotional dysregulation. This understanding allows for the implementation of interventions that are not only attuned to the client’s emotional state but also biologically informed, which is particularly beneficial for clients with trauma histories</w:t>
      </w:r>
      <w:r w:rsidR="00390EA6">
        <w:rPr>
          <w:rFonts w:ascii="Arial" w:hAnsi="Arial" w:cs="Arial"/>
        </w:rPr>
        <w:t>.</w:t>
      </w:r>
      <w:r w:rsidR="00DB6DB2">
        <w:rPr>
          <w:rFonts w:ascii="Arial" w:hAnsi="Arial" w:cs="Arial"/>
        </w:rPr>
        <w:t xml:space="preserve"> </w:t>
      </w:r>
    </w:p>
    <w:p w14:paraId="491B3D40" w14:textId="4637D14A" w:rsidR="00DB6DB2" w:rsidRDefault="000154D4" w:rsidP="00DB6DB2">
      <w:pPr>
        <w:spacing w:before="100" w:beforeAutospacing="1" w:after="100" w:afterAutospacing="1" w:line="480" w:lineRule="auto"/>
        <w:ind w:firstLine="720"/>
        <w:rPr>
          <w:rFonts w:ascii="Arial" w:eastAsia="Times New Roman" w:hAnsi="Arial" w:cs="Arial"/>
          <w:kern w:val="0"/>
          <w:lang w:eastAsia="en-GB"/>
          <w14:ligatures w14:val="none"/>
        </w:rPr>
      </w:pPr>
      <w:r w:rsidRPr="00DB6DB2">
        <w:rPr>
          <w:rFonts w:ascii="Arial" w:eastAsia="Times New Roman" w:hAnsi="Arial" w:cs="Arial"/>
          <w:kern w:val="0"/>
          <w:lang w:eastAsia="en-GB"/>
          <w14:ligatures w14:val="none"/>
        </w:rPr>
        <w:t xml:space="preserve">Staying with </w:t>
      </w:r>
      <w:r w:rsidR="00646FEA">
        <w:rPr>
          <w:rFonts w:ascii="Arial" w:eastAsia="Times New Roman" w:hAnsi="Arial" w:cs="Arial"/>
          <w:kern w:val="0"/>
          <w:lang w:eastAsia="en-GB"/>
          <w14:ligatures w14:val="none"/>
        </w:rPr>
        <w:t>e</w:t>
      </w:r>
      <w:r w:rsidRPr="00DB6DB2">
        <w:rPr>
          <w:rFonts w:ascii="Arial" w:eastAsia="Times New Roman" w:hAnsi="Arial" w:cs="Arial"/>
          <w:kern w:val="0"/>
          <w:lang w:eastAsia="en-GB"/>
          <w14:ligatures w14:val="none"/>
        </w:rPr>
        <w:t>motions</w:t>
      </w:r>
      <w:r w:rsidR="00DB6DB2">
        <w:rPr>
          <w:rFonts w:ascii="Arial" w:eastAsia="Times New Roman" w:hAnsi="Arial" w:cs="Arial"/>
          <w:kern w:val="0"/>
          <w:lang w:eastAsia="en-GB"/>
          <w14:ligatures w14:val="none"/>
        </w:rPr>
        <w:t xml:space="preserve"> a</w:t>
      </w:r>
      <w:r w:rsidRPr="000154D4">
        <w:rPr>
          <w:rFonts w:ascii="Arial" w:eastAsia="Times New Roman" w:hAnsi="Arial" w:cs="Arial"/>
          <w:kern w:val="0"/>
          <w:lang w:eastAsia="en-GB"/>
          <w14:ligatures w14:val="none"/>
        </w:rPr>
        <w:t>llow</w:t>
      </w:r>
      <w:r w:rsidR="00DB6DB2">
        <w:rPr>
          <w:rFonts w:ascii="Arial" w:eastAsia="Times New Roman" w:hAnsi="Arial" w:cs="Arial"/>
          <w:kern w:val="0"/>
          <w:lang w:eastAsia="en-GB"/>
          <w14:ligatures w14:val="none"/>
        </w:rPr>
        <w:t>s the client</w:t>
      </w:r>
      <w:r w:rsidRPr="000154D4">
        <w:rPr>
          <w:rFonts w:ascii="Arial" w:eastAsia="Times New Roman" w:hAnsi="Arial" w:cs="Arial"/>
          <w:kern w:val="0"/>
          <w:lang w:eastAsia="en-GB"/>
          <w14:ligatures w14:val="none"/>
        </w:rPr>
        <w:t xml:space="preserve"> more time</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 xml:space="preserve">to explore their emotions </w:t>
      </w:r>
      <w:r w:rsidR="00646FEA">
        <w:rPr>
          <w:rFonts w:ascii="Arial" w:eastAsia="Times New Roman" w:hAnsi="Arial" w:cs="Arial"/>
          <w:kern w:val="0"/>
          <w:lang w:eastAsia="en-GB"/>
          <w14:ligatures w14:val="none"/>
        </w:rPr>
        <w:t xml:space="preserve">and </w:t>
      </w:r>
      <w:r w:rsidRPr="000154D4">
        <w:rPr>
          <w:rFonts w:ascii="Arial" w:eastAsia="Times New Roman" w:hAnsi="Arial" w:cs="Arial"/>
          <w:kern w:val="0"/>
          <w:lang w:eastAsia="en-GB"/>
          <w14:ligatures w14:val="none"/>
        </w:rPr>
        <w:t xml:space="preserve">aligns with </w:t>
      </w:r>
      <w:r w:rsidRPr="00CB130D">
        <w:rPr>
          <w:rFonts w:ascii="Arial" w:eastAsia="Times New Roman" w:hAnsi="Arial" w:cs="Arial"/>
          <w:kern w:val="0"/>
          <w:lang w:eastAsia="en-GB"/>
          <w14:ligatures w14:val="none"/>
        </w:rPr>
        <w:t xml:space="preserve">Emotion-Focused Therapy (EFT), </w:t>
      </w:r>
      <w:r w:rsidRPr="000154D4">
        <w:rPr>
          <w:rFonts w:ascii="Arial" w:eastAsia="Times New Roman" w:hAnsi="Arial" w:cs="Arial"/>
          <w:kern w:val="0"/>
          <w:lang w:eastAsia="en-GB"/>
          <w14:ligatures w14:val="none"/>
        </w:rPr>
        <w:t>which emphasizes the integration of emotional experiences as a path to healing. I recogni</w:t>
      </w:r>
      <w:r w:rsidR="00646FEA">
        <w:rPr>
          <w:rFonts w:ascii="Arial" w:eastAsia="Times New Roman" w:hAnsi="Arial" w:cs="Arial"/>
          <w:kern w:val="0"/>
          <w:lang w:eastAsia="en-GB"/>
          <w14:ligatures w14:val="none"/>
        </w:rPr>
        <w:t>s</w:t>
      </w:r>
      <w:r w:rsidRPr="000154D4">
        <w:rPr>
          <w:rFonts w:ascii="Arial" w:eastAsia="Times New Roman" w:hAnsi="Arial" w:cs="Arial"/>
          <w:kern w:val="0"/>
          <w:lang w:eastAsia="en-GB"/>
          <w14:ligatures w14:val="none"/>
        </w:rPr>
        <w:t xml:space="preserve">ed the potential value of tolerating silence, viewing it as a facilitative space rather than an absence of progress, consistent with </w:t>
      </w:r>
      <w:r w:rsidRPr="00CB130D">
        <w:rPr>
          <w:rFonts w:ascii="Arial" w:eastAsia="Times New Roman" w:hAnsi="Arial" w:cs="Arial"/>
          <w:kern w:val="0"/>
          <w:lang w:eastAsia="en-GB"/>
          <w14:ligatures w14:val="none"/>
        </w:rPr>
        <w:t>Rogers’ non-directive approach.</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Determining when to delve deeper into emotions or when to hold back is a critical skill</w:t>
      </w:r>
      <w:r w:rsidRPr="00CB130D">
        <w:rPr>
          <w:rFonts w:ascii="Arial" w:eastAsia="Times New Roman" w:hAnsi="Arial" w:cs="Arial"/>
          <w:kern w:val="0"/>
          <w:lang w:eastAsia="en-GB"/>
          <w14:ligatures w14:val="none"/>
        </w:rPr>
        <w:t>. Winnicott’s concept of the holding environment</w:t>
      </w:r>
      <w:r w:rsidRPr="000154D4">
        <w:rPr>
          <w:rFonts w:ascii="Arial" w:eastAsia="Times New Roman" w:hAnsi="Arial" w:cs="Arial"/>
          <w:kern w:val="0"/>
          <w:lang w:eastAsia="en-GB"/>
          <w14:ligatures w14:val="none"/>
        </w:rPr>
        <w:t xml:space="preserve"> </w:t>
      </w:r>
      <w:r w:rsidR="00C539E9">
        <w:rPr>
          <w:rFonts w:ascii="Arial" w:eastAsia="Times New Roman" w:hAnsi="Arial" w:cs="Arial"/>
          <w:kern w:val="0"/>
          <w:lang w:eastAsia="en-GB"/>
          <w14:ligatures w14:val="none"/>
        </w:rPr>
        <w:fldChar w:fldCharType="begin"/>
      </w:r>
      <w:r w:rsidR="00C539E9">
        <w:rPr>
          <w:rFonts w:ascii="Arial" w:eastAsia="Times New Roman" w:hAnsi="Arial" w:cs="Arial"/>
          <w:kern w:val="0"/>
          <w:lang w:eastAsia="en-GB"/>
          <w14:ligatures w14:val="none"/>
        </w:rPr>
        <w:instrText xml:space="preserve"> ADDIN ZOTERO_ITEM CSL_CITATION {"citationID":"Vu2V2pDd","properties":{"formattedCitation":"(Bahn, 2022)","plainCitation":"(Bahn, 2022)","noteIndex":0},"citationItems":[{"id":1315,"uris":["http://zotero.org/users/15461753/items/77LGSPVC"],"itemData":{"id":1315,"type":"article-journal","abstract":"Personal life and achievements are the process and result of a person’s past, present, and future interacting with each other. In this regard, if one fully understands the life and background of the person who developed the theory of psychoanalysis, one can understand and use the theory more appropriately. The holding environment theory developed by Donald Woods Winnicott is useful for understanding the process by which infants grow healthy under the care of a mother who is good enough. In this paper, the background of the birth of the holding environment theory is reviewed based on Winnicott’s developmental background and marital life. He grew up with a holding environment from good enough ‘multiple mothers’. Born with excellent athletic ability and musical talent, he was more curious than anyone else and particularly active in discovering new things. After the unhappy first marriage, Claire Britton’s second marriage was happy academically and personally. Claire was a fellow paediatric psychoanalyst who published Winnicott’s research and theories after his death. Psychoanalysis or psychotherapy itself can be a holding environment, and the holding environment theory can be applied to various fields in the digital era.","container-title":"Journal of the Korean Academy of Child and Adolescent Psychiatry","DOI":"10.5765/jkacap.220022","ISSN":"1225-729X","issue":"4","journalAbbreviation":"Soa Chongsonyon Chongsin Uihak","note":"PMID: 36203884\nPMCID: PMC9513407","page":"84-90","source":"PubMed Central","title":"Understanding of Holding Environment Through the Trajectory of Donald Woods Winnicott","volume":"33","author":[{"family":"Bahn","given":"Geon Ho"}],"issued":{"date-parts":[["2022",10,1]]}}}],"schema":"https://github.com/citation-style-language/schema/raw/master/csl-citation.json"} </w:instrText>
      </w:r>
      <w:r w:rsidR="00C539E9">
        <w:rPr>
          <w:rFonts w:ascii="Arial" w:eastAsia="Times New Roman" w:hAnsi="Arial" w:cs="Arial"/>
          <w:kern w:val="0"/>
          <w:lang w:eastAsia="en-GB"/>
          <w14:ligatures w14:val="none"/>
        </w:rPr>
        <w:fldChar w:fldCharType="separate"/>
      </w:r>
      <w:r w:rsidR="00C539E9" w:rsidRPr="00C539E9">
        <w:rPr>
          <w:rFonts w:ascii="Arial" w:hAnsi="Arial" w:cs="Arial"/>
        </w:rPr>
        <w:t>(Bahn, 2022)</w:t>
      </w:r>
      <w:r w:rsidR="00C539E9">
        <w:rPr>
          <w:rFonts w:ascii="Arial" w:eastAsia="Times New Roman" w:hAnsi="Arial" w:cs="Arial"/>
          <w:kern w:val="0"/>
          <w:lang w:eastAsia="en-GB"/>
          <w14:ligatures w14:val="none"/>
        </w:rPr>
        <w:fldChar w:fldCharType="end"/>
      </w:r>
      <w:r w:rsidR="00BC1B97">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underscores the importance of boundaries in creating a safe space for clients to explore their feelings without fear of intrusion or abandonment.</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 xml:space="preserve">I acknowledged a need for greater self-awareness and professional resilience in handling unexpected emotional disclosures. Drawing on </w:t>
      </w:r>
      <w:r w:rsidRPr="00CB130D">
        <w:rPr>
          <w:rFonts w:ascii="Arial" w:eastAsia="Times New Roman" w:hAnsi="Arial" w:cs="Arial"/>
          <w:kern w:val="0"/>
          <w:lang w:eastAsia="en-GB"/>
          <w14:ligatures w14:val="none"/>
        </w:rPr>
        <w:t>relational therapy’s self-reflexivity</w:t>
      </w:r>
      <w:r w:rsidRPr="000154D4">
        <w:rPr>
          <w:rFonts w:ascii="Arial" w:eastAsia="Times New Roman" w:hAnsi="Arial" w:cs="Arial"/>
          <w:kern w:val="0"/>
          <w:lang w:eastAsia="en-GB"/>
          <w14:ligatures w14:val="none"/>
        </w:rPr>
        <w:t>, I aim to better prepare for clients’ emotions while monitoring my emotional responses.</w:t>
      </w:r>
      <w:r w:rsidR="00DB6DB2">
        <w:rPr>
          <w:rFonts w:ascii="Arial" w:eastAsia="Times New Roman" w:hAnsi="Arial" w:cs="Arial"/>
          <w:kern w:val="0"/>
          <w:lang w:eastAsia="en-GB"/>
          <w14:ligatures w14:val="none"/>
        </w:rPr>
        <w:t xml:space="preserve"> </w:t>
      </w:r>
    </w:p>
    <w:p w14:paraId="095B39E2" w14:textId="496B4B4B" w:rsidR="00DB6DB2" w:rsidRDefault="000154D4" w:rsidP="00DB6DB2">
      <w:pPr>
        <w:spacing w:before="100" w:beforeAutospacing="1" w:after="100" w:afterAutospacing="1" w:line="480" w:lineRule="auto"/>
        <w:ind w:firstLine="720"/>
        <w:rPr>
          <w:rFonts w:ascii="Arial" w:eastAsia="Times New Roman" w:hAnsi="Arial" w:cs="Arial"/>
          <w:kern w:val="0"/>
          <w:lang w:eastAsia="en-GB"/>
          <w14:ligatures w14:val="none"/>
        </w:rPr>
      </w:pPr>
      <w:r w:rsidRPr="000154D4">
        <w:rPr>
          <w:rFonts w:ascii="Arial" w:eastAsia="Times New Roman" w:hAnsi="Arial" w:cs="Arial"/>
          <w:kern w:val="0"/>
          <w:lang w:eastAsia="en-GB"/>
          <w14:ligatures w14:val="none"/>
        </w:rPr>
        <w:t>Additionally, I identified specific opportunities to refine my practice</w:t>
      </w:r>
      <w:r w:rsidR="00DB6DB2">
        <w:rPr>
          <w:rFonts w:ascii="Arial" w:eastAsia="Times New Roman" w:hAnsi="Arial" w:cs="Arial"/>
          <w:kern w:val="0"/>
          <w:lang w:eastAsia="en-GB"/>
          <w14:ligatures w14:val="none"/>
        </w:rPr>
        <w:t>.</w:t>
      </w:r>
      <w:r w:rsidR="00DB6DB2">
        <w:rPr>
          <w:rFonts w:ascii="Arial" w:eastAsia="Times New Roman" w:hAnsi="Arial" w:cs="Arial"/>
          <w:b/>
          <w:bCs/>
          <w:kern w:val="0"/>
          <w:lang w:eastAsia="en-GB"/>
          <w14:ligatures w14:val="none"/>
        </w:rPr>
        <w:t xml:space="preserve"> </w:t>
      </w:r>
      <w:r w:rsidR="00DB6DB2" w:rsidRPr="00CB130D">
        <w:rPr>
          <w:rFonts w:ascii="Arial" w:eastAsia="Times New Roman" w:hAnsi="Arial" w:cs="Arial"/>
          <w:kern w:val="0"/>
          <w:lang w:eastAsia="en-GB"/>
          <w14:ligatures w14:val="none"/>
        </w:rPr>
        <w:t xml:space="preserve">The </w:t>
      </w:r>
      <w:r w:rsidR="00DB6DB2">
        <w:rPr>
          <w:rFonts w:ascii="Arial" w:eastAsia="Times New Roman" w:hAnsi="Arial" w:cs="Arial"/>
          <w:kern w:val="0"/>
          <w:lang w:eastAsia="en-GB"/>
          <w14:ligatures w14:val="none"/>
        </w:rPr>
        <w:t>c</w:t>
      </w:r>
      <w:r w:rsidRPr="000154D4">
        <w:rPr>
          <w:rFonts w:ascii="Arial" w:eastAsia="Times New Roman" w:hAnsi="Arial" w:cs="Arial"/>
          <w:kern w:val="0"/>
          <w:lang w:eastAsia="en-GB"/>
          <w14:ligatures w14:val="none"/>
        </w:rPr>
        <w:t xml:space="preserve">lients' use of metaphorical language, such as the </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crushed-up ball of paper</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 xml:space="preserve"> </w:t>
      </w:r>
      <w:r w:rsidRPr="00374261">
        <w:rPr>
          <w:rFonts w:ascii="Arial" w:eastAsia="Times New Roman" w:hAnsi="Arial" w:cs="Arial"/>
          <w:kern w:val="0"/>
          <w:lang w:eastAsia="en-GB"/>
          <w14:ligatures w14:val="none"/>
        </w:rPr>
        <w:t xml:space="preserve">provides rich insight into their internal experiences. By incorporating techniques from Narrative Therapy, </w:t>
      </w:r>
      <w:r w:rsidRPr="000154D4">
        <w:rPr>
          <w:rFonts w:ascii="Arial" w:eastAsia="Times New Roman" w:hAnsi="Arial" w:cs="Arial"/>
          <w:kern w:val="0"/>
          <w:lang w:eastAsia="en-GB"/>
          <w14:ligatures w14:val="none"/>
        </w:rPr>
        <w:t>I could help clients reframe such metaphors to develop new perspectives</w:t>
      </w:r>
      <w:r w:rsidR="00374261">
        <w:rPr>
          <w:rFonts w:ascii="Arial" w:eastAsia="Times New Roman" w:hAnsi="Arial" w:cs="Arial"/>
          <w:kern w:val="0"/>
          <w:lang w:eastAsia="en-GB"/>
          <w14:ligatures w14:val="none"/>
        </w:rPr>
        <w:t xml:space="preserve"> </w:t>
      </w:r>
      <w:r w:rsidR="00374261" w:rsidRPr="00C539E9">
        <w:rPr>
          <w:rFonts w:ascii="Arial" w:eastAsia="Times New Roman" w:hAnsi="Arial" w:cs="Arial"/>
          <w:kern w:val="0"/>
          <w:lang w:eastAsia="en-GB"/>
          <w14:ligatures w14:val="none"/>
        </w:rPr>
        <w:fldChar w:fldCharType="begin"/>
      </w:r>
      <w:r w:rsidR="00374261" w:rsidRPr="00C539E9">
        <w:rPr>
          <w:rFonts w:ascii="Arial" w:eastAsia="Times New Roman" w:hAnsi="Arial" w:cs="Arial"/>
          <w:kern w:val="0"/>
          <w:lang w:eastAsia="en-GB"/>
          <w14:ligatures w14:val="none"/>
        </w:rPr>
        <w:instrText xml:space="preserve"> ADDIN ZOTERO_ITEM CSL_CITATION {"citationID":"qh0343oe","properties":{"formattedCitation":"(Ghavibazou et al., 2022)","plainCitation":"(Ghavibazou et al., 2022)","noteIndex":0},"citationItems":[{"id":1331,"uris":["http://zotero.org/users/15461753/items/6N3J74YQ"],"itemData":{"id":1331,"type":"article","abstract":"Introduction: Narrative therapy (NT) has a post-modern approach and assumes people as experts that construct their narratives. Aim: This study aims to provide a review of relevant literature from 1995 to 2021 on studies using narrative therapy, considering how to use it, the application of this approach, and its outcomes. Method: This study is a systematic review. According to this method, Web of Science and Scopus depositories was selected because they are acknowledged to contain high quality and high impact studies. Results: Results of this study show that some studies have not clarified how narrative therapy techniques were used and even have conventional outcomes. The others use one or both essential techniques, including externalizing and unique outcomes. Besides, some studies focus on meaning-making and changing discourses. Conclusion: As a result of this review study, studies that have used the essential techniques have increased the efficacy of this approach, including externalizing, unique outcomes, meaning-making, and changing discourses (focusing on language and construction).","DOI":"10.2139/ssrn.4119920","event-place":"Rochester, NY","genre":"SSRN Scholarly Paper","language":"en","number":"4119920","publisher":"Social Science Research Network","publisher-place":"Rochester, NY","source":"papers.ssrn.com","title":"Narrative therapy, Applications, and Outcomes: A Systematic Review","title-short":"Narrative therapy, Applications, and Outcomes","URL":"https://papers.ssrn.com/abstract=4119920","author":[{"family":"Ghavibazou","given":"Effat"},{"family":"Hosseinian","given":"Simin"},{"family":"Ghamari kivi","given":"Hossein"},{"family":"Ale Ebrahim","given":"Nader"}],"accessed":{"date-parts":[["2024",11,29]]},"issued":{"date-parts":[["2022",5,25]]}}}],"schema":"https://github.com/citation-style-language/schema/raw/master/csl-citation.json"} </w:instrText>
      </w:r>
      <w:r w:rsidR="00374261" w:rsidRPr="00C539E9">
        <w:rPr>
          <w:rFonts w:ascii="Arial" w:eastAsia="Times New Roman" w:hAnsi="Arial" w:cs="Arial"/>
          <w:kern w:val="0"/>
          <w:lang w:eastAsia="en-GB"/>
          <w14:ligatures w14:val="none"/>
        </w:rPr>
        <w:fldChar w:fldCharType="separate"/>
      </w:r>
      <w:r w:rsidR="00374261" w:rsidRPr="00C539E9">
        <w:rPr>
          <w:rFonts w:ascii="Arial" w:hAnsi="Arial" w:cs="Arial"/>
        </w:rPr>
        <w:t>(Ghavibazou et al., 2022)</w:t>
      </w:r>
      <w:r w:rsidR="00374261" w:rsidRPr="00C539E9">
        <w:rPr>
          <w:rFonts w:ascii="Arial" w:eastAsia="Times New Roman" w:hAnsi="Arial" w:cs="Arial"/>
          <w:kern w:val="0"/>
          <w:lang w:eastAsia="en-GB"/>
          <w14:ligatures w14:val="none"/>
        </w:rPr>
        <w:fldChar w:fldCharType="end"/>
      </w:r>
      <w:r w:rsidRPr="00C539E9">
        <w:rPr>
          <w:rFonts w:ascii="Arial" w:eastAsia="Times New Roman" w:hAnsi="Arial" w:cs="Arial"/>
          <w:kern w:val="0"/>
          <w:lang w:eastAsia="en-GB"/>
          <w14:ligatures w14:val="none"/>
        </w:rPr>
        <w:t>.</w:t>
      </w:r>
      <w:r w:rsidR="00390EA6" w:rsidRPr="00C539E9">
        <w:rPr>
          <w:rFonts w:ascii="Arial" w:eastAsia="Times New Roman" w:hAnsi="Arial" w:cs="Arial"/>
          <w:kern w:val="0"/>
          <w:lang w:eastAsia="en-GB"/>
          <w14:ligatures w14:val="none"/>
        </w:rPr>
        <w:t xml:space="preserve"> </w:t>
      </w:r>
      <w:r w:rsidR="00390EA6" w:rsidRPr="000154D4">
        <w:rPr>
          <w:rFonts w:ascii="Arial" w:hAnsi="Arial" w:cs="Arial"/>
        </w:rPr>
        <w:t xml:space="preserve">The decision of when to guide a client toward confronting an emotion they may not be ready to explore is nuanced and grounded in key principles from therapeutic theories, particularly </w:t>
      </w:r>
      <w:r w:rsidR="00390EA6" w:rsidRPr="00CB130D">
        <w:rPr>
          <w:rStyle w:val="Strong"/>
          <w:rFonts w:ascii="Arial" w:eastAsiaTheme="majorEastAsia" w:hAnsi="Arial" w:cs="Arial"/>
          <w:b w:val="0"/>
          <w:bCs w:val="0"/>
        </w:rPr>
        <w:t>person-centred therapy</w:t>
      </w:r>
      <w:r w:rsidR="00390EA6" w:rsidRPr="00CB130D">
        <w:rPr>
          <w:rFonts w:ascii="Arial" w:hAnsi="Arial" w:cs="Arial"/>
          <w:b/>
          <w:bCs/>
        </w:rPr>
        <w:t xml:space="preserve">, </w:t>
      </w:r>
      <w:r w:rsidR="00390EA6" w:rsidRPr="00CB130D">
        <w:rPr>
          <w:rStyle w:val="Strong"/>
          <w:rFonts w:ascii="Arial" w:eastAsiaTheme="majorEastAsia" w:hAnsi="Arial" w:cs="Arial"/>
          <w:b w:val="0"/>
          <w:bCs w:val="0"/>
        </w:rPr>
        <w:t>psychodynamic therapy</w:t>
      </w:r>
      <w:r w:rsidR="00390EA6" w:rsidRPr="000154D4">
        <w:rPr>
          <w:rFonts w:ascii="Arial" w:hAnsi="Arial" w:cs="Arial"/>
        </w:rPr>
        <w:t xml:space="preserve">, and </w:t>
      </w:r>
      <w:r w:rsidR="00390EA6" w:rsidRPr="00CB130D">
        <w:rPr>
          <w:rStyle w:val="Strong"/>
          <w:rFonts w:ascii="Arial" w:eastAsiaTheme="majorEastAsia" w:hAnsi="Arial" w:cs="Arial"/>
          <w:b w:val="0"/>
          <w:bCs w:val="0"/>
        </w:rPr>
        <w:t>trauma-informed care</w:t>
      </w:r>
      <w:r w:rsidR="00390EA6" w:rsidRPr="00CB130D">
        <w:rPr>
          <w:rFonts w:ascii="Arial" w:hAnsi="Arial" w:cs="Arial"/>
          <w:b/>
          <w:bCs/>
        </w:rPr>
        <w:t>.</w:t>
      </w:r>
      <w:r w:rsidR="00390EA6" w:rsidRPr="000154D4">
        <w:rPr>
          <w:rFonts w:ascii="Arial" w:hAnsi="Arial" w:cs="Arial"/>
        </w:rPr>
        <w:t xml:space="preserve"> According to </w:t>
      </w:r>
      <w:r w:rsidR="00390EA6" w:rsidRPr="00CB130D">
        <w:rPr>
          <w:rStyle w:val="Strong"/>
          <w:rFonts w:ascii="Arial" w:eastAsiaTheme="majorEastAsia" w:hAnsi="Arial" w:cs="Arial"/>
          <w:b w:val="0"/>
          <w:bCs w:val="0"/>
        </w:rPr>
        <w:lastRenderedPageBreak/>
        <w:t>attachment theory</w:t>
      </w:r>
      <w:r w:rsidR="00390EA6" w:rsidRPr="000154D4">
        <w:rPr>
          <w:rFonts w:ascii="Arial" w:hAnsi="Arial" w:cs="Arial"/>
        </w:rPr>
        <w:t xml:space="preserve"> and trauma-informed approaches, establishing a strong therapeutic alliance built on trust is foundational. Prematurely encouraging a client to engage with painful emotions can jeopardi</w:t>
      </w:r>
      <w:r w:rsidR="00646FEA">
        <w:rPr>
          <w:rFonts w:ascii="Arial" w:hAnsi="Arial" w:cs="Arial"/>
        </w:rPr>
        <w:t>s</w:t>
      </w:r>
      <w:r w:rsidR="00390EA6" w:rsidRPr="000154D4">
        <w:rPr>
          <w:rFonts w:ascii="Arial" w:hAnsi="Arial" w:cs="Arial"/>
        </w:rPr>
        <w:t>e this alliance, potentially leading to withdrawal or re-traumati</w:t>
      </w:r>
      <w:r w:rsidR="00646FEA">
        <w:rPr>
          <w:rFonts w:ascii="Arial" w:hAnsi="Arial" w:cs="Arial"/>
        </w:rPr>
        <w:t>s</w:t>
      </w:r>
      <w:r w:rsidR="00390EA6" w:rsidRPr="000154D4">
        <w:rPr>
          <w:rFonts w:ascii="Arial" w:hAnsi="Arial" w:cs="Arial"/>
        </w:rPr>
        <w:t>ation. Therapists must carefully assess the client’s capacity for emotional vulnerability, ensuring that exploration occurs at a pace that fosters safety and avoids overwhelming the client</w:t>
      </w:r>
      <w:r w:rsidR="00DB6DB2">
        <w:rPr>
          <w:rFonts w:ascii="Arial" w:hAnsi="Arial" w:cs="Arial"/>
        </w:rPr>
        <w:t xml:space="preserve">. </w:t>
      </w:r>
      <w:r w:rsidRPr="000154D4">
        <w:rPr>
          <w:rFonts w:ascii="Arial" w:eastAsia="Times New Roman" w:hAnsi="Arial" w:cs="Arial"/>
          <w:kern w:val="0"/>
          <w:lang w:eastAsia="en-GB"/>
          <w14:ligatures w14:val="none"/>
        </w:rPr>
        <w:t>When clients introduce ambiguous themes, such as feeling overwhelmed by questions, developing a habit of gently seeking clarification can deepen the therapeutic dialogue.</w:t>
      </w:r>
      <w:r w:rsidR="00DB6DB2">
        <w:rPr>
          <w:rFonts w:ascii="Arial" w:eastAsia="Times New Roman" w:hAnsi="Arial" w:cs="Arial"/>
          <w:kern w:val="0"/>
          <w:lang w:eastAsia="en-GB"/>
          <w14:ligatures w14:val="none"/>
        </w:rPr>
        <w:t xml:space="preserve"> </w:t>
      </w:r>
      <w:r w:rsidRPr="000154D4">
        <w:rPr>
          <w:rFonts w:ascii="Arial" w:eastAsia="Times New Roman" w:hAnsi="Arial" w:cs="Arial"/>
          <w:kern w:val="0"/>
          <w:lang w:eastAsia="en-GB"/>
          <w14:ligatures w14:val="none"/>
        </w:rPr>
        <w:t xml:space="preserve">The topic of children highlighted my uncertainty in addressing sensitive areas. Strengthening my ability to assess verbal and nonverbal cues, as suggested by </w:t>
      </w:r>
      <w:r w:rsidRPr="00CB130D">
        <w:rPr>
          <w:rFonts w:ascii="Arial" w:eastAsia="Times New Roman" w:hAnsi="Arial" w:cs="Arial"/>
          <w:kern w:val="0"/>
          <w:lang w:eastAsia="en-GB"/>
          <w14:ligatures w14:val="none"/>
        </w:rPr>
        <w:t>Rogers’ person-centred approach</w:t>
      </w:r>
      <w:r w:rsidRPr="000154D4">
        <w:rPr>
          <w:rFonts w:ascii="Arial" w:eastAsia="Times New Roman" w:hAnsi="Arial" w:cs="Arial"/>
          <w:kern w:val="0"/>
          <w:lang w:eastAsia="en-GB"/>
          <w14:ligatures w14:val="none"/>
        </w:rPr>
        <w:t>, can help me determine when further exploration is appropriate.</w:t>
      </w:r>
      <w:r w:rsidR="00DB6DB2">
        <w:rPr>
          <w:rFonts w:ascii="Arial" w:eastAsia="Times New Roman" w:hAnsi="Arial" w:cs="Arial"/>
          <w:kern w:val="0"/>
          <w:lang w:eastAsia="en-GB"/>
          <w14:ligatures w14:val="none"/>
        </w:rPr>
        <w:t xml:space="preserve"> </w:t>
      </w:r>
    </w:p>
    <w:p w14:paraId="31B68E40" w14:textId="68B785B2" w:rsidR="000154D4" w:rsidRDefault="000154D4" w:rsidP="00DB6DB2">
      <w:pPr>
        <w:spacing w:before="100" w:beforeAutospacing="1" w:after="100" w:afterAutospacing="1" w:line="480" w:lineRule="auto"/>
        <w:ind w:firstLine="720"/>
        <w:rPr>
          <w:rFonts w:ascii="Arial" w:eastAsia="Times New Roman" w:hAnsi="Arial" w:cs="Arial"/>
          <w:kern w:val="0"/>
          <w:lang w:eastAsia="en-GB"/>
          <w14:ligatures w14:val="none"/>
        </w:rPr>
      </w:pPr>
      <w:r w:rsidRPr="000154D4">
        <w:rPr>
          <w:rFonts w:ascii="Arial" w:eastAsia="Times New Roman" w:hAnsi="Arial" w:cs="Arial"/>
          <w:kern w:val="0"/>
          <w:lang w:eastAsia="en-GB"/>
          <w14:ligatures w14:val="none"/>
        </w:rPr>
        <w:t xml:space="preserve">This session emphasized the importance of being attuned to the client’s emotional state and readiness for exploration. While I effectively validated their feelings and employed techniques like grounding and the </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magic wand</w:t>
      </w:r>
      <w:r w:rsidR="00BC1B97">
        <w:rPr>
          <w:rFonts w:ascii="Arial" w:eastAsia="Times New Roman" w:hAnsi="Arial" w:cs="Arial"/>
          <w:kern w:val="0"/>
          <w:lang w:eastAsia="en-GB"/>
          <w14:ligatures w14:val="none"/>
        </w:rPr>
        <w:t>’</w:t>
      </w:r>
      <w:r w:rsidRPr="000154D4">
        <w:rPr>
          <w:rFonts w:ascii="Arial" w:eastAsia="Times New Roman" w:hAnsi="Arial" w:cs="Arial"/>
          <w:kern w:val="0"/>
          <w:lang w:eastAsia="en-GB"/>
          <w14:ligatures w14:val="none"/>
        </w:rPr>
        <w:t xml:space="preserve"> scenario, there were moments where further clarification or adjusted interventions could have enhanced the session. These reflections highlight the value of ongoing professional development and integrating theoretical frameworks, such as </w:t>
      </w:r>
      <w:r w:rsidRPr="00CB130D">
        <w:rPr>
          <w:rFonts w:ascii="Arial" w:eastAsia="Times New Roman" w:hAnsi="Arial" w:cs="Arial"/>
          <w:kern w:val="0"/>
          <w:lang w:eastAsia="en-GB"/>
          <w14:ligatures w14:val="none"/>
        </w:rPr>
        <w:t>EFT, IPR, and Narrative Therapy</w:t>
      </w:r>
      <w:r w:rsidRPr="000154D4">
        <w:rPr>
          <w:rFonts w:ascii="Arial" w:eastAsia="Times New Roman" w:hAnsi="Arial" w:cs="Arial"/>
          <w:kern w:val="0"/>
          <w:lang w:eastAsia="en-GB"/>
          <w14:ligatures w14:val="none"/>
        </w:rPr>
        <w:t>, to refine my ability to provide client-centred care.</w:t>
      </w:r>
    </w:p>
    <w:p w14:paraId="148FFDE4" w14:textId="4DC48467" w:rsidR="00094BA4" w:rsidRDefault="00094BA4" w:rsidP="00094BA4">
      <w:pPr>
        <w:spacing w:after="219" w:line="256" w:lineRule="auto"/>
        <w:ind w:left="-5" w:hanging="10"/>
        <w:rPr>
          <w:rFonts w:ascii="Arial" w:eastAsia="Calibri" w:hAnsi="Arial" w:cs="Arial"/>
          <w:b/>
          <w:bCs/>
          <w:iCs/>
          <w:color w:val="000000"/>
          <w:lang w:eastAsia="en-GB"/>
        </w:rPr>
      </w:pPr>
      <w:r w:rsidRPr="00094BA4">
        <w:rPr>
          <w:rFonts w:ascii="Arial" w:eastAsia="Calibri" w:hAnsi="Arial" w:cs="Arial"/>
          <w:b/>
          <w:bCs/>
          <w:iCs/>
          <w:color w:val="000000"/>
          <w:lang w:eastAsia="en-GB"/>
        </w:rPr>
        <w:t>Conclusion.</w:t>
      </w:r>
    </w:p>
    <w:p w14:paraId="7966B69C" w14:textId="4C0F34EC" w:rsidR="000154D4" w:rsidRPr="000154D4" w:rsidRDefault="000154D4" w:rsidP="000154D4">
      <w:pPr>
        <w:spacing w:after="219" w:line="480" w:lineRule="auto"/>
        <w:ind w:left="-5" w:firstLine="725"/>
        <w:rPr>
          <w:rFonts w:ascii="Arial" w:eastAsia="Calibri" w:hAnsi="Arial" w:cs="Arial"/>
          <w:b/>
          <w:bCs/>
          <w:iCs/>
          <w:color w:val="000000"/>
          <w:lang w:eastAsia="en-GB"/>
        </w:rPr>
      </w:pPr>
      <w:r w:rsidRPr="000154D4">
        <w:rPr>
          <w:rFonts w:ascii="Arial" w:hAnsi="Arial" w:cs="Arial"/>
        </w:rPr>
        <w:t xml:space="preserve">This reflection emphasized the importance of adapting counselling interventions to each client's unique needs, highlighting how theory informs practice. Metaphors and imagery deepened my understanding of the therapeutic relationship and the application of concepts such as Rogers’ person-centred approach, Bordin’s working alliance, and EFT. Moving forward, I aim to enhance </w:t>
      </w:r>
      <w:r w:rsidR="00960D4B">
        <w:rPr>
          <w:rFonts w:ascii="Arial" w:hAnsi="Arial" w:cs="Arial"/>
        </w:rPr>
        <w:t>my growing edges</w:t>
      </w:r>
      <w:r w:rsidRPr="000154D4">
        <w:rPr>
          <w:rFonts w:ascii="Arial" w:hAnsi="Arial" w:cs="Arial"/>
        </w:rPr>
        <w:t xml:space="preserve"> in </w:t>
      </w:r>
      <w:r w:rsidRPr="000154D4">
        <w:rPr>
          <w:rFonts w:ascii="Arial" w:hAnsi="Arial" w:cs="Arial"/>
        </w:rPr>
        <w:lastRenderedPageBreak/>
        <w:t>observing body language, managing silence, and respecting boundaries to foster deeper connections and meaningful growth. By integrating EFT, SFBT, and Gestalt Therapy, I remain committed to continuous improvement in creating a safe, empathetic, and effective therapeutic space.</w:t>
      </w:r>
    </w:p>
    <w:bookmarkEnd w:id="0"/>
    <w:p w14:paraId="34B871FE" w14:textId="2F5C9EB9" w:rsidR="004819C4" w:rsidRPr="004819C4" w:rsidRDefault="004819C4" w:rsidP="004819C4">
      <w:pPr>
        <w:spacing w:before="100" w:beforeAutospacing="1" w:after="100" w:afterAutospacing="1" w:line="480" w:lineRule="auto"/>
        <w:ind w:firstLine="720"/>
        <w:rPr>
          <w:rFonts w:ascii="Arial" w:eastAsia="Times New Roman" w:hAnsi="Arial" w:cs="Arial"/>
          <w:kern w:val="0"/>
          <w:lang w:eastAsia="en-GB"/>
          <w14:ligatures w14:val="none"/>
        </w:rPr>
      </w:pPr>
    </w:p>
    <w:p w14:paraId="2665EA4D" w14:textId="77777777" w:rsidR="004819C4" w:rsidRDefault="004819C4" w:rsidP="00094BA4">
      <w:pPr>
        <w:spacing w:after="219" w:line="256" w:lineRule="auto"/>
        <w:ind w:left="-5" w:hanging="10"/>
        <w:rPr>
          <w:rFonts w:ascii="Arial" w:eastAsia="Calibri" w:hAnsi="Arial" w:cs="Arial"/>
          <w:b/>
          <w:bCs/>
          <w:iCs/>
          <w:color w:val="000000"/>
          <w:lang w:eastAsia="en-GB"/>
        </w:rPr>
      </w:pPr>
    </w:p>
    <w:p w14:paraId="232F701F" w14:textId="77777777" w:rsidR="00094BA4" w:rsidRDefault="00094BA4" w:rsidP="00094BA4">
      <w:pPr>
        <w:spacing w:after="219" w:line="256" w:lineRule="auto"/>
        <w:ind w:left="-5" w:hanging="10"/>
        <w:rPr>
          <w:rFonts w:ascii="Arial" w:eastAsia="Calibri" w:hAnsi="Arial" w:cs="Arial"/>
          <w:b/>
          <w:bCs/>
          <w:iCs/>
          <w:color w:val="000000"/>
          <w:lang w:eastAsia="en-GB"/>
        </w:rPr>
      </w:pPr>
    </w:p>
    <w:p w14:paraId="213E4839"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66E860EA"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186781AC"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03324F8F"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1C568CA4"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1B312DB7"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2A256A4E"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60AF3376"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50FAF281"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2760E068"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38C84D75" w14:textId="77777777" w:rsidR="000154D4" w:rsidRDefault="000154D4" w:rsidP="00094BA4">
      <w:pPr>
        <w:spacing w:after="219" w:line="256" w:lineRule="auto"/>
        <w:ind w:left="-5" w:hanging="10"/>
        <w:rPr>
          <w:rFonts w:ascii="Arial" w:eastAsia="Calibri" w:hAnsi="Arial" w:cs="Arial"/>
          <w:b/>
          <w:bCs/>
          <w:iCs/>
          <w:color w:val="000000"/>
          <w:lang w:eastAsia="en-GB"/>
        </w:rPr>
      </w:pPr>
    </w:p>
    <w:p w14:paraId="707630A0" w14:textId="77777777" w:rsidR="000154D4" w:rsidRDefault="000154D4" w:rsidP="00374261">
      <w:pPr>
        <w:spacing w:after="219" w:line="256" w:lineRule="auto"/>
        <w:rPr>
          <w:rFonts w:ascii="Arial" w:eastAsia="Calibri" w:hAnsi="Arial" w:cs="Arial"/>
          <w:b/>
          <w:bCs/>
          <w:iCs/>
          <w:color w:val="000000"/>
          <w:lang w:eastAsia="en-GB"/>
        </w:rPr>
      </w:pPr>
    </w:p>
    <w:p w14:paraId="297FFB8A" w14:textId="77777777" w:rsidR="00374261" w:rsidRDefault="00374261" w:rsidP="00374261">
      <w:pPr>
        <w:spacing w:after="219" w:line="256" w:lineRule="auto"/>
        <w:rPr>
          <w:rFonts w:ascii="Arial" w:eastAsia="Calibri" w:hAnsi="Arial" w:cs="Arial"/>
          <w:b/>
          <w:bCs/>
          <w:iCs/>
          <w:color w:val="000000"/>
          <w:lang w:eastAsia="en-GB"/>
        </w:rPr>
      </w:pPr>
    </w:p>
    <w:p w14:paraId="023F5B4C" w14:textId="77777777" w:rsidR="00C539E9" w:rsidRDefault="00C539E9" w:rsidP="00374261">
      <w:pPr>
        <w:spacing w:after="219" w:line="256" w:lineRule="auto"/>
        <w:rPr>
          <w:rFonts w:ascii="Arial" w:eastAsia="Calibri" w:hAnsi="Arial" w:cs="Arial"/>
          <w:b/>
          <w:bCs/>
          <w:iCs/>
          <w:color w:val="000000"/>
          <w:lang w:eastAsia="en-GB"/>
        </w:rPr>
      </w:pPr>
    </w:p>
    <w:p w14:paraId="7766D1CC" w14:textId="77777777" w:rsidR="00C539E9" w:rsidRDefault="00C539E9" w:rsidP="00374261">
      <w:pPr>
        <w:spacing w:after="219" w:line="256" w:lineRule="auto"/>
        <w:rPr>
          <w:rFonts w:ascii="Arial" w:eastAsia="Calibri" w:hAnsi="Arial" w:cs="Arial"/>
          <w:b/>
          <w:bCs/>
          <w:iCs/>
          <w:color w:val="000000"/>
          <w:lang w:eastAsia="en-GB"/>
        </w:rPr>
      </w:pPr>
    </w:p>
    <w:p w14:paraId="09384AE2" w14:textId="77777777" w:rsidR="00C539E9" w:rsidRDefault="00C539E9" w:rsidP="00374261">
      <w:pPr>
        <w:spacing w:after="219" w:line="256" w:lineRule="auto"/>
        <w:rPr>
          <w:rFonts w:ascii="Arial" w:eastAsia="Calibri" w:hAnsi="Arial" w:cs="Arial"/>
          <w:b/>
          <w:bCs/>
          <w:iCs/>
          <w:color w:val="000000"/>
          <w:lang w:eastAsia="en-GB"/>
        </w:rPr>
      </w:pPr>
    </w:p>
    <w:p w14:paraId="6819D2E8" w14:textId="77777777" w:rsidR="00C539E9" w:rsidRDefault="00C539E9" w:rsidP="00374261">
      <w:pPr>
        <w:spacing w:after="219" w:line="256" w:lineRule="auto"/>
        <w:rPr>
          <w:rFonts w:ascii="Arial" w:eastAsia="Calibri" w:hAnsi="Arial" w:cs="Arial"/>
          <w:b/>
          <w:bCs/>
          <w:iCs/>
          <w:color w:val="000000"/>
          <w:lang w:eastAsia="en-GB"/>
        </w:rPr>
      </w:pPr>
    </w:p>
    <w:p w14:paraId="4EED8FEE" w14:textId="77777777" w:rsidR="00C539E9" w:rsidRDefault="00C539E9" w:rsidP="00374261">
      <w:pPr>
        <w:spacing w:after="219" w:line="256" w:lineRule="auto"/>
        <w:rPr>
          <w:rFonts w:ascii="Arial" w:eastAsia="Calibri" w:hAnsi="Arial" w:cs="Arial"/>
          <w:b/>
          <w:bCs/>
          <w:iCs/>
          <w:color w:val="000000"/>
          <w:lang w:eastAsia="en-GB"/>
        </w:rPr>
      </w:pPr>
    </w:p>
    <w:p w14:paraId="35DAFC20" w14:textId="77777777" w:rsidR="00BC1B97" w:rsidRPr="00094BA4" w:rsidRDefault="00BC1B97" w:rsidP="00374261">
      <w:pPr>
        <w:spacing w:after="219" w:line="256" w:lineRule="auto"/>
        <w:rPr>
          <w:rFonts w:ascii="Arial" w:eastAsia="Calibri" w:hAnsi="Arial" w:cs="Arial"/>
          <w:b/>
          <w:bCs/>
          <w:iCs/>
          <w:color w:val="000000"/>
          <w:lang w:eastAsia="en-GB"/>
        </w:rPr>
      </w:pPr>
    </w:p>
    <w:p w14:paraId="28FD6993" w14:textId="25AF6EDE" w:rsidR="00094BA4" w:rsidRPr="00BC1B97" w:rsidRDefault="00094BA4" w:rsidP="00094BA4">
      <w:pPr>
        <w:spacing w:after="219" w:line="256" w:lineRule="auto"/>
        <w:ind w:left="-5" w:hanging="10"/>
        <w:rPr>
          <w:rFonts w:ascii="Arial" w:eastAsia="Calibri" w:hAnsi="Arial" w:cs="Arial"/>
          <w:b/>
          <w:bCs/>
          <w:iCs/>
          <w:color w:val="000000"/>
          <w:lang w:eastAsia="en-GB"/>
        </w:rPr>
      </w:pPr>
      <w:r w:rsidRPr="00BC1B97">
        <w:rPr>
          <w:rFonts w:ascii="Arial" w:eastAsia="Calibri" w:hAnsi="Arial" w:cs="Arial"/>
          <w:b/>
          <w:bCs/>
          <w:iCs/>
          <w:color w:val="000000"/>
          <w:lang w:eastAsia="en-GB"/>
        </w:rPr>
        <w:lastRenderedPageBreak/>
        <w:t>References.</w:t>
      </w:r>
    </w:p>
    <w:p w14:paraId="6FFA992F" w14:textId="77777777" w:rsidR="00BC1B97" w:rsidRPr="00BC1B97" w:rsidRDefault="00094BA4" w:rsidP="00BC1B97">
      <w:pPr>
        <w:pStyle w:val="Bibliography"/>
        <w:spacing w:line="276" w:lineRule="auto"/>
        <w:rPr>
          <w:rFonts w:ascii="Arial" w:hAnsi="Arial" w:cs="Arial"/>
        </w:rPr>
      </w:pPr>
      <w:r>
        <w:rPr>
          <w:rFonts w:ascii="Arial" w:eastAsia="Calibri" w:hAnsi="Arial" w:cs="Arial"/>
          <w:color w:val="000000"/>
          <w:lang w:eastAsia="en-GB"/>
        </w:rPr>
        <w:fldChar w:fldCharType="begin"/>
      </w:r>
      <w:r w:rsidR="00BC1B97">
        <w:rPr>
          <w:rFonts w:ascii="Arial" w:eastAsia="Calibri" w:hAnsi="Arial" w:cs="Arial"/>
          <w:color w:val="000000"/>
          <w:lang w:eastAsia="en-GB"/>
        </w:rPr>
        <w:instrText xml:space="preserve"> ADDIN ZOTERO_BIBL {"uncited":[],"omitted":[],"custom":[]} CSL_BIBLIOGRAPHY </w:instrText>
      </w:r>
      <w:r>
        <w:rPr>
          <w:rFonts w:ascii="Arial" w:eastAsia="Calibri" w:hAnsi="Arial" w:cs="Arial"/>
          <w:color w:val="000000"/>
          <w:lang w:eastAsia="en-GB"/>
        </w:rPr>
        <w:fldChar w:fldCharType="separate"/>
      </w:r>
      <w:r w:rsidR="00BC1B97" w:rsidRPr="00BC1B97">
        <w:rPr>
          <w:rFonts w:ascii="Arial" w:hAnsi="Arial" w:cs="Arial"/>
        </w:rPr>
        <w:t xml:space="preserve">Bahn, G. H. (2022). Understanding of Holding Environment Through the Trajectory of Donald Woods Winnicott. </w:t>
      </w:r>
      <w:r w:rsidR="00BC1B97" w:rsidRPr="00BC1B97">
        <w:rPr>
          <w:rFonts w:ascii="Arial" w:hAnsi="Arial" w:cs="Arial"/>
          <w:i/>
          <w:iCs/>
        </w:rPr>
        <w:t>Journal of the Korean Academy of Child and Adolescent Psychiatry</w:t>
      </w:r>
      <w:r w:rsidR="00BC1B97" w:rsidRPr="00BC1B97">
        <w:rPr>
          <w:rFonts w:ascii="Arial" w:hAnsi="Arial" w:cs="Arial"/>
        </w:rPr>
        <w:t xml:space="preserve">, </w:t>
      </w:r>
      <w:r w:rsidR="00BC1B97" w:rsidRPr="00BC1B97">
        <w:rPr>
          <w:rFonts w:ascii="Arial" w:hAnsi="Arial" w:cs="Arial"/>
          <w:i/>
          <w:iCs/>
        </w:rPr>
        <w:t>33</w:t>
      </w:r>
      <w:r w:rsidR="00BC1B97" w:rsidRPr="00BC1B97">
        <w:rPr>
          <w:rFonts w:ascii="Arial" w:hAnsi="Arial" w:cs="Arial"/>
        </w:rPr>
        <w:t>(4), 84–90. https://doi.org/10.5765/jkacap.220022</w:t>
      </w:r>
    </w:p>
    <w:p w14:paraId="7BD394D0"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Bordin, E. S. (1979). The generalizability of the psychoanalytic concept of the working alliance. </w:t>
      </w:r>
      <w:r w:rsidRPr="00BC1B97">
        <w:rPr>
          <w:rFonts w:ascii="Arial" w:hAnsi="Arial" w:cs="Arial"/>
          <w:i/>
          <w:iCs/>
        </w:rPr>
        <w:t>Psychotherapy: Theory, Research &amp; Practice</w:t>
      </w:r>
      <w:r w:rsidRPr="00BC1B97">
        <w:rPr>
          <w:rFonts w:ascii="Arial" w:hAnsi="Arial" w:cs="Arial"/>
        </w:rPr>
        <w:t xml:space="preserve">, </w:t>
      </w:r>
      <w:r w:rsidRPr="00BC1B97">
        <w:rPr>
          <w:rFonts w:ascii="Arial" w:hAnsi="Arial" w:cs="Arial"/>
          <w:i/>
          <w:iCs/>
        </w:rPr>
        <w:t>16</w:t>
      </w:r>
      <w:r w:rsidRPr="00BC1B97">
        <w:rPr>
          <w:rFonts w:ascii="Arial" w:hAnsi="Arial" w:cs="Arial"/>
        </w:rPr>
        <w:t>(3), 252–260. https://doi.org/10.1037/h0085885</w:t>
      </w:r>
    </w:p>
    <w:p w14:paraId="7F00E053"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Bourgault du Coudray, C. (2022). Listening as a Relational and Experientialist Praxis: Insights from Gestalt Therapy. </w:t>
      </w:r>
      <w:r w:rsidRPr="00BC1B97">
        <w:rPr>
          <w:rFonts w:ascii="Arial" w:hAnsi="Arial" w:cs="Arial"/>
          <w:i/>
          <w:iCs/>
        </w:rPr>
        <w:t>International Journal of Listening</w:t>
      </w:r>
      <w:r w:rsidRPr="00BC1B97">
        <w:rPr>
          <w:rFonts w:ascii="Arial" w:hAnsi="Arial" w:cs="Arial"/>
        </w:rPr>
        <w:t xml:space="preserve">, </w:t>
      </w:r>
      <w:r w:rsidRPr="00BC1B97">
        <w:rPr>
          <w:rFonts w:ascii="Arial" w:hAnsi="Arial" w:cs="Arial"/>
          <w:i/>
          <w:iCs/>
        </w:rPr>
        <w:t>36</w:t>
      </w:r>
      <w:r w:rsidRPr="00BC1B97">
        <w:rPr>
          <w:rFonts w:ascii="Arial" w:hAnsi="Arial" w:cs="Arial"/>
        </w:rPr>
        <w:t>(1), 31–43. https://doi.org/10.1080/10904018.2020.1803747</w:t>
      </w:r>
    </w:p>
    <w:p w14:paraId="5FAADE97"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Fearon, R. P., &amp; Roisman, G. I. (2017). Attachment theory: Progress and future directions. </w:t>
      </w:r>
      <w:r w:rsidRPr="00BC1B97">
        <w:rPr>
          <w:rFonts w:ascii="Arial" w:hAnsi="Arial" w:cs="Arial"/>
          <w:i/>
          <w:iCs/>
        </w:rPr>
        <w:t>Current Opinion in Psychology</w:t>
      </w:r>
      <w:r w:rsidRPr="00BC1B97">
        <w:rPr>
          <w:rFonts w:ascii="Arial" w:hAnsi="Arial" w:cs="Arial"/>
        </w:rPr>
        <w:t xml:space="preserve">, </w:t>
      </w:r>
      <w:r w:rsidRPr="00BC1B97">
        <w:rPr>
          <w:rFonts w:ascii="Arial" w:hAnsi="Arial" w:cs="Arial"/>
          <w:i/>
          <w:iCs/>
        </w:rPr>
        <w:t>15</w:t>
      </w:r>
      <w:r w:rsidRPr="00BC1B97">
        <w:rPr>
          <w:rFonts w:ascii="Arial" w:hAnsi="Arial" w:cs="Arial"/>
        </w:rPr>
        <w:t>, 131–136. https://doi.org/10.1016/j.copsyc.2017.03.002</w:t>
      </w:r>
    </w:p>
    <w:p w14:paraId="392A2C3C"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Ghavibazou, E., Hosseinian, S., Ghamari kivi, H., &amp; Ale Ebrahim, N. (2022). </w:t>
      </w:r>
      <w:r w:rsidRPr="00BC1B97">
        <w:rPr>
          <w:rFonts w:ascii="Arial" w:hAnsi="Arial" w:cs="Arial"/>
          <w:i/>
          <w:iCs/>
        </w:rPr>
        <w:t>Narrative therapy, Applications, and Outcomes: A Systematic Review</w:t>
      </w:r>
      <w:r w:rsidRPr="00BC1B97">
        <w:rPr>
          <w:rFonts w:ascii="Arial" w:hAnsi="Arial" w:cs="Arial"/>
        </w:rPr>
        <w:t xml:space="preserve"> (SSRN Scholarly Paper No. 4119920). Social Science Research Network. https://doi.org/10.2139/ssrn.4119920</w:t>
      </w:r>
    </w:p>
    <w:p w14:paraId="21EFCA6C" w14:textId="77777777" w:rsidR="00BC1B97" w:rsidRPr="00BC1B97" w:rsidRDefault="00BC1B97" w:rsidP="00BC1B97">
      <w:pPr>
        <w:pStyle w:val="Bibliography"/>
        <w:spacing w:line="276" w:lineRule="auto"/>
        <w:rPr>
          <w:rFonts w:ascii="Arial" w:hAnsi="Arial" w:cs="Arial"/>
          <w:lang w:val="de-DE"/>
        </w:rPr>
      </w:pPr>
      <w:r w:rsidRPr="00BC1B97">
        <w:rPr>
          <w:rFonts w:ascii="Arial" w:hAnsi="Arial" w:cs="Arial"/>
        </w:rPr>
        <w:t xml:space="preserve">Jerome, L., McNamee, P., Abdel-Halim, N., Elliot, K., &amp; Woods, J. (2023). Solution-focused approaches in adult mental health research: A conceptual literature review and narrative synthesis. </w:t>
      </w:r>
      <w:r w:rsidRPr="00BC1B97">
        <w:rPr>
          <w:rFonts w:ascii="Arial" w:hAnsi="Arial" w:cs="Arial"/>
          <w:i/>
          <w:iCs/>
          <w:lang w:val="de-DE"/>
        </w:rPr>
        <w:t>Frontiers in Psychiatry</w:t>
      </w:r>
      <w:r w:rsidRPr="00BC1B97">
        <w:rPr>
          <w:rFonts w:ascii="Arial" w:hAnsi="Arial" w:cs="Arial"/>
          <w:lang w:val="de-DE"/>
        </w:rPr>
        <w:t xml:space="preserve">, </w:t>
      </w:r>
      <w:r w:rsidRPr="00BC1B97">
        <w:rPr>
          <w:rFonts w:ascii="Arial" w:hAnsi="Arial" w:cs="Arial"/>
          <w:i/>
          <w:iCs/>
          <w:lang w:val="de-DE"/>
        </w:rPr>
        <w:t>14</w:t>
      </w:r>
      <w:r w:rsidRPr="00BC1B97">
        <w:rPr>
          <w:rFonts w:ascii="Arial" w:hAnsi="Arial" w:cs="Arial"/>
          <w:lang w:val="de-DE"/>
        </w:rPr>
        <w:t>, 1068006. https://doi.org/10.3389/fpsyt.2023.1068006</w:t>
      </w:r>
    </w:p>
    <w:p w14:paraId="073555CC" w14:textId="77777777" w:rsidR="00BC1B97" w:rsidRPr="00BC1B97" w:rsidRDefault="00BC1B97" w:rsidP="00BC1B97">
      <w:pPr>
        <w:pStyle w:val="Bibliography"/>
        <w:spacing w:line="276" w:lineRule="auto"/>
        <w:rPr>
          <w:rFonts w:ascii="Arial" w:hAnsi="Arial" w:cs="Arial"/>
        </w:rPr>
      </w:pPr>
      <w:r w:rsidRPr="00BC1B97">
        <w:rPr>
          <w:rFonts w:ascii="Arial" w:hAnsi="Arial" w:cs="Arial"/>
          <w:lang w:val="de-DE"/>
        </w:rPr>
        <w:t xml:space="preserve">Kagan, N., Schauble, P., Resnikoff, A., Danish, S. J., &amp; Krathwohl, D. R. (1969). </w:t>
      </w:r>
      <w:r w:rsidRPr="00BC1B97">
        <w:rPr>
          <w:rFonts w:ascii="Arial" w:hAnsi="Arial" w:cs="Arial"/>
        </w:rPr>
        <w:t xml:space="preserve">INTERPERSONAL PROCESS RECALL. </w:t>
      </w:r>
      <w:r w:rsidRPr="00BC1B97">
        <w:rPr>
          <w:rFonts w:ascii="Arial" w:hAnsi="Arial" w:cs="Arial"/>
          <w:i/>
          <w:iCs/>
        </w:rPr>
        <w:t>The Journal of Nervous and Mental Disease</w:t>
      </w:r>
      <w:r w:rsidRPr="00BC1B97">
        <w:rPr>
          <w:rFonts w:ascii="Arial" w:hAnsi="Arial" w:cs="Arial"/>
        </w:rPr>
        <w:t xml:space="preserve">, </w:t>
      </w:r>
      <w:r w:rsidRPr="00BC1B97">
        <w:rPr>
          <w:rFonts w:ascii="Arial" w:hAnsi="Arial" w:cs="Arial"/>
          <w:i/>
          <w:iCs/>
        </w:rPr>
        <w:t>148</w:t>
      </w:r>
      <w:r w:rsidRPr="00BC1B97">
        <w:rPr>
          <w:rFonts w:ascii="Arial" w:hAnsi="Arial" w:cs="Arial"/>
        </w:rPr>
        <w:t>(4), 365.</w:t>
      </w:r>
    </w:p>
    <w:p w14:paraId="24292E4E"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Koniver, L. (2023). Practical applications of grounding to support health. </w:t>
      </w:r>
      <w:r w:rsidRPr="00BC1B97">
        <w:rPr>
          <w:rFonts w:ascii="Arial" w:hAnsi="Arial" w:cs="Arial"/>
          <w:i/>
          <w:iCs/>
        </w:rPr>
        <w:t>Biomedical Journal</w:t>
      </w:r>
      <w:r w:rsidRPr="00BC1B97">
        <w:rPr>
          <w:rFonts w:ascii="Arial" w:hAnsi="Arial" w:cs="Arial"/>
        </w:rPr>
        <w:t xml:space="preserve">, </w:t>
      </w:r>
      <w:r w:rsidRPr="00BC1B97">
        <w:rPr>
          <w:rFonts w:ascii="Arial" w:hAnsi="Arial" w:cs="Arial"/>
          <w:i/>
          <w:iCs/>
        </w:rPr>
        <w:t>46</w:t>
      </w:r>
      <w:r w:rsidRPr="00BC1B97">
        <w:rPr>
          <w:rFonts w:ascii="Arial" w:hAnsi="Arial" w:cs="Arial"/>
        </w:rPr>
        <w:t>(1), 41–47. https://doi.org/10.1016/j.bj.2022.12.001</w:t>
      </w:r>
    </w:p>
    <w:p w14:paraId="5AE22CD8"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Malkomsen, A., Røssberg, J. I., Dammen, T., Wilberg, T., Løvgren, A., Ulberg, R., &amp; Evensen, J. (2021). Digging down or scratching the surface: How patients use metaphors to describe their experiences of psychotherapy. </w:t>
      </w:r>
      <w:r w:rsidRPr="00BC1B97">
        <w:rPr>
          <w:rFonts w:ascii="Arial" w:hAnsi="Arial" w:cs="Arial"/>
          <w:i/>
          <w:iCs/>
        </w:rPr>
        <w:t>BMC Psychiatry</w:t>
      </w:r>
      <w:r w:rsidRPr="00BC1B97">
        <w:rPr>
          <w:rFonts w:ascii="Arial" w:hAnsi="Arial" w:cs="Arial"/>
        </w:rPr>
        <w:t xml:space="preserve">, </w:t>
      </w:r>
      <w:r w:rsidRPr="00BC1B97">
        <w:rPr>
          <w:rFonts w:ascii="Arial" w:hAnsi="Arial" w:cs="Arial"/>
          <w:i/>
          <w:iCs/>
        </w:rPr>
        <w:t>21</w:t>
      </w:r>
      <w:r w:rsidRPr="00BC1B97">
        <w:rPr>
          <w:rFonts w:ascii="Arial" w:hAnsi="Arial" w:cs="Arial"/>
        </w:rPr>
        <w:t>, 533. https://doi.org/10.1186/s12888-021-03551-1</w:t>
      </w:r>
    </w:p>
    <w:p w14:paraId="31DF3163"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Porges, S. W. (2022). Polyvagal Theory: A Science of Safety. </w:t>
      </w:r>
      <w:r w:rsidRPr="00BC1B97">
        <w:rPr>
          <w:rFonts w:ascii="Arial" w:hAnsi="Arial" w:cs="Arial"/>
          <w:i/>
          <w:iCs/>
        </w:rPr>
        <w:t>Frontiers in Integrative Neuroscience</w:t>
      </w:r>
      <w:r w:rsidRPr="00BC1B97">
        <w:rPr>
          <w:rFonts w:ascii="Arial" w:hAnsi="Arial" w:cs="Arial"/>
        </w:rPr>
        <w:t xml:space="preserve">, </w:t>
      </w:r>
      <w:r w:rsidRPr="00BC1B97">
        <w:rPr>
          <w:rFonts w:ascii="Arial" w:hAnsi="Arial" w:cs="Arial"/>
          <w:i/>
          <w:iCs/>
        </w:rPr>
        <w:t>16</w:t>
      </w:r>
      <w:r w:rsidRPr="00BC1B97">
        <w:rPr>
          <w:rFonts w:ascii="Arial" w:hAnsi="Arial" w:cs="Arial"/>
        </w:rPr>
        <w:t>. https://doi.org/10.3389/fnint.2022.871227</w:t>
      </w:r>
    </w:p>
    <w:p w14:paraId="5A76716A"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Rogers, C. R. (1992). The Necessary and Sufficient Conditions of Therapeutic Personality Change. </w:t>
      </w:r>
      <w:r w:rsidRPr="00BC1B97">
        <w:rPr>
          <w:rFonts w:ascii="Arial" w:hAnsi="Arial" w:cs="Arial"/>
          <w:i/>
          <w:iCs/>
        </w:rPr>
        <w:t>Journal of Consulting and Clinical Psychology</w:t>
      </w:r>
      <w:r w:rsidRPr="00BC1B97">
        <w:rPr>
          <w:rFonts w:ascii="Arial" w:hAnsi="Arial" w:cs="Arial"/>
        </w:rPr>
        <w:t xml:space="preserve">, </w:t>
      </w:r>
      <w:r w:rsidRPr="00BC1B97">
        <w:rPr>
          <w:rFonts w:ascii="Arial" w:hAnsi="Arial" w:cs="Arial"/>
          <w:i/>
          <w:iCs/>
        </w:rPr>
        <w:t>60</w:t>
      </w:r>
      <w:r w:rsidRPr="00BC1B97">
        <w:rPr>
          <w:rFonts w:ascii="Arial" w:hAnsi="Arial" w:cs="Arial"/>
        </w:rPr>
        <w:t>(6), 827–832. https://doi.org/10.1037/0022-006X.60.6.827</w:t>
      </w:r>
    </w:p>
    <w:p w14:paraId="0CE9D02B" w14:textId="77777777" w:rsidR="00BC1B97" w:rsidRPr="00BC1B97" w:rsidRDefault="00BC1B97" w:rsidP="00BC1B97">
      <w:pPr>
        <w:pStyle w:val="Bibliography"/>
        <w:spacing w:line="276" w:lineRule="auto"/>
        <w:rPr>
          <w:rFonts w:ascii="Arial" w:hAnsi="Arial" w:cs="Arial"/>
        </w:rPr>
      </w:pPr>
      <w:r w:rsidRPr="00BC1B97">
        <w:rPr>
          <w:rFonts w:ascii="Arial" w:hAnsi="Arial" w:cs="Arial"/>
        </w:rPr>
        <w:t xml:space="preserve">Schön, D. A. (1991). </w:t>
      </w:r>
      <w:r w:rsidRPr="00BC1B97">
        <w:rPr>
          <w:rFonts w:ascii="Arial" w:hAnsi="Arial" w:cs="Arial"/>
          <w:i/>
          <w:iCs/>
        </w:rPr>
        <w:t>The Reflective Practitioner: How Professionals Think in Action</w:t>
      </w:r>
      <w:r w:rsidRPr="00BC1B97">
        <w:rPr>
          <w:rFonts w:ascii="Arial" w:hAnsi="Arial" w:cs="Arial"/>
        </w:rPr>
        <w:t xml:space="preserve"> (1st edition). Routledge.</w:t>
      </w:r>
    </w:p>
    <w:p w14:paraId="719131FC" w14:textId="3C78FCCE" w:rsidR="00A913AD" w:rsidRPr="00C539E9" w:rsidRDefault="00094BA4" w:rsidP="00BC1B97">
      <w:pPr>
        <w:spacing w:after="219" w:line="276" w:lineRule="auto"/>
        <w:rPr>
          <w:rFonts w:ascii="Arial" w:eastAsia="Calibri" w:hAnsi="Arial" w:cs="Arial"/>
          <w:iCs/>
          <w:color w:val="000000"/>
          <w:lang w:eastAsia="en-GB"/>
        </w:rPr>
      </w:pPr>
      <w:r>
        <w:rPr>
          <w:rFonts w:ascii="Arial" w:eastAsia="Calibri" w:hAnsi="Arial" w:cs="Arial"/>
          <w:iCs/>
          <w:color w:val="000000"/>
          <w:lang w:eastAsia="en-GB"/>
        </w:rPr>
        <w:fldChar w:fldCharType="end"/>
      </w:r>
    </w:p>
    <w:sectPr w:rsidR="00A913AD" w:rsidRPr="00C539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9B394B" w14:textId="77777777" w:rsidR="005A326A" w:rsidRDefault="005A326A" w:rsidP="000154D4">
      <w:pPr>
        <w:spacing w:after="0" w:line="240" w:lineRule="auto"/>
      </w:pPr>
      <w:r>
        <w:separator/>
      </w:r>
    </w:p>
  </w:endnote>
  <w:endnote w:type="continuationSeparator" w:id="0">
    <w:p w14:paraId="3CDBDD6A" w14:textId="77777777" w:rsidR="005A326A" w:rsidRDefault="005A326A" w:rsidP="00015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2EC606" w14:textId="77777777" w:rsidR="005A326A" w:rsidRDefault="005A326A" w:rsidP="000154D4">
      <w:pPr>
        <w:spacing w:after="0" w:line="240" w:lineRule="auto"/>
      </w:pPr>
      <w:r>
        <w:separator/>
      </w:r>
    </w:p>
  </w:footnote>
  <w:footnote w:type="continuationSeparator" w:id="0">
    <w:p w14:paraId="798DD1D5" w14:textId="77777777" w:rsidR="005A326A" w:rsidRDefault="005A326A" w:rsidP="00015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04333"/>
    <w:multiLevelType w:val="multilevel"/>
    <w:tmpl w:val="6E96C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991283"/>
    <w:multiLevelType w:val="hybridMultilevel"/>
    <w:tmpl w:val="B8869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646E6"/>
    <w:multiLevelType w:val="multilevel"/>
    <w:tmpl w:val="676AD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8E3862"/>
    <w:multiLevelType w:val="multilevel"/>
    <w:tmpl w:val="6C80F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C13871"/>
    <w:multiLevelType w:val="hybridMultilevel"/>
    <w:tmpl w:val="6FA2F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131235"/>
    <w:multiLevelType w:val="multilevel"/>
    <w:tmpl w:val="7E32C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DD1459"/>
    <w:multiLevelType w:val="hybridMultilevel"/>
    <w:tmpl w:val="FE84C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1744726">
    <w:abstractNumId w:val="6"/>
  </w:num>
  <w:num w:numId="2" w16cid:durableId="315031753">
    <w:abstractNumId w:val="1"/>
  </w:num>
  <w:num w:numId="3" w16cid:durableId="833300893">
    <w:abstractNumId w:val="4"/>
  </w:num>
  <w:num w:numId="4" w16cid:durableId="614869265">
    <w:abstractNumId w:val="2"/>
  </w:num>
  <w:num w:numId="5" w16cid:durableId="577634594">
    <w:abstractNumId w:val="0"/>
  </w:num>
  <w:num w:numId="6" w16cid:durableId="1851286873">
    <w:abstractNumId w:val="3"/>
  </w:num>
  <w:num w:numId="7" w16cid:durableId="10225123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M1tzSzNDEzNjc0MjRQ0lEKTi0uzszPAykwqwUAGm3P1CwAAAA="/>
  </w:docVars>
  <w:rsids>
    <w:rsidRoot w:val="00532869"/>
    <w:rsid w:val="000154D4"/>
    <w:rsid w:val="00054107"/>
    <w:rsid w:val="00094BA4"/>
    <w:rsid w:val="0014642B"/>
    <w:rsid w:val="002400B8"/>
    <w:rsid w:val="002865F3"/>
    <w:rsid w:val="00374261"/>
    <w:rsid w:val="00390EA6"/>
    <w:rsid w:val="003B383F"/>
    <w:rsid w:val="003C6C26"/>
    <w:rsid w:val="00480805"/>
    <w:rsid w:val="004819C4"/>
    <w:rsid w:val="00532869"/>
    <w:rsid w:val="00533F69"/>
    <w:rsid w:val="005A326A"/>
    <w:rsid w:val="005C2350"/>
    <w:rsid w:val="005F555C"/>
    <w:rsid w:val="00646FEA"/>
    <w:rsid w:val="00960D4B"/>
    <w:rsid w:val="009A03F9"/>
    <w:rsid w:val="009B6911"/>
    <w:rsid w:val="00A55683"/>
    <w:rsid w:val="00A913AD"/>
    <w:rsid w:val="00BC1B97"/>
    <w:rsid w:val="00C539E9"/>
    <w:rsid w:val="00C7685E"/>
    <w:rsid w:val="00CB130D"/>
    <w:rsid w:val="00D21783"/>
    <w:rsid w:val="00DB6DB2"/>
    <w:rsid w:val="00DC5B3D"/>
    <w:rsid w:val="00DD58F6"/>
    <w:rsid w:val="00DF0C27"/>
    <w:rsid w:val="00E05CE1"/>
    <w:rsid w:val="00E62B0E"/>
    <w:rsid w:val="00EE20D8"/>
    <w:rsid w:val="00F175E2"/>
    <w:rsid w:val="00F6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4BF3C"/>
  <w15:chartTrackingRefBased/>
  <w15:docId w15:val="{472AED0A-E2DA-4B1C-977F-FD2E8590B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8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28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8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8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8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8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8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8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8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8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8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8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8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8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8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8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8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869"/>
    <w:rPr>
      <w:rFonts w:eastAsiaTheme="majorEastAsia" w:cstheme="majorBidi"/>
      <w:color w:val="272727" w:themeColor="text1" w:themeTint="D8"/>
    </w:rPr>
  </w:style>
  <w:style w:type="paragraph" w:styleId="Title">
    <w:name w:val="Title"/>
    <w:basedOn w:val="Normal"/>
    <w:next w:val="Normal"/>
    <w:link w:val="TitleChar"/>
    <w:uiPriority w:val="10"/>
    <w:qFormat/>
    <w:rsid w:val="005328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8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8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8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869"/>
    <w:pPr>
      <w:spacing w:before="160"/>
      <w:jc w:val="center"/>
    </w:pPr>
    <w:rPr>
      <w:i/>
      <w:iCs/>
      <w:color w:val="404040" w:themeColor="text1" w:themeTint="BF"/>
    </w:rPr>
  </w:style>
  <w:style w:type="character" w:customStyle="1" w:styleId="QuoteChar">
    <w:name w:val="Quote Char"/>
    <w:basedOn w:val="DefaultParagraphFont"/>
    <w:link w:val="Quote"/>
    <w:uiPriority w:val="29"/>
    <w:rsid w:val="00532869"/>
    <w:rPr>
      <w:i/>
      <w:iCs/>
      <w:color w:val="404040" w:themeColor="text1" w:themeTint="BF"/>
    </w:rPr>
  </w:style>
  <w:style w:type="paragraph" w:styleId="ListParagraph">
    <w:name w:val="List Paragraph"/>
    <w:basedOn w:val="Normal"/>
    <w:uiPriority w:val="34"/>
    <w:qFormat/>
    <w:rsid w:val="00532869"/>
    <w:pPr>
      <w:ind w:left="720"/>
      <w:contextualSpacing/>
    </w:pPr>
  </w:style>
  <w:style w:type="character" w:styleId="IntenseEmphasis">
    <w:name w:val="Intense Emphasis"/>
    <w:basedOn w:val="DefaultParagraphFont"/>
    <w:uiPriority w:val="21"/>
    <w:qFormat/>
    <w:rsid w:val="00532869"/>
    <w:rPr>
      <w:i/>
      <w:iCs/>
      <w:color w:val="0F4761" w:themeColor="accent1" w:themeShade="BF"/>
    </w:rPr>
  </w:style>
  <w:style w:type="paragraph" w:styleId="IntenseQuote">
    <w:name w:val="Intense Quote"/>
    <w:basedOn w:val="Normal"/>
    <w:next w:val="Normal"/>
    <w:link w:val="IntenseQuoteChar"/>
    <w:uiPriority w:val="30"/>
    <w:qFormat/>
    <w:rsid w:val="005328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869"/>
    <w:rPr>
      <w:i/>
      <w:iCs/>
      <w:color w:val="0F4761" w:themeColor="accent1" w:themeShade="BF"/>
    </w:rPr>
  </w:style>
  <w:style w:type="character" w:styleId="IntenseReference">
    <w:name w:val="Intense Reference"/>
    <w:basedOn w:val="DefaultParagraphFont"/>
    <w:uiPriority w:val="32"/>
    <w:qFormat/>
    <w:rsid w:val="00532869"/>
    <w:rPr>
      <w:b/>
      <w:bCs/>
      <w:smallCaps/>
      <w:color w:val="0F4761" w:themeColor="accent1" w:themeShade="BF"/>
      <w:spacing w:val="5"/>
    </w:rPr>
  </w:style>
  <w:style w:type="paragraph" w:styleId="NoSpacing">
    <w:name w:val="No Spacing"/>
    <w:uiPriority w:val="1"/>
    <w:qFormat/>
    <w:rsid w:val="00532869"/>
    <w:pPr>
      <w:spacing w:after="0" w:line="240" w:lineRule="auto"/>
    </w:pPr>
    <w:rPr>
      <w:rFonts w:ascii="Aptos" w:eastAsia="Aptos" w:hAnsi="Aptos" w:cs="Times New Roman"/>
    </w:rPr>
  </w:style>
  <w:style w:type="paragraph" w:styleId="NormalWeb">
    <w:name w:val="Normal (Web)"/>
    <w:basedOn w:val="Normal"/>
    <w:uiPriority w:val="99"/>
    <w:unhideWhenUsed/>
    <w:rsid w:val="005328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32869"/>
    <w:rPr>
      <w:i/>
      <w:iCs/>
    </w:rPr>
  </w:style>
  <w:style w:type="paragraph" w:styleId="Bibliography">
    <w:name w:val="Bibliography"/>
    <w:basedOn w:val="Normal"/>
    <w:next w:val="Normal"/>
    <w:uiPriority w:val="37"/>
    <w:unhideWhenUsed/>
    <w:rsid w:val="00094BA4"/>
    <w:pPr>
      <w:spacing w:after="0" w:line="480" w:lineRule="auto"/>
      <w:ind w:left="720" w:hanging="720"/>
    </w:pPr>
  </w:style>
  <w:style w:type="character" w:styleId="Strong">
    <w:name w:val="Strong"/>
    <w:basedOn w:val="DefaultParagraphFont"/>
    <w:uiPriority w:val="22"/>
    <w:qFormat/>
    <w:rsid w:val="000154D4"/>
    <w:rPr>
      <w:b/>
      <w:bCs/>
    </w:rPr>
  </w:style>
  <w:style w:type="paragraph" w:styleId="Header">
    <w:name w:val="header"/>
    <w:basedOn w:val="Normal"/>
    <w:link w:val="HeaderChar"/>
    <w:uiPriority w:val="99"/>
    <w:unhideWhenUsed/>
    <w:rsid w:val="00015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4D4"/>
  </w:style>
  <w:style w:type="paragraph" w:styleId="Footer">
    <w:name w:val="footer"/>
    <w:basedOn w:val="Normal"/>
    <w:link w:val="FooterChar"/>
    <w:uiPriority w:val="99"/>
    <w:unhideWhenUsed/>
    <w:rsid w:val="00015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4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886588">
      <w:bodyDiv w:val="1"/>
      <w:marLeft w:val="0"/>
      <w:marRight w:val="0"/>
      <w:marTop w:val="0"/>
      <w:marBottom w:val="0"/>
      <w:divBdr>
        <w:top w:val="none" w:sz="0" w:space="0" w:color="auto"/>
        <w:left w:val="none" w:sz="0" w:space="0" w:color="auto"/>
        <w:bottom w:val="none" w:sz="0" w:space="0" w:color="auto"/>
        <w:right w:val="none" w:sz="0" w:space="0" w:color="auto"/>
      </w:divBdr>
    </w:div>
    <w:div w:id="154029438">
      <w:bodyDiv w:val="1"/>
      <w:marLeft w:val="0"/>
      <w:marRight w:val="0"/>
      <w:marTop w:val="0"/>
      <w:marBottom w:val="0"/>
      <w:divBdr>
        <w:top w:val="none" w:sz="0" w:space="0" w:color="auto"/>
        <w:left w:val="none" w:sz="0" w:space="0" w:color="auto"/>
        <w:bottom w:val="none" w:sz="0" w:space="0" w:color="auto"/>
        <w:right w:val="none" w:sz="0" w:space="0" w:color="auto"/>
      </w:divBdr>
    </w:div>
    <w:div w:id="194315712">
      <w:bodyDiv w:val="1"/>
      <w:marLeft w:val="0"/>
      <w:marRight w:val="0"/>
      <w:marTop w:val="0"/>
      <w:marBottom w:val="0"/>
      <w:divBdr>
        <w:top w:val="none" w:sz="0" w:space="0" w:color="auto"/>
        <w:left w:val="none" w:sz="0" w:space="0" w:color="auto"/>
        <w:bottom w:val="none" w:sz="0" w:space="0" w:color="auto"/>
        <w:right w:val="none" w:sz="0" w:space="0" w:color="auto"/>
      </w:divBdr>
    </w:div>
    <w:div w:id="483861849">
      <w:bodyDiv w:val="1"/>
      <w:marLeft w:val="0"/>
      <w:marRight w:val="0"/>
      <w:marTop w:val="0"/>
      <w:marBottom w:val="0"/>
      <w:divBdr>
        <w:top w:val="none" w:sz="0" w:space="0" w:color="auto"/>
        <w:left w:val="none" w:sz="0" w:space="0" w:color="auto"/>
        <w:bottom w:val="none" w:sz="0" w:space="0" w:color="auto"/>
        <w:right w:val="none" w:sz="0" w:space="0" w:color="auto"/>
      </w:divBdr>
    </w:div>
    <w:div w:id="635185341">
      <w:bodyDiv w:val="1"/>
      <w:marLeft w:val="0"/>
      <w:marRight w:val="0"/>
      <w:marTop w:val="0"/>
      <w:marBottom w:val="0"/>
      <w:divBdr>
        <w:top w:val="none" w:sz="0" w:space="0" w:color="auto"/>
        <w:left w:val="none" w:sz="0" w:space="0" w:color="auto"/>
        <w:bottom w:val="none" w:sz="0" w:space="0" w:color="auto"/>
        <w:right w:val="none" w:sz="0" w:space="0" w:color="auto"/>
      </w:divBdr>
    </w:div>
    <w:div w:id="636223948">
      <w:bodyDiv w:val="1"/>
      <w:marLeft w:val="0"/>
      <w:marRight w:val="0"/>
      <w:marTop w:val="0"/>
      <w:marBottom w:val="0"/>
      <w:divBdr>
        <w:top w:val="none" w:sz="0" w:space="0" w:color="auto"/>
        <w:left w:val="none" w:sz="0" w:space="0" w:color="auto"/>
        <w:bottom w:val="none" w:sz="0" w:space="0" w:color="auto"/>
        <w:right w:val="none" w:sz="0" w:space="0" w:color="auto"/>
      </w:divBdr>
    </w:div>
    <w:div w:id="782379739">
      <w:bodyDiv w:val="1"/>
      <w:marLeft w:val="0"/>
      <w:marRight w:val="0"/>
      <w:marTop w:val="0"/>
      <w:marBottom w:val="0"/>
      <w:divBdr>
        <w:top w:val="none" w:sz="0" w:space="0" w:color="auto"/>
        <w:left w:val="none" w:sz="0" w:space="0" w:color="auto"/>
        <w:bottom w:val="none" w:sz="0" w:space="0" w:color="auto"/>
        <w:right w:val="none" w:sz="0" w:space="0" w:color="auto"/>
      </w:divBdr>
    </w:div>
    <w:div w:id="865603577">
      <w:bodyDiv w:val="1"/>
      <w:marLeft w:val="0"/>
      <w:marRight w:val="0"/>
      <w:marTop w:val="0"/>
      <w:marBottom w:val="0"/>
      <w:divBdr>
        <w:top w:val="none" w:sz="0" w:space="0" w:color="auto"/>
        <w:left w:val="none" w:sz="0" w:space="0" w:color="auto"/>
        <w:bottom w:val="none" w:sz="0" w:space="0" w:color="auto"/>
        <w:right w:val="none" w:sz="0" w:space="0" w:color="auto"/>
      </w:divBdr>
    </w:div>
    <w:div w:id="908265611">
      <w:bodyDiv w:val="1"/>
      <w:marLeft w:val="0"/>
      <w:marRight w:val="0"/>
      <w:marTop w:val="0"/>
      <w:marBottom w:val="0"/>
      <w:divBdr>
        <w:top w:val="none" w:sz="0" w:space="0" w:color="auto"/>
        <w:left w:val="none" w:sz="0" w:space="0" w:color="auto"/>
        <w:bottom w:val="none" w:sz="0" w:space="0" w:color="auto"/>
        <w:right w:val="none" w:sz="0" w:space="0" w:color="auto"/>
      </w:divBdr>
    </w:div>
    <w:div w:id="1536498775">
      <w:bodyDiv w:val="1"/>
      <w:marLeft w:val="0"/>
      <w:marRight w:val="0"/>
      <w:marTop w:val="0"/>
      <w:marBottom w:val="0"/>
      <w:divBdr>
        <w:top w:val="none" w:sz="0" w:space="0" w:color="auto"/>
        <w:left w:val="none" w:sz="0" w:space="0" w:color="auto"/>
        <w:bottom w:val="none" w:sz="0" w:space="0" w:color="auto"/>
        <w:right w:val="none" w:sz="0" w:space="0" w:color="auto"/>
      </w:divBdr>
    </w:div>
    <w:div w:id="1675572047">
      <w:bodyDiv w:val="1"/>
      <w:marLeft w:val="0"/>
      <w:marRight w:val="0"/>
      <w:marTop w:val="0"/>
      <w:marBottom w:val="0"/>
      <w:divBdr>
        <w:top w:val="none" w:sz="0" w:space="0" w:color="auto"/>
        <w:left w:val="none" w:sz="0" w:space="0" w:color="auto"/>
        <w:bottom w:val="none" w:sz="0" w:space="0" w:color="auto"/>
        <w:right w:val="none" w:sz="0" w:space="0" w:color="auto"/>
      </w:divBdr>
    </w:div>
    <w:div w:id="192887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5651</Words>
  <Characters>32214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ceri johns</cp:lastModifiedBy>
  <cp:revision>18</cp:revision>
  <cp:lastPrinted>2024-12-02T11:02:00Z</cp:lastPrinted>
  <dcterms:created xsi:type="dcterms:W3CDTF">2024-11-20T13:54:00Z</dcterms:created>
  <dcterms:modified xsi:type="dcterms:W3CDTF">2024-12-03T13:43:00Z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zotero-version="7.0.10"&gt;&lt;session id="FXAO5X3f"/&gt;&lt;style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