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746CE" w:rsidP="00C746CE" w:rsidRDefault="00C746CE" w14:paraId="504C16D9" w14:textId="77777777"/>
    <w:p w:rsidR="00C746CE" w:rsidP="00C746CE" w:rsidRDefault="00C746CE" w14:paraId="121571A7" w14:textId="77777777"/>
    <w:p w:rsidRPr="00C746CE" w:rsidR="00C746CE" w:rsidP="00C746CE" w:rsidRDefault="00C746CE" w14:paraId="56B567E0" w14:textId="05371C65">
      <w:pPr>
        <w:jc w:val="center"/>
        <w:rPr>
          <w:b/>
          <w:bCs/>
          <w:sz w:val="48"/>
          <w:szCs w:val="48"/>
        </w:rPr>
      </w:pPr>
      <w:r w:rsidRPr="00DC33F0">
        <w:rPr>
          <w:b/>
          <w:bCs/>
          <w:sz w:val="48"/>
          <w:szCs w:val="48"/>
        </w:rPr>
        <w:t>University of Wales Trinity Saint David</w:t>
      </w:r>
    </w:p>
    <w:p w:rsidR="00C746CE" w:rsidP="00C746CE" w:rsidRDefault="00C746CE" w14:paraId="38FF3125" w14:textId="77777777"/>
    <w:p w:rsidR="00C746CE" w:rsidP="00C746CE" w:rsidRDefault="00C746CE" w14:paraId="310D2E03" w14:textId="77777777">
      <w:r>
        <w:rPr>
          <w:noProof/>
        </w:rPr>
        <w:drawing>
          <wp:anchor distT="0" distB="0" distL="114300" distR="114300" simplePos="0" relativeHeight="251659264" behindDoc="0" locked="0" layoutInCell="1" allowOverlap="1" wp14:anchorId="3072AF0E" wp14:editId="3AB27EE2">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746CE" w:rsidP="00C746CE" w:rsidRDefault="00C746CE" w14:paraId="61AAED33" w14:textId="77777777"/>
    <w:p w:rsidR="00C746CE" w:rsidP="00C746CE" w:rsidRDefault="00C746CE" w14:paraId="755A9BA2" w14:textId="77777777"/>
    <w:p w:rsidR="00C746CE" w:rsidP="00C746CE" w:rsidRDefault="00C746CE" w14:paraId="30119B73" w14:textId="77777777"/>
    <w:p w:rsidR="00C746CE" w:rsidP="00C746CE" w:rsidRDefault="00C746CE" w14:paraId="2E855F86" w14:textId="77777777"/>
    <w:p w:rsidR="00C746CE" w:rsidP="00C746CE" w:rsidRDefault="00C746CE" w14:paraId="4DAE5BDD" w14:textId="77777777"/>
    <w:p w:rsidR="00C746CE" w:rsidP="00C746CE" w:rsidRDefault="00C746CE" w14:paraId="3507125D" w14:textId="77777777"/>
    <w:p w:rsidR="00C746CE" w:rsidP="00C746CE" w:rsidRDefault="00C746CE" w14:paraId="6B5854E5" w14:textId="77777777"/>
    <w:p w:rsidR="00C746CE" w:rsidP="00C746CE" w:rsidRDefault="00C746CE" w14:paraId="36BDD099" w14:textId="77777777">
      <w:pPr>
        <w:jc w:val="center"/>
      </w:pPr>
    </w:p>
    <w:p w:rsidRPr="00DC33F0" w:rsidR="00C746CE" w:rsidP="00C746CE" w:rsidRDefault="00C746CE" w14:paraId="400C5359" w14:textId="77777777">
      <w:pPr>
        <w:spacing w:line="360" w:lineRule="auto"/>
        <w:rPr>
          <w:sz w:val="28"/>
          <w:szCs w:val="28"/>
        </w:rPr>
      </w:pPr>
      <w:r w:rsidRPr="00DC33F0">
        <w:rPr>
          <w:b/>
          <w:bCs/>
          <w:sz w:val="28"/>
          <w:szCs w:val="28"/>
        </w:rPr>
        <w:t>Program</w:t>
      </w:r>
      <w:r w:rsidRPr="00DC33F0">
        <w:rPr>
          <w:sz w:val="28"/>
          <w:szCs w:val="28"/>
        </w:rPr>
        <w:t>: Certificate of Higher Education Skills for the Workplace (Health and Social Care)</w:t>
      </w:r>
    </w:p>
    <w:p w:rsidR="00C746CE" w:rsidP="3D34603A" w:rsidRDefault="00C746CE" w14:paraId="33E65706" w14:textId="0F55E50F">
      <w:pPr>
        <w:spacing w:line="360" w:lineRule="auto"/>
        <w:rPr>
          <w:b w:val="0"/>
          <w:bCs w:val="0"/>
          <w:sz w:val="28"/>
          <w:szCs w:val="28"/>
          <w:lang w:val="en-GB"/>
        </w:rPr>
      </w:pPr>
      <w:r w:rsidRPr="3D34603A" w:rsidR="00C746CE">
        <w:rPr>
          <w:b w:val="1"/>
          <w:bCs w:val="1"/>
          <w:sz w:val="28"/>
          <w:szCs w:val="28"/>
          <w:lang w:val="en-GB"/>
        </w:rPr>
        <w:t>Title</w:t>
      </w:r>
      <w:r w:rsidRPr="3D34603A" w:rsidR="00C746CE">
        <w:rPr>
          <w:sz w:val="28"/>
          <w:szCs w:val="28"/>
          <w:lang w:val="en-GB"/>
        </w:rPr>
        <w:t xml:space="preserve">: </w:t>
      </w:r>
      <w:r w:rsidRPr="3D34603A" w:rsidR="00C746CE">
        <w:rPr>
          <w:sz w:val="28"/>
          <w:szCs w:val="28"/>
          <w:lang w:val="en-GB"/>
        </w:rPr>
        <w:t>Written Assignment</w:t>
      </w:r>
      <w:r>
        <w:br/>
      </w:r>
      <w:r w:rsidRPr="3D34603A" w:rsidR="00C746CE">
        <w:rPr>
          <w:b w:val="1"/>
          <w:bCs w:val="1"/>
          <w:sz w:val="28"/>
          <w:szCs w:val="28"/>
          <w:lang w:val="en-GB"/>
        </w:rPr>
        <w:t>Module</w:t>
      </w:r>
      <w:r w:rsidRPr="3D34603A" w:rsidR="00C746CE">
        <w:rPr>
          <w:sz w:val="28"/>
          <w:szCs w:val="28"/>
          <w:lang w:val="en-GB"/>
        </w:rPr>
        <w:t>: Introduction to Health and Social Care</w:t>
      </w:r>
      <w:r>
        <w:br/>
      </w:r>
      <w:r w:rsidRPr="3D34603A" w:rsidR="00C746CE">
        <w:rPr>
          <w:b w:val="1"/>
          <w:bCs w:val="1"/>
          <w:sz w:val="28"/>
          <w:szCs w:val="28"/>
          <w:lang w:val="en-GB"/>
        </w:rPr>
        <w:t>Name of Student:</w:t>
      </w:r>
      <w:r w:rsidRPr="3D34603A" w:rsidR="0717583A">
        <w:rPr>
          <w:b w:val="1"/>
          <w:bCs w:val="1"/>
          <w:sz w:val="28"/>
          <w:szCs w:val="28"/>
          <w:lang w:val="en-GB"/>
        </w:rPr>
        <w:t xml:space="preserve"> </w:t>
      </w:r>
      <w:r w:rsidRPr="3D34603A" w:rsidR="0717583A">
        <w:rPr>
          <w:b w:val="0"/>
          <w:bCs w:val="0"/>
          <w:sz w:val="28"/>
          <w:szCs w:val="28"/>
          <w:lang w:val="en-GB"/>
        </w:rPr>
        <w:t>Mazaffar</w:t>
      </w:r>
      <w:r w:rsidRPr="3D34603A" w:rsidR="0717583A">
        <w:rPr>
          <w:b w:val="0"/>
          <w:bCs w:val="0"/>
          <w:sz w:val="28"/>
          <w:szCs w:val="28"/>
          <w:lang w:val="en-GB"/>
        </w:rPr>
        <w:t xml:space="preserve"> Hussain</w:t>
      </w:r>
    </w:p>
    <w:p w:rsidRPr="00DC33F0" w:rsidR="00C746CE" w:rsidP="3D34603A" w:rsidRDefault="00C746CE" w14:paraId="26A544EB" w14:textId="5C717987">
      <w:pPr>
        <w:spacing w:line="360" w:lineRule="auto"/>
        <w:rPr>
          <w:b w:val="0"/>
          <w:bCs w:val="0"/>
          <w:sz w:val="28"/>
          <w:szCs w:val="28"/>
        </w:rPr>
      </w:pPr>
      <w:r w:rsidRPr="3D34603A" w:rsidR="00C746CE">
        <w:rPr>
          <w:b w:val="1"/>
          <w:bCs w:val="1"/>
          <w:sz w:val="28"/>
          <w:szCs w:val="28"/>
        </w:rPr>
        <w:t>Student ID:</w:t>
      </w:r>
      <w:r w:rsidRPr="3D34603A" w:rsidR="1344A941">
        <w:rPr>
          <w:b w:val="1"/>
          <w:bCs w:val="1"/>
          <w:sz w:val="28"/>
          <w:szCs w:val="28"/>
        </w:rPr>
        <w:t xml:space="preserve"> </w:t>
      </w:r>
      <w:r w:rsidRPr="3D34603A" w:rsidR="1344A941">
        <w:rPr>
          <w:b w:val="0"/>
          <w:bCs w:val="0"/>
          <w:sz w:val="28"/>
          <w:szCs w:val="28"/>
        </w:rPr>
        <w:t>2512318</w:t>
      </w:r>
    </w:p>
    <w:p w:rsidR="00C746CE" w:rsidP="00C746CE" w:rsidRDefault="00C746CE" w14:paraId="2D51A6A4" w14:textId="77C1759C">
      <w:pPr>
        <w:spacing w:line="360" w:lineRule="auto"/>
      </w:pPr>
      <w:r w:rsidRPr="3D34603A" w:rsidR="00C746CE">
        <w:rPr>
          <w:b w:val="1"/>
          <w:bCs w:val="1"/>
          <w:sz w:val="28"/>
          <w:szCs w:val="28"/>
        </w:rPr>
        <w:t>Lecturer Name</w:t>
      </w:r>
      <w:r w:rsidRPr="3D34603A" w:rsidR="00C746CE">
        <w:rPr>
          <w:sz w:val="28"/>
          <w:szCs w:val="28"/>
        </w:rPr>
        <w:t xml:space="preserve">: </w:t>
      </w:r>
      <w:r w:rsidRPr="3D34603A" w:rsidR="053296F4">
        <w:rPr>
          <w:sz w:val="28"/>
          <w:szCs w:val="28"/>
        </w:rPr>
        <w:t>Wafa Nasir</w:t>
      </w:r>
      <w:r>
        <w:br/>
      </w:r>
    </w:p>
    <w:p w:rsidR="00A8282B" w:rsidRDefault="00A8282B" w14:paraId="08B1FE9C" w14:textId="77777777"/>
    <w:p w:rsidR="00C746CE" w:rsidRDefault="00C746CE" w14:paraId="497093A2" w14:textId="77777777"/>
    <w:p w:rsidR="00C746CE" w:rsidRDefault="00C746CE" w14:paraId="2D32AF57" w14:textId="77777777"/>
    <w:p w:rsidR="00C746CE" w:rsidRDefault="00C746CE" w14:paraId="41D74060" w14:textId="77777777"/>
    <w:p w:rsidR="00C746CE" w:rsidRDefault="00C746CE" w14:paraId="3DD722CF" w14:textId="77777777"/>
    <w:sdt>
      <w:sdtPr>
        <w:id w:val="1893916827"/>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US"/>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US"/>
        </w:rPr>
      </w:sdtEndPr>
      <w:sdtContent>
        <w:p w:rsidR="00C746CE" w:rsidP="00C746CE" w:rsidRDefault="00C746CE" w14:paraId="08A62302" w14:textId="77777777">
          <w:pPr>
            <w:pStyle w:val="TOCHeading"/>
            <w:spacing w:line="360" w:lineRule="auto"/>
          </w:pPr>
          <w:r>
            <w:t>Table of Contents</w:t>
          </w:r>
        </w:p>
        <w:p w:rsidR="00A27D49" w:rsidRDefault="00C746CE" w14:paraId="00D14C7D" w14:textId="43AED0A3">
          <w:pPr>
            <w:pStyle w:val="TOC2"/>
            <w:tabs>
              <w:tab w:val="left" w:pos="720"/>
              <w:tab w:val="right" w:leader="dot" w:pos="9016"/>
            </w:tabs>
            <w:rPr>
              <w:rFonts w:eastAsiaTheme="minorEastAsia"/>
              <w:noProof/>
              <w:lang w:eastAsia="en-PK"/>
            </w:rPr>
          </w:pPr>
          <w:r>
            <w:fldChar w:fldCharType="begin"/>
          </w:r>
          <w:r>
            <w:instrText xml:space="preserve"> TOC \o "1-3" \h \z \u </w:instrText>
          </w:r>
          <w:r>
            <w:fldChar w:fldCharType="separate"/>
          </w:r>
          <w:hyperlink w:history="1" w:anchor="_Toc222774178">
            <w:r w:rsidRPr="00FF0C97" w:rsidR="00A27D49">
              <w:rPr>
                <w:rStyle w:val="Hyperlink"/>
                <w:noProof/>
              </w:rPr>
              <w:t>1.</w:t>
            </w:r>
            <w:r w:rsidR="00A27D49">
              <w:rPr>
                <w:rFonts w:eastAsiaTheme="minorEastAsia"/>
                <w:noProof/>
                <w:lang w:eastAsia="en-PK"/>
              </w:rPr>
              <w:tab/>
            </w:r>
            <w:r w:rsidRPr="00FF0C97" w:rsidR="00A27D49">
              <w:rPr>
                <w:rStyle w:val="Hyperlink"/>
                <w:noProof/>
              </w:rPr>
              <w:t>Introduction</w:t>
            </w:r>
            <w:r w:rsidR="00A27D49">
              <w:rPr>
                <w:noProof/>
                <w:webHidden/>
              </w:rPr>
              <w:tab/>
            </w:r>
            <w:r w:rsidR="00A27D49">
              <w:rPr>
                <w:noProof/>
                <w:webHidden/>
              </w:rPr>
              <w:fldChar w:fldCharType="begin"/>
            </w:r>
            <w:r w:rsidR="00A27D49">
              <w:rPr>
                <w:noProof/>
                <w:webHidden/>
              </w:rPr>
              <w:instrText xml:space="preserve"> PAGEREF _Toc222774178 \h </w:instrText>
            </w:r>
            <w:r w:rsidR="00A27D49">
              <w:rPr>
                <w:noProof/>
                <w:webHidden/>
              </w:rPr>
            </w:r>
            <w:r w:rsidR="00A27D49">
              <w:rPr>
                <w:noProof/>
                <w:webHidden/>
              </w:rPr>
              <w:fldChar w:fldCharType="separate"/>
            </w:r>
            <w:r w:rsidR="00A27D49">
              <w:rPr>
                <w:noProof/>
                <w:webHidden/>
              </w:rPr>
              <w:t>3</w:t>
            </w:r>
            <w:r w:rsidR="00A27D49">
              <w:rPr>
                <w:noProof/>
                <w:webHidden/>
              </w:rPr>
              <w:fldChar w:fldCharType="end"/>
            </w:r>
          </w:hyperlink>
        </w:p>
        <w:p w:rsidR="00A27D49" w:rsidRDefault="00A27D49" w14:paraId="787004E3" w14:textId="64B87CF6">
          <w:pPr>
            <w:pStyle w:val="TOC2"/>
            <w:tabs>
              <w:tab w:val="left" w:pos="720"/>
              <w:tab w:val="right" w:leader="dot" w:pos="9016"/>
            </w:tabs>
            <w:rPr>
              <w:rFonts w:eastAsiaTheme="minorEastAsia"/>
              <w:noProof/>
              <w:lang w:eastAsia="en-PK"/>
            </w:rPr>
          </w:pPr>
          <w:hyperlink w:history="1" w:anchor="_Toc222774179">
            <w:r w:rsidRPr="00FF0C97">
              <w:rPr>
                <w:rStyle w:val="Hyperlink"/>
                <w:noProof/>
              </w:rPr>
              <w:t>2.</w:t>
            </w:r>
            <w:r>
              <w:rPr>
                <w:rFonts w:eastAsiaTheme="minorEastAsia"/>
                <w:noProof/>
                <w:lang w:eastAsia="en-PK"/>
              </w:rPr>
              <w:tab/>
            </w:r>
            <w:r w:rsidRPr="00FF0C97">
              <w:rPr>
                <w:rStyle w:val="Hyperlink"/>
                <w:noProof/>
              </w:rPr>
              <w:t>Importance of Effective Communication in Mr Ahmed’s Care</w:t>
            </w:r>
            <w:r>
              <w:rPr>
                <w:noProof/>
                <w:webHidden/>
              </w:rPr>
              <w:tab/>
            </w:r>
            <w:r>
              <w:rPr>
                <w:noProof/>
                <w:webHidden/>
              </w:rPr>
              <w:fldChar w:fldCharType="begin"/>
            </w:r>
            <w:r>
              <w:rPr>
                <w:noProof/>
                <w:webHidden/>
              </w:rPr>
              <w:instrText xml:space="preserve"> PAGEREF _Toc222774179 \h </w:instrText>
            </w:r>
            <w:r>
              <w:rPr>
                <w:noProof/>
                <w:webHidden/>
              </w:rPr>
            </w:r>
            <w:r>
              <w:rPr>
                <w:noProof/>
                <w:webHidden/>
              </w:rPr>
              <w:fldChar w:fldCharType="separate"/>
            </w:r>
            <w:r>
              <w:rPr>
                <w:noProof/>
                <w:webHidden/>
              </w:rPr>
              <w:t>3</w:t>
            </w:r>
            <w:r>
              <w:rPr>
                <w:noProof/>
                <w:webHidden/>
              </w:rPr>
              <w:fldChar w:fldCharType="end"/>
            </w:r>
          </w:hyperlink>
        </w:p>
        <w:p w:rsidR="00A27D49" w:rsidRDefault="00A27D49" w14:paraId="7C78827B" w14:textId="2DA1ACAA">
          <w:pPr>
            <w:pStyle w:val="TOC3"/>
            <w:tabs>
              <w:tab w:val="left" w:pos="960"/>
              <w:tab w:val="right" w:leader="dot" w:pos="9016"/>
            </w:tabs>
            <w:rPr>
              <w:rFonts w:eastAsiaTheme="minorEastAsia"/>
              <w:noProof/>
              <w:lang w:eastAsia="en-PK"/>
            </w:rPr>
          </w:pPr>
          <w:hyperlink w:history="1" w:anchor="_Toc222774180">
            <w:r w:rsidRPr="00FF0C97">
              <w:rPr>
                <w:rStyle w:val="Hyperlink"/>
                <w:noProof/>
              </w:rPr>
              <w:t>I.</w:t>
            </w:r>
            <w:r>
              <w:rPr>
                <w:rFonts w:eastAsiaTheme="minorEastAsia"/>
                <w:noProof/>
                <w:lang w:eastAsia="en-PK"/>
              </w:rPr>
              <w:tab/>
            </w:r>
            <w:r w:rsidRPr="00FF0C97">
              <w:rPr>
                <w:rStyle w:val="Hyperlink"/>
                <w:noProof/>
              </w:rPr>
              <w:t>Application of Equality Act 2010</w:t>
            </w:r>
            <w:r>
              <w:rPr>
                <w:noProof/>
                <w:webHidden/>
              </w:rPr>
              <w:tab/>
            </w:r>
            <w:r>
              <w:rPr>
                <w:noProof/>
                <w:webHidden/>
              </w:rPr>
              <w:fldChar w:fldCharType="begin"/>
            </w:r>
            <w:r>
              <w:rPr>
                <w:noProof/>
                <w:webHidden/>
              </w:rPr>
              <w:instrText xml:space="preserve"> PAGEREF _Toc222774180 \h </w:instrText>
            </w:r>
            <w:r>
              <w:rPr>
                <w:noProof/>
                <w:webHidden/>
              </w:rPr>
            </w:r>
            <w:r>
              <w:rPr>
                <w:noProof/>
                <w:webHidden/>
              </w:rPr>
              <w:fldChar w:fldCharType="separate"/>
            </w:r>
            <w:r>
              <w:rPr>
                <w:noProof/>
                <w:webHidden/>
              </w:rPr>
              <w:t>4</w:t>
            </w:r>
            <w:r>
              <w:rPr>
                <w:noProof/>
                <w:webHidden/>
              </w:rPr>
              <w:fldChar w:fldCharType="end"/>
            </w:r>
          </w:hyperlink>
        </w:p>
        <w:p w:rsidR="00A27D49" w:rsidRDefault="00A27D49" w14:paraId="3632A464" w14:textId="28CD1A9B">
          <w:pPr>
            <w:pStyle w:val="TOC2"/>
            <w:tabs>
              <w:tab w:val="left" w:pos="720"/>
              <w:tab w:val="right" w:leader="dot" w:pos="9016"/>
            </w:tabs>
            <w:rPr>
              <w:rFonts w:eastAsiaTheme="minorEastAsia"/>
              <w:noProof/>
              <w:lang w:eastAsia="en-PK"/>
            </w:rPr>
          </w:pPr>
          <w:hyperlink w:history="1" w:anchor="_Toc222774181">
            <w:r w:rsidRPr="00FF0C97">
              <w:rPr>
                <w:rStyle w:val="Hyperlink"/>
                <w:noProof/>
              </w:rPr>
              <w:t>3.</w:t>
            </w:r>
            <w:r>
              <w:rPr>
                <w:rFonts w:eastAsiaTheme="minorEastAsia"/>
                <w:noProof/>
                <w:lang w:eastAsia="en-PK"/>
              </w:rPr>
              <w:tab/>
            </w:r>
            <w:r w:rsidRPr="00FF0C97">
              <w:rPr>
                <w:rStyle w:val="Hyperlink"/>
                <w:noProof/>
              </w:rPr>
              <w:t>Importance of Good Administrative Skills</w:t>
            </w:r>
            <w:r>
              <w:rPr>
                <w:noProof/>
                <w:webHidden/>
              </w:rPr>
              <w:tab/>
            </w:r>
            <w:r>
              <w:rPr>
                <w:noProof/>
                <w:webHidden/>
              </w:rPr>
              <w:fldChar w:fldCharType="begin"/>
            </w:r>
            <w:r>
              <w:rPr>
                <w:noProof/>
                <w:webHidden/>
              </w:rPr>
              <w:instrText xml:space="preserve"> PAGEREF _Toc222774181 \h </w:instrText>
            </w:r>
            <w:r>
              <w:rPr>
                <w:noProof/>
                <w:webHidden/>
              </w:rPr>
            </w:r>
            <w:r>
              <w:rPr>
                <w:noProof/>
                <w:webHidden/>
              </w:rPr>
              <w:fldChar w:fldCharType="separate"/>
            </w:r>
            <w:r>
              <w:rPr>
                <w:noProof/>
                <w:webHidden/>
              </w:rPr>
              <w:t>5</w:t>
            </w:r>
            <w:r>
              <w:rPr>
                <w:noProof/>
                <w:webHidden/>
              </w:rPr>
              <w:fldChar w:fldCharType="end"/>
            </w:r>
          </w:hyperlink>
        </w:p>
        <w:p w:rsidR="00A27D49" w:rsidRDefault="00A27D49" w14:paraId="4FD965F8" w14:textId="2A871254">
          <w:pPr>
            <w:pStyle w:val="TOC3"/>
            <w:tabs>
              <w:tab w:val="left" w:pos="960"/>
              <w:tab w:val="right" w:leader="dot" w:pos="9016"/>
            </w:tabs>
            <w:rPr>
              <w:rFonts w:eastAsiaTheme="minorEastAsia"/>
              <w:noProof/>
              <w:lang w:eastAsia="en-PK"/>
            </w:rPr>
          </w:pPr>
          <w:hyperlink w:history="1" w:anchor="_Toc222774182">
            <w:r w:rsidRPr="00FF0C97">
              <w:rPr>
                <w:rStyle w:val="Hyperlink"/>
                <w:noProof/>
              </w:rPr>
              <w:t>I.</w:t>
            </w:r>
            <w:r>
              <w:rPr>
                <w:rFonts w:eastAsiaTheme="minorEastAsia"/>
                <w:noProof/>
                <w:lang w:eastAsia="en-PK"/>
              </w:rPr>
              <w:tab/>
            </w:r>
            <w:r w:rsidRPr="00FF0C97">
              <w:rPr>
                <w:rStyle w:val="Hyperlink"/>
                <w:noProof/>
              </w:rPr>
              <w:t>Application of Data Protection Act 2018</w:t>
            </w:r>
            <w:r>
              <w:rPr>
                <w:noProof/>
                <w:webHidden/>
              </w:rPr>
              <w:tab/>
            </w:r>
            <w:r>
              <w:rPr>
                <w:noProof/>
                <w:webHidden/>
              </w:rPr>
              <w:fldChar w:fldCharType="begin"/>
            </w:r>
            <w:r>
              <w:rPr>
                <w:noProof/>
                <w:webHidden/>
              </w:rPr>
              <w:instrText xml:space="preserve"> PAGEREF _Toc222774182 \h </w:instrText>
            </w:r>
            <w:r>
              <w:rPr>
                <w:noProof/>
                <w:webHidden/>
              </w:rPr>
            </w:r>
            <w:r>
              <w:rPr>
                <w:noProof/>
                <w:webHidden/>
              </w:rPr>
              <w:fldChar w:fldCharType="separate"/>
            </w:r>
            <w:r>
              <w:rPr>
                <w:noProof/>
                <w:webHidden/>
              </w:rPr>
              <w:t>5</w:t>
            </w:r>
            <w:r>
              <w:rPr>
                <w:noProof/>
                <w:webHidden/>
              </w:rPr>
              <w:fldChar w:fldCharType="end"/>
            </w:r>
          </w:hyperlink>
        </w:p>
        <w:p w:rsidR="00A27D49" w:rsidRDefault="00A27D49" w14:paraId="6229CC89" w14:textId="4021F6D7">
          <w:pPr>
            <w:pStyle w:val="TOC2"/>
            <w:tabs>
              <w:tab w:val="left" w:pos="720"/>
              <w:tab w:val="right" w:leader="dot" w:pos="9016"/>
            </w:tabs>
            <w:rPr>
              <w:rFonts w:eastAsiaTheme="minorEastAsia"/>
              <w:noProof/>
              <w:lang w:eastAsia="en-PK"/>
            </w:rPr>
          </w:pPr>
          <w:hyperlink w:history="1" w:anchor="_Toc222774183">
            <w:r w:rsidRPr="00FF0C97">
              <w:rPr>
                <w:rStyle w:val="Hyperlink"/>
                <w:noProof/>
              </w:rPr>
              <w:t>4.</w:t>
            </w:r>
            <w:r>
              <w:rPr>
                <w:rFonts w:eastAsiaTheme="minorEastAsia"/>
                <w:noProof/>
                <w:lang w:eastAsia="en-PK"/>
              </w:rPr>
              <w:tab/>
            </w:r>
            <w:r w:rsidRPr="00FF0C97">
              <w:rPr>
                <w:rStyle w:val="Hyperlink"/>
                <w:noProof/>
              </w:rPr>
              <w:t>Importance of Collaborative Working in Mr Ahmed’s Care</w:t>
            </w:r>
            <w:r>
              <w:rPr>
                <w:noProof/>
                <w:webHidden/>
              </w:rPr>
              <w:tab/>
            </w:r>
            <w:r>
              <w:rPr>
                <w:noProof/>
                <w:webHidden/>
              </w:rPr>
              <w:fldChar w:fldCharType="begin"/>
            </w:r>
            <w:r>
              <w:rPr>
                <w:noProof/>
                <w:webHidden/>
              </w:rPr>
              <w:instrText xml:space="preserve"> PAGEREF _Toc222774183 \h </w:instrText>
            </w:r>
            <w:r>
              <w:rPr>
                <w:noProof/>
                <w:webHidden/>
              </w:rPr>
            </w:r>
            <w:r>
              <w:rPr>
                <w:noProof/>
                <w:webHidden/>
              </w:rPr>
              <w:fldChar w:fldCharType="separate"/>
            </w:r>
            <w:r>
              <w:rPr>
                <w:noProof/>
                <w:webHidden/>
              </w:rPr>
              <w:t>6</w:t>
            </w:r>
            <w:r>
              <w:rPr>
                <w:noProof/>
                <w:webHidden/>
              </w:rPr>
              <w:fldChar w:fldCharType="end"/>
            </w:r>
          </w:hyperlink>
        </w:p>
        <w:p w:rsidR="00A27D49" w:rsidRDefault="00A27D49" w14:paraId="78987DC1" w14:textId="2213ABF3">
          <w:pPr>
            <w:pStyle w:val="TOC2"/>
            <w:tabs>
              <w:tab w:val="left" w:pos="720"/>
              <w:tab w:val="right" w:leader="dot" w:pos="9016"/>
            </w:tabs>
            <w:rPr>
              <w:rFonts w:eastAsiaTheme="minorEastAsia"/>
              <w:noProof/>
              <w:lang w:eastAsia="en-PK"/>
            </w:rPr>
          </w:pPr>
          <w:hyperlink w:history="1" w:anchor="_Toc222774184">
            <w:r w:rsidRPr="00FF0C97">
              <w:rPr>
                <w:rStyle w:val="Hyperlink"/>
                <w:noProof/>
              </w:rPr>
              <w:t>5.</w:t>
            </w:r>
            <w:r>
              <w:rPr>
                <w:rFonts w:eastAsiaTheme="minorEastAsia"/>
                <w:noProof/>
                <w:lang w:eastAsia="en-PK"/>
              </w:rPr>
              <w:tab/>
            </w:r>
            <w:r w:rsidRPr="00FF0C97">
              <w:rPr>
                <w:rStyle w:val="Hyperlink"/>
                <w:noProof/>
              </w:rPr>
              <w:t>Conclusion</w:t>
            </w:r>
            <w:r>
              <w:rPr>
                <w:noProof/>
                <w:webHidden/>
              </w:rPr>
              <w:tab/>
            </w:r>
            <w:r>
              <w:rPr>
                <w:noProof/>
                <w:webHidden/>
              </w:rPr>
              <w:fldChar w:fldCharType="begin"/>
            </w:r>
            <w:r>
              <w:rPr>
                <w:noProof/>
                <w:webHidden/>
              </w:rPr>
              <w:instrText xml:space="preserve"> PAGEREF _Toc222774184 \h </w:instrText>
            </w:r>
            <w:r>
              <w:rPr>
                <w:noProof/>
                <w:webHidden/>
              </w:rPr>
            </w:r>
            <w:r>
              <w:rPr>
                <w:noProof/>
                <w:webHidden/>
              </w:rPr>
              <w:fldChar w:fldCharType="separate"/>
            </w:r>
            <w:r>
              <w:rPr>
                <w:noProof/>
                <w:webHidden/>
              </w:rPr>
              <w:t>7</w:t>
            </w:r>
            <w:r>
              <w:rPr>
                <w:noProof/>
                <w:webHidden/>
              </w:rPr>
              <w:fldChar w:fldCharType="end"/>
            </w:r>
          </w:hyperlink>
        </w:p>
        <w:p w:rsidR="00A27D49" w:rsidRDefault="00A27D49" w14:paraId="0D1D5B17" w14:textId="267D560F">
          <w:pPr>
            <w:pStyle w:val="TOC2"/>
            <w:tabs>
              <w:tab w:val="left" w:pos="720"/>
              <w:tab w:val="right" w:leader="dot" w:pos="9016"/>
            </w:tabs>
            <w:rPr>
              <w:rFonts w:eastAsiaTheme="minorEastAsia"/>
              <w:noProof/>
              <w:lang w:eastAsia="en-PK"/>
            </w:rPr>
          </w:pPr>
          <w:hyperlink w:history="1" w:anchor="_Toc222774185">
            <w:r w:rsidRPr="00FF0C97">
              <w:rPr>
                <w:rStyle w:val="Hyperlink"/>
                <w:noProof/>
              </w:rPr>
              <w:t>6.</w:t>
            </w:r>
            <w:r>
              <w:rPr>
                <w:rFonts w:eastAsiaTheme="minorEastAsia"/>
                <w:noProof/>
                <w:lang w:eastAsia="en-PK"/>
              </w:rPr>
              <w:tab/>
            </w:r>
            <w:r w:rsidRPr="00FF0C97">
              <w:rPr>
                <w:rStyle w:val="Hyperlink"/>
                <w:noProof/>
              </w:rPr>
              <w:t>References</w:t>
            </w:r>
            <w:r>
              <w:rPr>
                <w:noProof/>
                <w:webHidden/>
              </w:rPr>
              <w:tab/>
            </w:r>
            <w:r>
              <w:rPr>
                <w:noProof/>
                <w:webHidden/>
              </w:rPr>
              <w:fldChar w:fldCharType="begin"/>
            </w:r>
            <w:r>
              <w:rPr>
                <w:noProof/>
                <w:webHidden/>
              </w:rPr>
              <w:instrText xml:space="preserve"> PAGEREF _Toc222774185 \h </w:instrText>
            </w:r>
            <w:r>
              <w:rPr>
                <w:noProof/>
                <w:webHidden/>
              </w:rPr>
            </w:r>
            <w:r>
              <w:rPr>
                <w:noProof/>
                <w:webHidden/>
              </w:rPr>
              <w:fldChar w:fldCharType="separate"/>
            </w:r>
            <w:r>
              <w:rPr>
                <w:noProof/>
                <w:webHidden/>
              </w:rPr>
              <w:t>8</w:t>
            </w:r>
            <w:r>
              <w:rPr>
                <w:noProof/>
                <w:webHidden/>
              </w:rPr>
              <w:fldChar w:fldCharType="end"/>
            </w:r>
          </w:hyperlink>
        </w:p>
        <w:p w:rsidR="00C746CE" w:rsidP="00C746CE" w:rsidRDefault="00C746CE" w14:paraId="195F8D33" w14:textId="3A3C2C24">
          <w:pPr>
            <w:spacing w:line="360" w:lineRule="auto"/>
          </w:pPr>
          <w:r>
            <w:rPr>
              <w:b/>
              <w:bCs/>
              <w:noProof/>
            </w:rPr>
            <w:fldChar w:fldCharType="end"/>
          </w:r>
        </w:p>
      </w:sdtContent>
    </w:sdt>
    <w:p w:rsidR="00C746CE" w:rsidP="00C746CE" w:rsidRDefault="00C746CE" w14:paraId="01B89E32" w14:textId="77777777">
      <w:pPr>
        <w:pStyle w:val="Heading2"/>
        <w:spacing w:line="360" w:lineRule="auto"/>
      </w:pPr>
    </w:p>
    <w:p w:rsidR="00C746CE" w:rsidP="00C746CE" w:rsidRDefault="00C746CE" w14:paraId="22998E47" w14:textId="77777777">
      <w:pPr>
        <w:spacing w:line="360" w:lineRule="auto"/>
        <w:rPr>
          <w:rFonts w:asciiTheme="majorHAnsi" w:hAnsiTheme="majorHAnsi" w:eastAsiaTheme="majorEastAsia" w:cstheme="majorBidi"/>
          <w:color w:val="0F4761" w:themeColor="accent1" w:themeShade="BF"/>
          <w:sz w:val="32"/>
          <w:szCs w:val="32"/>
        </w:rPr>
      </w:pPr>
      <w:r>
        <w:br w:type="page"/>
      </w:r>
    </w:p>
    <w:p w:rsidRPr="00513C55" w:rsidR="00C746CE" w:rsidP="00C746CE" w:rsidRDefault="00C746CE" w14:paraId="77F3F06A" w14:textId="77777777">
      <w:pPr>
        <w:pStyle w:val="Heading2"/>
        <w:numPr>
          <w:ilvl w:val="0"/>
          <w:numId w:val="4"/>
        </w:numPr>
        <w:tabs>
          <w:tab w:val="num" w:pos="360"/>
        </w:tabs>
        <w:spacing w:line="360" w:lineRule="auto"/>
        <w:ind w:left="0" w:firstLine="0"/>
      </w:pPr>
      <w:bookmarkStart w:name="_Toc222774178" w:id="0"/>
      <w:r w:rsidRPr="00513C55">
        <w:lastRenderedPageBreak/>
        <w:t>Introduction</w:t>
      </w:r>
      <w:bookmarkEnd w:id="0"/>
    </w:p>
    <w:p w:rsidRPr="00513C55" w:rsidR="00C746CE" w:rsidP="00C746CE" w:rsidRDefault="00C746CE" w14:paraId="645B134F" w14:textId="77777777">
      <w:pPr>
        <w:spacing w:line="360" w:lineRule="auto"/>
        <w:jc w:val="both"/>
        <w:rPr>
          <w:rFonts w:ascii="Arial" w:hAnsi="Arial" w:cs="Arial"/>
          <w:sz w:val="22"/>
          <w:szCs w:val="22"/>
        </w:rPr>
      </w:pPr>
      <w:r w:rsidRPr="00513C55">
        <w:rPr>
          <w:rFonts w:ascii="Arial" w:hAnsi="Arial" w:cs="Arial"/>
          <w:sz w:val="22"/>
          <w:szCs w:val="22"/>
        </w:rPr>
        <w:t xml:space="preserve">Good communication, appropriate administration practice and group working are fundamental elements of providing safe and person-centred care of health and social care environments. The case that is in the spotlight of this report is that of Mr Ahmed who is a </w:t>
      </w:r>
      <w:proofErr w:type="gramStart"/>
      <w:r w:rsidRPr="00513C55">
        <w:rPr>
          <w:rFonts w:ascii="Arial" w:hAnsi="Arial" w:cs="Arial"/>
          <w:sz w:val="22"/>
          <w:szCs w:val="22"/>
        </w:rPr>
        <w:t>68 year old</w:t>
      </w:r>
      <w:proofErr w:type="gramEnd"/>
      <w:r w:rsidRPr="00513C55">
        <w:rPr>
          <w:rFonts w:ascii="Arial" w:hAnsi="Arial" w:cs="Arial"/>
          <w:sz w:val="22"/>
          <w:szCs w:val="22"/>
        </w:rPr>
        <w:t xml:space="preserve"> man, who had recently been discharged after being hospitalized due to a stroke. Among other things, Mr Ahmed needs domiciliary care to help him with personal care, medication administration and meal preparation three times per day because of his condition. His care includes a multidisciplinary team of his GP, district nurse, domiciliary care workers and a speech and language therapist. Nonetheless, communication and service delivery have been questioned by difficulties like language barrier and a home visit that was missed recently leading to late medication. This report will address the essence of good communication in the care of Mr Ahmed, importance of good administrative skills such as keeping of the records and security of the data and importance of working with others in helping him to recover and live in the community.</w:t>
      </w:r>
    </w:p>
    <w:p w:rsidRPr="00513C55" w:rsidR="00C746CE" w:rsidP="00C746CE" w:rsidRDefault="00C746CE" w14:paraId="1500A0D5" w14:textId="77777777">
      <w:pPr>
        <w:spacing w:line="360" w:lineRule="auto"/>
        <w:jc w:val="both"/>
        <w:rPr>
          <w:rFonts w:ascii="Arial" w:hAnsi="Arial" w:cs="Arial"/>
          <w:sz w:val="22"/>
          <w:szCs w:val="22"/>
        </w:rPr>
      </w:pPr>
    </w:p>
    <w:p w:rsidRPr="00CD4672" w:rsidR="00C746CE" w:rsidP="00CD4672" w:rsidRDefault="00C746CE" w14:paraId="6F3DB4AA" w14:textId="5448CA35">
      <w:pPr>
        <w:pStyle w:val="Heading2"/>
        <w:numPr>
          <w:ilvl w:val="0"/>
          <w:numId w:val="4"/>
        </w:numPr>
        <w:tabs>
          <w:tab w:val="num" w:pos="360"/>
        </w:tabs>
        <w:spacing w:line="360" w:lineRule="auto"/>
        <w:ind w:left="0" w:firstLine="0"/>
      </w:pPr>
      <w:bookmarkStart w:name="_Toc222774179" w:id="1"/>
      <w:r w:rsidRPr="00513C55">
        <w:t>Importance of Effective Communication in Mr Ahmed’s Care</w:t>
      </w:r>
      <w:bookmarkEnd w:id="1"/>
    </w:p>
    <w:p w:rsidR="00C746CE" w:rsidP="00C746CE" w:rsidRDefault="00C746CE" w14:paraId="2D48DA71" w14:textId="53E8E048">
      <w:pPr>
        <w:spacing w:line="360" w:lineRule="auto"/>
        <w:jc w:val="both"/>
        <w:rPr>
          <w:rFonts w:ascii="Arial" w:hAnsi="Arial" w:cs="Arial"/>
          <w:sz w:val="22"/>
          <w:szCs w:val="22"/>
        </w:rPr>
      </w:pPr>
      <w:r w:rsidRPr="00513C55">
        <w:rPr>
          <w:rFonts w:ascii="Arial" w:hAnsi="Arial" w:cs="Arial"/>
          <w:sz w:val="22"/>
          <w:szCs w:val="22"/>
        </w:rPr>
        <w:t xml:space="preserve">Effective communication will be critical in ensuring that Mr Ahmed is provided with safe, high quality, and </w:t>
      </w:r>
      <w:r w:rsidRPr="00513C55" w:rsidR="00891734">
        <w:rPr>
          <w:rFonts w:ascii="Arial" w:hAnsi="Arial" w:cs="Arial"/>
          <w:sz w:val="22"/>
          <w:szCs w:val="22"/>
        </w:rPr>
        <w:t>person-centred</w:t>
      </w:r>
      <w:r w:rsidRPr="00513C55">
        <w:rPr>
          <w:rFonts w:ascii="Arial" w:hAnsi="Arial" w:cs="Arial"/>
          <w:sz w:val="22"/>
          <w:szCs w:val="22"/>
        </w:rPr>
        <w:t xml:space="preserve"> care. He also has issues with his communication after his stroke, where he speaks Bengali as the first language which poses a problem during the communication with health and social care professionals. To address his needs appropriately, the professionals should adjust their communications in such a way that he is able to learn about the details on his medication, therapy sessions and self-care. </w:t>
      </w:r>
    </w:p>
    <w:p w:rsidR="00891734" w:rsidP="00891734" w:rsidRDefault="00891734" w14:paraId="7DF86751" w14:textId="4317B51D">
      <w:pPr>
        <w:spacing w:line="360" w:lineRule="auto"/>
        <w:jc w:val="center"/>
        <w:rPr>
          <w:rFonts w:ascii="Arial" w:hAnsi="Arial" w:cs="Arial"/>
          <w:sz w:val="22"/>
          <w:szCs w:val="22"/>
        </w:rPr>
      </w:pPr>
      <w:r w:rsidRPr="00891734">
        <w:rPr>
          <w:rFonts w:ascii="Arial" w:hAnsi="Arial" w:cs="Arial"/>
          <w:sz w:val="22"/>
          <w:szCs w:val="22"/>
        </w:rPr>
        <w:drawing>
          <wp:inline distT="0" distB="0" distL="0" distR="0" wp14:anchorId="7F8BE9DB" wp14:editId="3E9D1483">
            <wp:extent cx="3746500" cy="2127250"/>
            <wp:effectExtent l="0" t="0" r="6350" b="6350"/>
            <wp:docPr id="29657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77051" name=""/>
                    <pic:cNvPicPr/>
                  </pic:nvPicPr>
                  <pic:blipFill>
                    <a:blip r:embed="rId6"/>
                    <a:stretch>
                      <a:fillRect/>
                    </a:stretch>
                  </pic:blipFill>
                  <pic:spPr>
                    <a:xfrm>
                      <a:off x="0" y="0"/>
                      <a:ext cx="3746706" cy="2127367"/>
                    </a:xfrm>
                    <a:prstGeom prst="rect">
                      <a:avLst/>
                    </a:prstGeom>
                  </pic:spPr>
                </pic:pic>
              </a:graphicData>
            </a:graphic>
          </wp:inline>
        </w:drawing>
      </w:r>
    </w:p>
    <w:p w:rsidRPr="00891734" w:rsidR="00C746CE" w:rsidP="00891734" w:rsidRDefault="00891734" w14:paraId="5EF0DE1E" w14:textId="43AB6910">
      <w:pPr>
        <w:spacing w:line="360" w:lineRule="auto"/>
        <w:jc w:val="center"/>
        <w:rPr>
          <w:rFonts w:ascii="Arial" w:hAnsi="Arial" w:cs="Arial"/>
          <w:b/>
          <w:bCs/>
          <w:sz w:val="22"/>
          <w:szCs w:val="22"/>
        </w:rPr>
      </w:pPr>
      <w:r w:rsidRPr="00891734">
        <w:rPr>
          <w:rFonts w:ascii="Arial" w:hAnsi="Arial" w:cs="Arial"/>
          <w:b/>
          <w:bCs/>
          <w:sz w:val="22"/>
          <w:szCs w:val="22"/>
        </w:rPr>
        <w:t xml:space="preserve">Fig. 1: </w:t>
      </w:r>
      <w:r w:rsidRPr="00891734">
        <w:rPr>
          <w:rFonts w:ascii="Arial" w:hAnsi="Arial" w:cs="Arial"/>
          <w:b/>
          <w:bCs/>
          <w:sz w:val="22"/>
          <w:szCs w:val="22"/>
        </w:rPr>
        <w:t>Communication Support Layers in Mr Ahmed’s Care</w:t>
      </w:r>
    </w:p>
    <w:p w:rsidRPr="00CD4672" w:rsidR="00C746CE" w:rsidP="00CD4672" w:rsidRDefault="00C746CE" w14:paraId="04C107E1" w14:textId="3035EF03">
      <w:pPr>
        <w:pStyle w:val="Heading3"/>
        <w:numPr>
          <w:ilvl w:val="0"/>
          <w:numId w:val="2"/>
        </w:numPr>
        <w:tabs>
          <w:tab w:val="num" w:pos="360"/>
        </w:tabs>
        <w:spacing w:line="360" w:lineRule="auto"/>
        <w:ind w:left="0" w:firstLine="0"/>
      </w:pPr>
      <w:bookmarkStart w:name="_Toc222774180" w:id="2"/>
      <w:r w:rsidRPr="00513C55">
        <w:lastRenderedPageBreak/>
        <w:t>Application of Equality Act 2010</w:t>
      </w:r>
      <w:bookmarkEnd w:id="2"/>
    </w:p>
    <w:p w:rsidRPr="00513C55" w:rsidR="00C746CE" w:rsidP="00C746CE" w:rsidRDefault="00C746CE" w14:paraId="7C57F430" w14:textId="77777777">
      <w:pPr>
        <w:pStyle w:val="ListParagraph"/>
        <w:spacing w:line="360" w:lineRule="auto"/>
        <w:ind w:left="410"/>
        <w:jc w:val="both"/>
        <w:rPr>
          <w:rFonts w:ascii="Arial" w:hAnsi="Arial" w:cs="Arial"/>
          <w:sz w:val="22"/>
          <w:szCs w:val="22"/>
        </w:rPr>
      </w:pPr>
      <w:r w:rsidRPr="00513C55">
        <w:rPr>
          <w:rFonts w:ascii="Arial" w:hAnsi="Arial" w:cs="Arial"/>
          <w:sz w:val="22"/>
          <w:szCs w:val="22"/>
        </w:rPr>
        <w:t xml:space="preserve">The Equality Act 2010 states that it is necessary to foster equality and avoid discrimination in service delivery. The language requirement of Mr Ahmed should also be taken into consideration in the case so that he is accorded equal care services. Inability to offer the proper support in communication can make him disadvantaged in comparison with the English-speaking service users. Care givers therefore ought to employ simple and straightforward language, pictorial images or professional interpreters in case Mr Ahmed requires them to make him an active participant in the </w:t>
      </w:r>
      <w:proofErr w:type="gramStart"/>
      <w:r w:rsidRPr="00513C55">
        <w:rPr>
          <w:rFonts w:ascii="Arial" w:hAnsi="Arial" w:cs="Arial"/>
          <w:sz w:val="22"/>
          <w:szCs w:val="22"/>
        </w:rPr>
        <w:t>decision making</w:t>
      </w:r>
      <w:proofErr w:type="gramEnd"/>
      <w:r w:rsidRPr="00513C55">
        <w:rPr>
          <w:rFonts w:ascii="Arial" w:hAnsi="Arial" w:cs="Arial"/>
          <w:sz w:val="22"/>
          <w:szCs w:val="22"/>
        </w:rPr>
        <w:t xml:space="preserve"> process of his care. </w:t>
      </w:r>
    </w:p>
    <w:p w:rsidR="00C746CE" w:rsidP="00C746CE" w:rsidRDefault="00C746CE" w14:paraId="553FD125" w14:textId="77777777">
      <w:pPr>
        <w:pStyle w:val="ListParagraph"/>
        <w:spacing w:line="360" w:lineRule="auto"/>
        <w:ind w:left="410"/>
        <w:jc w:val="both"/>
        <w:rPr>
          <w:rFonts w:ascii="Arial" w:hAnsi="Arial" w:cs="Arial"/>
          <w:sz w:val="22"/>
          <w:szCs w:val="22"/>
        </w:rPr>
      </w:pPr>
      <w:r w:rsidRPr="00513C55">
        <w:rPr>
          <w:rFonts w:ascii="Arial" w:hAnsi="Arial" w:cs="Arial"/>
          <w:sz w:val="22"/>
          <w:szCs w:val="22"/>
        </w:rPr>
        <w:t>Shannon and Weaver Communication Model can be used to enhance communication in the care of Mr Ahmed. This model emphasizes on the need to encode, transmit and decode messages correctly and minimize possible obstacles or a noise that could disrupt comprehension. In this regard, language barrier and speech impairment might serve as a hindrance towards successful communication. Care staff should thus make sure to have messages passed in a way that they are understood. Even though his wife typically speaks with the care team on behalf of Mr Ahmed, he should as much as possible be involved in conversations about his care. Active involvement encourages independence, dignity and respect. Communication between the care team, Mr Ahmed, and his family can help to minimize the misunderstanding, increase the adherence rates to the treatment and improve the overall quality of care.</w:t>
      </w:r>
    </w:p>
    <w:p w:rsidR="002A01F8" w:rsidP="00C746CE" w:rsidRDefault="002A01F8" w14:paraId="5314340E" w14:textId="77777777">
      <w:pPr>
        <w:pStyle w:val="ListParagraph"/>
        <w:spacing w:line="360" w:lineRule="auto"/>
        <w:ind w:left="410"/>
        <w:jc w:val="both"/>
        <w:rPr>
          <w:rFonts w:ascii="Arial" w:hAnsi="Arial" w:cs="Arial"/>
          <w:sz w:val="22"/>
          <w:szCs w:val="22"/>
        </w:rPr>
      </w:pPr>
    </w:p>
    <w:p w:rsidRPr="00513C55" w:rsidR="002A01F8" w:rsidP="002A01F8" w:rsidRDefault="002A01F8" w14:paraId="113BCE27" w14:textId="00BB1B7A">
      <w:pPr>
        <w:pStyle w:val="ListParagraph"/>
        <w:spacing w:line="360" w:lineRule="auto"/>
        <w:ind w:left="410"/>
        <w:jc w:val="center"/>
        <w:rPr>
          <w:rFonts w:ascii="Arial" w:hAnsi="Arial" w:cs="Arial"/>
          <w:sz w:val="22"/>
          <w:szCs w:val="22"/>
        </w:rPr>
      </w:pPr>
      <w:r w:rsidRPr="002A01F8">
        <w:rPr>
          <w:rFonts w:ascii="Arial" w:hAnsi="Arial" w:cs="Arial"/>
          <w:sz w:val="22"/>
          <w:szCs w:val="22"/>
        </w:rPr>
        <w:drawing>
          <wp:inline distT="0" distB="0" distL="0" distR="0" wp14:anchorId="2519BF69" wp14:editId="67D0D970">
            <wp:extent cx="3568883" cy="3016405"/>
            <wp:effectExtent l="0" t="0" r="0" b="0"/>
            <wp:docPr id="1276517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17296" name=""/>
                    <pic:cNvPicPr/>
                  </pic:nvPicPr>
                  <pic:blipFill>
                    <a:blip r:embed="rId7"/>
                    <a:stretch>
                      <a:fillRect/>
                    </a:stretch>
                  </pic:blipFill>
                  <pic:spPr>
                    <a:xfrm>
                      <a:off x="0" y="0"/>
                      <a:ext cx="3568883" cy="3016405"/>
                    </a:xfrm>
                    <a:prstGeom prst="rect">
                      <a:avLst/>
                    </a:prstGeom>
                  </pic:spPr>
                </pic:pic>
              </a:graphicData>
            </a:graphic>
          </wp:inline>
        </w:drawing>
      </w:r>
    </w:p>
    <w:p w:rsidRPr="002A01F8" w:rsidR="00C746CE" w:rsidP="002A01F8" w:rsidRDefault="002A01F8" w14:paraId="268B6D12" w14:textId="491DE53C">
      <w:pPr>
        <w:pStyle w:val="ListParagraph"/>
        <w:spacing w:line="360" w:lineRule="auto"/>
        <w:ind w:left="410"/>
        <w:jc w:val="center"/>
        <w:rPr>
          <w:rFonts w:ascii="Arial" w:hAnsi="Arial" w:cs="Arial"/>
          <w:b/>
          <w:bCs/>
          <w:sz w:val="22"/>
          <w:szCs w:val="22"/>
        </w:rPr>
      </w:pPr>
      <w:r w:rsidRPr="002A01F8">
        <w:rPr>
          <w:rFonts w:ascii="Arial" w:hAnsi="Arial" w:cs="Arial"/>
          <w:b/>
          <w:bCs/>
          <w:sz w:val="22"/>
          <w:szCs w:val="22"/>
        </w:rPr>
        <w:t xml:space="preserve">Fig. 2: </w:t>
      </w:r>
      <w:r w:rsidRPr="002A01F8">
        <w:rPr>
          <w:rFonts w:ascii="Arial" w:hAnsi="Arial" w:cs="Arial"/>
          <w:b/>
          <w:bCs/>
          <w:sz w:val="22"/>
          <w:szCs w:val="22"/>
        </w:rPr>
        <w:t>Application of Equality Act 2010 in Mr Ahmed’s Care</w:t>
      </w:r>
    </w:p>
    <w:p w:rsidRPr="00513C55" w:rsidR="00C746CE" w:rsidP="00C746CE" w:rsidRDefault="00C746CE" w14:paraId="4DE42587" w14:textId="77777777">
      <w:pPr>
        <w:pStyle w:val="Heading2"/>
        <w:numPr>
          <w:ilvl w:val="0"/>
          <w:numId w:val="4"/>
        </w:numPr>
        <w:tabs>
          <w:tab w:val="num" w:pos="360"/>
        </w:tabs>
        <w:spacing w:line="360" w:lineRule="auto"/>
        <w:ind w:left="0" w:firstLine="0"/>
      </w:pPr>
      <w:bookmarkStart w:name="_Toc222774181" w:id="3"/>
      <w:r w:rsidRPr="00513C55">
        <w:lastRenderedPageBreak/>
        <w:t>Importance of Good Administrative Skills</w:t>
      </w:r>
      <w:bookmarkEnd w:id="3"/>
    </w:p>
    <w:p w:rsidR="00C746CE" w:rsidP="00C746CE" w:rsidRDefault="00C746CE" w14:paraId="44808BA7" w14:textId="77777777">
      <w:pPr>
        <w:spacing w:line="360" w:lineRule="auto"/>
        <w:jc w:val="both"/>
        <w:rPr>
          <w:rFonts w:ascii="Arial" w:hAnsi="Arial" w:cs="Arial"/>
          <w:sz w:val="22"/>
          <w:szCs w:val="22"/>
        </w:rPr>
      </w:pPr>
      <w:r w:rsidRPr="00513C55">
        <w:rPr>
          <w:rFonts w:ascii="Arial" w:hAnsi="Arial" w:cs="Arial"/>
          <w:sz w:val="22"/>
          <w:szCs w:val="22"/>
        </w:rPr>
        <w:t xml:space="preserve">The administrative skill is critical when it comes to continuity, safety and accountability in the care of Mr Ahmed. Effective record keeping will enable the health practitioners to track his progress and record schedules of medicated and disseminate pertinent information among the multidisciplinary team. Here, the home visit by the domiciliary care agency is missed, which points to the risks of the existence of poor administrative practices. Having effective and current records will make certain that everyone working with Mr Ahmed will be informed of his needs and how his treatment plan changed. As an illustration, medication administration times should be documented to avoid missing dose that may adversely impact on his blood pressure or cause a stroke in case of a recurrence. Reporting of incidents is also expected to be done whenever the errors are made so that the right investigations and corrective measures can be implemented. </w:t>
      </w:r>
    </w:p>
    <w:p w:rsidR="002A01F8" w:rsidP="002A01F8" w:rsidRDefault="002A01F8" w14:paraId="5DAAEE30" w14:textId="4313BA5B">
      <w:pPr>
        <w:spacing w:line="360" w:lineRule="auto"/>
        <w:jc w:val="center"/>
        <w:rPr>
          <w:rFonts w:ascii="Arial" w:hAnsi="Arial" w:cs="Arial"/>
          <w:sz w:val="22"/>
          <w:szCs w:val="22"/>
        </w:rPr>
      </w:pPr>
      <w:r w:rsidRPr="002A01F8">
        <w:rPr>
          <w:rFonts w:ascii="Arial" w:hAnsi="Arial" w:cs="Arial"/>
          <w:sz w:val="22"/>
          <w:szCs w:val="22"/>
        </w:rPr>
        <w:drawing>
          <wp:inline distT="0" distB="0" distL="0" distR="0" wp14:anchorId="66E0FB30" wp14:editId="6011613D">
            <wp:extent cx="3886400" cy="2959252"/>
            <wp:effectExtent l="0" t="0" r="0" b="0"/>
            <wp:docPr id="863722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22565" name=""/>
                    <pic:cNvPicPr/>
                  </pic:nvPicPr>
                  <pic:blipFill>
                    <a:blip r:embed="rId8"/>
                    <a:stretch>
                      <a:fillRect/>
                    </a:stretch>
                  </pic:blipFill>
                  <pic:spPr>
                    <a:xfrm>
                      <a:off x="0" y="0"/>
                      <a:ext cx="3886400" cy="2959252"/>
                    </a:xfrm>
                    <a:prstGeom prst="rect">
                      <a:avLst/>
                    </a:prstGeom>
                  </pic:spPr>
                </pic:pic>
              </a:graphicData>
            </a:graphic>
          </wp:inline>
        </w:drawing>
      </w:r>
    </w:p>
    <w:p w:rsidRPr="002A01F8" w:rsidR="002A01F8" w:rsidP="002A01F8" w:rsidRDefault="002A01F8" w14:paraId="6A1E329B" w14:textId="77777777">
      <w:pPr>
        <w:spacing w:line="360" w:lineRule="auto"/>
        <w:jc w:val="center"/>
        <w:rPr>
          <w:rFonts w:ascii="Arial" w:hAnsi="Arial" w:cs="Arial"/>
          <w:b/>
          <w:bCs/>
          <w:sz w:val="22"/>
          <w:szCs w:val="22"/>
        </w:rPr>
      </w:pPr>
      <w:r w:rsidRPr="002A01F8">
        <w:rPr>
          <w:rFonts w:ascii="Arial" w:hAnsi="Arial" w:cs="Arial"/>
          <w:b/>
          <w:bCs/>
          <w:sz w:val="22"/>
          <w:szCs w:val="22"/>
        </w:rPr>
        <w:t xml:space="preserve">Fig. 3: </w:t>
      </w:r>
      <w:r w:rsidRPr="002A01F8">
        <w:rPr>
          <w:rFonts w:ascii="Arial" w:hAnsi="Arial" w:cs="Arial"/>
          <w:b/>
          <w:bCs/>
          <w:sz w:val="22"/>
          <w:szCs w:val="22"/>
        </w:rPr>
        <w:t>Importance of Good Administrative Skills in Mr Ahmed’s Care</w:t>
      </w:r>
    </w:p>
    <w:p w:rsidRPr="00513C55" w:rsidR="002A01F8" w:rsidP="002A01F8" w:rsidRDefault="002A01F8" w14:paraId="5861D0C3" w14:textId="238843D8">
      <w:pPr>
        <w:spacing w:line="360" w:lineRule="auto"/>
        <w:jc w:val="center"/>
        <w:rPr>
          <w:rFonts w:ascii="Arial" w:hAnsi="Arial" w:cs="Arial"/>
          <w:sz w:val="22"/>
          <w:szCs w:val="22"/>
        </w:rPr>
      </w:pPr>
    </w:p>
    <w:p w:rsidRPr="00513C55" w:rsidR="00C746CE" w:rsidP="00C746CE" w:rsidRDefault="00C746CE" w14:paraId="127A56D2" w14:textId="77777777">
      <w:pPr>
        <w:pStyle w:val="Heading3"/>
        <w:numPr>
          <w:ilvl w:val="0"/>
          <w:numId w:val="3"/>
        </w:numPr>
        <w:tabs>
          <w:tab w:val="num" w:pos="360"/>
        </w:tabs>
        <w:spacing w:line="360" w:lineRule="auto"/>
        <w:ind w:left="0" w:firstLine="0"/>
      </w:pPr>
      <w:bookmarkStart w:name="_Toc222774182" w:id="4"/>
      <w:r w:rsidRPr="00513C55">
        <w:t>Application of Data Protection Act 2018</w:t>
      </w:r>
      <w:bookmarkEnd w:id="4"/>
    </w:p>
    <w:p w:rsidR="002A01F8" w:rsidP="00C746CE" w:rsidRDefault="00C746CE" w14:paraId="36F21A71" w14:textId="77777777">
      <w:pPr>
        <w:spacing w:line="360" w:lineRule="auto"/>
        <w:jc w:val="both"/>
        <w:rPr>
          <w:rFonts w:ascii="Arial" w:hAnsi="Arial" w:cs="Arial"/>
          <w:sz w:val="22"/>
          <w:szCs w:val="22"/>
        </w:rPr>
      </w:pPr>
      <w:r w:rsidRPr="00513C55">
        <w:rPr>
          <w:rFonts w:ascii="Arial" w:hAnsi="Arial" w:cs="Arial"/>
          <w:sz w:val="22"/>
          <w:szCs w:val="22"/>
        </w:rPr>
        <w:t xml:space="preserve">The Data Protection Act 2018 stipulates the legal specifications in processing personal and sensitive information in the health and social care context. The medical records of Mr Ahmed should be kept in a safe place and only retrieved by the authorised individuals. Sharing of information must be done on </w:t>
      </w:r>
      <w:proofErr w:type="gramStart"/>
      <w:r w:rsidRPr="00513C55">
        <w:rPr>
          <w:rFonts w:ascii="Arial" w:hAnsi="Arial" w:cs="Arial"/>
          <w:sz w:val="22"/>
          <w:szCs w:val="22"/>
        </w:rPr>
        <w:t>need to know</w:t>
      </w:r>
      <w:proofErr w:type="gramEnd"/>
      <w:r w:rsidRPr="00513C55">
        <w:rPr>
          <w:rFonts w:ascii="Arial" w:hAnsi="Arial" w:cs="Arial"/>
          <w:sz w:val="22"/>
          <w:szCs w:val="22"/>
        </w:rPr>
        <w:t xml:space="preserve"> basis, to preserve the confidentiality but to ensure effective and safe provision of care. Moreover, the Care Act 2014 and professional codes of conduct recommend the need to keep proper records and protect vulnerable people. In these </w:t>
      </w:r>
      <w:r w:rsidRPr="00513C55">
        <w:rPr>
          <w:rFonts w:ascii="Arial" w:hAnsi="Arial" w:cs="Arial"/>
          <w:sz w:val="22"/>
          <w:szCs w:val="22"/>
        </w:rPr>
        <w:lastRenderedPageBreak/>
        <w:t>policies, the care providers are expected to provide that the documentation is factual, timely, clearly and professionally written. Good administrative practices enable transparency, enhance service quality and enable safeguarding of service users in case of harm.</w:t>
      </w:r>
    </w:p>
    <w:p w:rsidR="00C746CE" w:rsidP="002A01F8" w:rsidRDefault="002A01F8" w14:paraId="7A615EE6" w14:textId="0D7C942A">
      <w:pPr>
        <w:spacing w:line="360" w:lineRule="auto"/>
        <w:jc w:val="center"/>
        <w:rPr>
          <w:rFonts w:ascii="Arial" w:hAnsi="Arial" w:cs="Arial"/>
          <w:sz w:val="22"/>
          <w:szCs w:val="22"/>
        </w:rPr>
      </w:pPr>
      <w:r w:rsidRPr="002A01F8">
        <w:rPr>
          <w:rFonts w:ascii="Arial" w:hAnsi="Arial" w:cs="Arial"/>
          <w:sz w:val="22"/>
          <w:szCs w:val="22"/>
        </w:rPr>
        <w:drawing>
          <wp:inline distT="0" distB="0" distL="0" distR="0" wp14:anchorId="7C0D7BCC" wp14:editId="2C5329F0">
            <wp:extent cx="3702240" cy="2711589"/>
            <wp:effectExtent l="0" t="0" r="0" b="0"/>
            <wp:docPr id="2137195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95545" name=""/>
                    <pic:cNvPicPr/>
                  </pic:nvPicPr>
                  <pic:blipFill>
                    <a:blip r:embed="rId9"/>
                    <a:stretch>
                      <a:fillRect/>
                    </a:stretch>
                  </pic:blipFill>
                  <pic:spPr>
                    <a:xfrm>
                      <a:off x="0" y="0"/>
                      <a:ext cx="3702240" cy="2711589"/>
                    </a:xfrm>
                    <a:prstGeom prst="rect">
                      <a:avLst/>
                    </a:prstGeom>
                  </pic:spPr>
                </pic:pic>
              </a:graphicData>
            </a:graphic>
          </wp:inline>
        </w:drawing>
      </w:r>
    </w:p>
    <w:p w:rsidR="002A01F8" w:rsidP="002A01F8" w:rsidRDefault="002A01F8" w14:paraId="3D08ACCA" w14:textId="6519E4D4">
      <w:pPr>
        <w:spacing w:line="360" w:lineRule="auto"/>
        <w:jc w:val="center"/>
        <w:rPr>
          <w:rFonts w:ascii="Arial" w:hAnsi="Arial" w:cs="Arial"/>
          <w:b/>
          <w:bCs/>
          <w:sz w:val="22"/>
          <w:szCs w:val="22"/>
        </w:rPr>
      </w:pPr>
      <w:r w:rsidRPr="002A01F8">
        <w:rPr>
          <w:rFonts w:ascii="Arial" w:hAnsi="Arial" w:cs="Arial"/>
          <w:b/>
          <w:bCs/>
          <w:sz w:val="22"/>
          <w:szCs w:val="22"/>
        </w:rPr>
        <w:t xml:space="preserve">Fig. 4: </w:t>
      </w:r>
      <w:r w:rsidRPr="002A01F8">
        <w:rPr>
          <w:rFonts w:ascii="Arial" w:hAnsi="Arial" w:cs="Arial"/>
          <w:b/>
          <w:bCs/>
          <w:sz w:val="22"/>
          <w:szCs w:val="22"/>
        </w:rPr>
        <w:t>Application of Data Protection Act 2018 in Mr Ahmed’s Ca</w:t>
      </w:r>
      <w:r w:rsidRPr="002A01F8">
        <w:rPr>
          <w:rFonts w:ascii="Arial" w:hAnsi="Arial" w:cs="Arial"/>
          <w:b/>
          <w:bCs/>
          <w:sz w:val="22"/>
          <w:szCs w:val="22"/>
        </w:rPr>
        <w:t>re</w:t>
      </w:r>
    </w:p>
    <w:p w:rsidRPr="002A01F8" w:rsidR="002A01F8" w:rsidP="002A01F8" w:rsidRDefault="002A01F8" w14:paraId="3930972C" w14:textId="77777777">
      <w:pPr>
        <w:spacing w:line="360" w:lineRule="auto"/>
        <w:jc w:val="center"/>
        <w:rPr>
          <w:rFonts w:ascii="Arial" w:hAnsi="Arial" w:cs="Arial"/>
          <w:b/>
          <w:bCs/>
          <w:sz w:val="22"/>
          <w:szCs w:val="22"/>
        </w:rPr>
      </w:pPr>
    </w:p>
    <w:p w:rsidRPr="00513C55" w:rsidR="00C746CE" w:rsidP="00C746CE" w:rsidRDefault="00C746CE" w14:paraId="048288A2" w14:textId="77777777">
      <w:pPr>
        <w:pStyle w:val="Heading2"/>
        <w:numPr>
          <w:ilvl w:val="0"/>
          <w:numId w:val="4"/>
        </w:numPr>
        <w:tabs>
          <w:tab w:val="num" w:pos="360"/>
        </w:tabs>
        <w:spacing w:line="360" w:lineRule="auto"/>
        <w:ind w:left="0" w:firstLine="0"/>
      </w:pPr>
      <w:bookmarkStart w:name="_Toc222774183" w:id="5"/>
      <w:r w:rsidRPr="00513C55">
        <w:t>Importance of Collaborative Working in Mr Ahmed’s Care</w:t>
      </w:r>
      <w:bookmarkEnd w:id="5"/>
    </w:p>
    <w:p w:rsidR="00C746CE" w:rsidP="00C746CE" w:rsidRDefault="00C746CE" w14:paraId="1EC051B2" w14:textId="77777777">
      <w:pPr>
        <w:spacing w:line="360" w:lineRule="auto"/>
        <w:jc w:val="both"/>
        <w:rPr>
          <w:rFonts w:ascii="Arial" w:hAnsi="Arial" w:cs="Arial"/>
          <w:sz w:val="22"/>
          <w:szCs w:val="22"/>
        </w:rPr>
      </w:pPr>
      <w:r w:rsidRPr="00513C55">
        <w:rPr>
          <w:rFonts w:ascii="Arial" w:hAnsi="Arial" w:cs="Arial"/>
          <w:sz w:val="22"/>
          <w:szCs w:val="22"/>
        </w:rPr>
        <w:t xml:space="preserve">In addressing Mr Ahmed, the complex needs of the health and social care professional must also collaborate in meeting his needs after stroke. His GP, district nurse, domiciliary care workers and speech and language therapist are all members of the Multidisciplinary team of his care. Every professional has a certain role to play towards his recovery and independence. Development of effective collaboration can be accomplished by frequent communication, joint care plans and multidisciplinary meetings. Sharing of information between team members makes all the professionals know the progress of Mr Ahmed and the change of his condition. As an illustration, the speech and language therapist may also offer advice to workers in the care department on safe swallowing measures when preparing meals. </w:t>
      </w:r>
    </w:p>
    <w:p w:rsidR="00A42A5F" w:rsidP="00A42A5F" w:rsidRDefault="00A42A5F" w14:paraId="3EA683BD" w14:textId="40D39044">
      <w:pPr>
        <w:spacing w:line="360" w:lineRule="auto"/>
        <w:jc w:val="center"/>
        <w:rPr>
          <w:rFonts w:ascii="Arial" w:hAnsi="Arial" w:cs="Arial"/>
          <w:sz w:val="22"/>
          <w:szCs w:val="22"/>
        </w:rPr>
      </w:pPr>
      <w:r w:rsidRPr="00A42A5F">
        <w:rPr>
          <w:rFonts w:ascii="Arial" w:hAnsi="Arial" w:cs="Arial"/>
          <w:sz w:val="22"/>
          <w:szCs w:val="22"/>
        </w:rPr>
        <w:lastRenderedPageBreak/>
        <w:drawing>
          <wp:inline distT="0" distB="0" distL="0" distR="0" wp14:anchorId="0F5265EF" wp14:editId="091F0988">
            <wp:extent cx="3930650" cy="2279650"/>
            <wp:effectExtent l="0" t="0" r="0" b="6350"/>
            <wp:docPr id="311205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05572" name=""/>
                    <pic:cNvPicPr/>
                  </pic:nvPicPr>
                  <pic:blipFill>
                    <a:blip r:embed="rId10"/>
                    <a:stretch>
                      <a:fillRect/>
                    </a:stretch>
                  </pic:blipFill>
                  <pic:spPr>
                    <a:xfrm>
                      <a:off x="0" y="0"/>
                      <a:ext cx="3930883" cy="2279785"/>
                    </a:xfrm>
                    <a:prstGeom prst="rect">
                      <a:avLst/>
                    </a:prstGeom>
                  </pic:spPr>
                </pic:pic>
              </a:graphicData>
            </a:graphic>
          </wp:inline>
        </w:drawing>
      </w:r>
    </w:p>
    <w:p w:rsidRPr="00A42A5F" w:rsidR="00A42A5F" w:rsidP="00A42A5F" w:rsidRDefault="00A42A5F" w14:paraId="316622A4" w14:textId="77777777">
      <w:pPr>
        <w:spacing w:line="360" w:lineRule="auto"/>
        <w:jc w:val="center"/>
        <w:rPr>
          <w:rFonts w:ascii="Arial" w:hAnsi="Arial" w:cs="Arial"/>
          <w:b/>
          <w:bCs/>
          <w:sz w:val="22"/>
          <w:szCs w:val="22"/>
        </w:rPr>
      </w:pPr>
      <w:r w:rsidRPr="00A42A5F">
        <w:rPr>
          <w:rFonts w:ascii="Arial" w:hAnsi="Arial" w:cs="Arial"/>
          <w:b/>
          <w:bCs/>
          <w:sz w:val="22"/>
          <w:szCs w:val="22"/>
        </w:rPr>
        <w:t xml:space="preserve">Fig. 5: </w:t>
      </w:r>
      <w:r w:rsidRPr="00A42A5F">
        <w:rPr>
          <w:rFonts w:ascii="Arial" w:hAnsi="Arial" w:cs="Arial"/>
          <w:b/>
          <w:bCs/>
          <w:sz w:val="22"/>
          <w:szCs w:val="22"/>
        </w:rPr>
        <w:t>Importance of Collaborative Working in Mr Ahmed’s Care</w:t>
      </w:r>
    </w:p>
    <w:p w:rsidRPr="00513C55" w:rsidR="00A42A5F" w:rsidP="00A42A5F" w:rsidRDefault="00A42A5F" w14:paraId="13663723" w14:textId="364BB2E3">
      <w:pPr>
        <w:spacing w:line="360" w:lineRule="auto"/>
        <w:jc w:val="center"/>
        <w:rPr>
          <w:rFonts w:ascii="Arial" w:hAnsi="Arial" w:cs="Arial"/>
          <w:sz w:val="22"/>
          <w:szCs w:val="22"/>
        </w:rPr>
      </w:pPr>
    </w:p>
    <w:p w:rsidRPr="00513C55" w:rsidR="00C746CE" w:rsidP="00C746CE" w:rsidRDefault="00C746CE" w14:paraId="530ADEE6" w14:textId="77777777">
      <w:pPr>
        <w:spacing w:line="360" w:lineRule="auto"/>
        <w:jc w:val="both"/>
        <w:rPr>
          <w:rFonts w:ascii="Arial" w:hAnsi="Arial" w:cs="Arial"/>
          <w:sz w:val="22"/>
          <w:szCs w:val="22"/>
        </w:rPr>
      </w:pPr>
      <w:r w:rsidRPr="00513C55">
        <w:rPr>
          <w:rFonts w:ascii="Arial" w:hAnsi="Arial" w:cs="Arial"/>
          <w:sz w:val="22"/>
          <w:szCs w:val="22"/>
        </w:rPr>
        <w:t>Nonetheless, in multi-agency working, issues of communication breakdowns, divergent professional views and scheduling may be experienced. Some of the strategies that will help in overcoming these challenges are defining of the roles and responsibilities, standardisation of documentation systems and open channels of communication. The experience of missing home visit shows the value of cooperation and responsibility in the care team. Through teamwork, the professionals may be able to acknowledge the gaps in the service delivery and make necessary improvements to avoid such cases in the future. Successful collaborative working eventually leads to patient safety and a coordinated method of care.</w:t>
      </w:r>
    </w:p>
    <w:p w:rsidRPr="00513C55" w:rsidR="00C746CE" w:rsidP="00C746CE" w:rsidRDefault="00C746CE" w14:paraId="6315F119" w14:textId="77777777">
      <w:pPr>
        <w:spacing w:line="360" w:lineRule="auto"/>
        <w:jc w:val="both"/>
        <w:rPr>
          <w:rFonts w:ascii="Arial" w:hAnsi="Arial" w:cs="Arial"/>
          <w:sz w:val="22"/>
          <w:szCs w:val="22"/>
        </w:rPr>
      </w:pPr>
    </w:p>
    <w:p w:rsidRPr="00513C55" w:rsidR="00C746CE" w:rsidP="00C746CE" w:rsidRDefault="00C746CE" w14:paraId="5BCF3A3A" w14:textId="5D2DFB6A">
      <w:pPr>
        <w:pStyle w:val="Heading2"/>
        <w:numPr>
          <w:ilvl w:val="0"/>
          <w:numId w:val="4"/>
        </w:numPr>
        <w:tabs>
          <w:tab w:val="num" w:pos="360"/>
        </w:tabs>
        <w:spacing w:line="360" w:lineRule="auto"/>
        <w:ind w:left="0" w:firstLine="0"/>
      </w:pPr>
      <w:bookmarkStart w:name="_Toc222774184" w:id="6"/>
      <w:r w:rsidRPr="00513C55">
        <w:t>Conclusion</w:t>
      </w:r>
      <w:bookmarkEnd w:id="6"/>
    </w:p>
    <w:p w:rsidRPr="00513C55" w:rsidR="001E00AE" w:rsidP="00C746CE" w:rsidRDefault="00C746CE" w14:paraId="508D36FB" w14:textId="45E17473">
      <w:pPr>
        <w:spacing w:line="360" w:lineRule="auto"/>
        <w:jc w:val="both"/>
        <w:rPr>
          <w:rFonts w:ascii="Arial" w:hAnsi="Arial" w:cs="Arial"/>
          <w:sz w:val="22"/>
          <w:szCs w:val="22"/>
        </w:rPr>
      </w:pPr>
      <w:r w:rsidRPr="00513C55">
        <w:rPr>
          <w:rFonts w:ascii="Arial" w:hAnsi="Arial" w:cs="Arial"/>
          <w:sz w:val="22"/>
          <w:szCs w:val="22"/>
        </w:rPr>
        <w:t>In conclusion, professional practice in health and social care requires the presence of effective communication, correct administrative practice and collaborative working. The case of Mr Ahmed evidences the necessity of adjusting the communicational strategies to address personal requirements and addressing the legal regulations, including the Equality Act 2010 and the Data Protection Act 2018. Correct record keeping enhances patient safety and accountability and joint working among the healthcare people fosters the provision of coordinated and person-centred care. The overall communication obstacles, their secure documentation, and the development of effective collaboration can be beneficial to address health outcomes and increase the quality of life of people who have recovered after complex health conditions. The multidisciplinary approach is thus necessary in making sure that Mr Ahmed will receive safe, effective, and holistic care in the community.</w:t>
      </w:r>
    </w:p>
    <w:p w:rsidRPr="00513C55" w:rsidR="00C746CE" w:rsidP="00C746CE" w:rsidRDefault="00C746CE" w14:paraId="44783571" w14:textId="13B8204D">
      <w:pPr>
        <w:pStyle w:val="Heading2"/>
        <w:numPr>
          <w:ilvl w:val="0"/>
          <w:numId w:val="4"/>
        </w:numPr>
        <w:tabs>
          <w:tab w:val="num" w:pos="360"/>
        </w:tabs>
        <w:spacing w:line="360" w:lineRule="auto"/>
        <w:ind w:left="0" w:firstLine="0"/>
      </w:pPr>
      <w:bookmarkStart w:name="_Toc222774185" w:id="7"/>
      <w:r w:rsidRPr="00513C55">
        <w:lastRenderedPageBreak/>
        <w:t>Reference</w:t>
      </w:r>
      <w:r>
        <w:t>s</w:t>
      </w:r>
      <w:bookmarkEnd w:id="7"/>
    </w:p>
    <w:p w:rsidRPr="00513C55" w:rsidR="00C746CE" w:rsidP="00C746CE" w:rsidRDefault="00C746CE" w14:paraId="52A71401"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Arnold, E. and Boggs, K. (2020) </w:t>
      </w:r>
      <w:r w:rsidRPr="00513C55">
        <w:rPr>
          <w:rFonts w:ascii="Arial" w:hAnsi="Arial" w:cs="Arial"/>
          <w:i/>
          <w:iCs/>
          <w:sz w:val="22"/>
          <w:szCs w:val="22"/>
        </w:rPr>
        <w:t>Interpersonal Relationships: Professional Communication Skills for Nurses</w:t>
      </w:r>
      <w:r w:rsidRPr="00513C55">
        <w:rPr>
          <w:rFonts w:ascii="Arial" w:hAnsi="Arial" w:cs="Arial"/>
          <w:sz w:val="22"/>
          <w:szCs w:val="22"/>
        </w:rPr>
        <w:t xml:space="preserve">. 8th </w:t>
      </w:r>
      <w:proofErr w:type="spellStart"/>
      <w:r w:rsidRPr="00513C55">
        <w:rPr>
          <w:rFonts w:ascii="Arial" w:hAnsi="Arial" w:cs="Arial"/>
          <w:sz w:val="22"/>
          <w:szCs w:val="22"/>
        </w:rPr>
        <w:t>edn</w:t>
      </w:r>
      <w:proofErr w:type="spellEnd"/>
      <w:r w:rsidRPr="00513C55">
        <w:rPr>
          <w:rFonts w:ascii="Arial" w:hAnsi="Arial" w:cs="Arial"/>
          <w:sz w:val="22"/>
          <w:szCs w:val="22"/>
        </w:rPr>
        <w:t>. St. Louis: Elsevier.</w:t>
      </w:r>
    </w:p>
    <w:p w:rsidRPr="00513C55" w:rsidR="00C746CE" w:rsidP="00C746CE" w:rsidRDefault="00C746CE" w14:paraId="6EB7500A"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Care Act 2014. London: The Stationery Office.</w:t>
      </w:r>
    </w:p>
    <w:p w:rsidRPr="00513C55" w:rsidR="00C746CE" w:rsidP="00C746CE" w:rsidRDefault="00C746CE" w14:paraId="09867C22"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Care Quality Commission (2022) </w:t>
      </w:r>
      <w:r w:rsidRPr="00513C55">
        <w:rPr>
          <w:rFonts w:ascii="Arial" w:hAnsi="Arial" w:cs="Arial"/>
          <w:i/>
          <w:iCs/>
          <w:sz w:val="22"/>
          <w:szCs w:val="22"/>
        </w:rPr>
        <w:t>Fundamental Standards</w:t>
      </w:r>
      <w:r w:rsidRPr="00513C55">
        <w:rPr>
          <w:rFonts w:ascii="Arial" w:hAnsi="Arial" w:cs="Arial"/>
          <w:sz w:val="22"/>
          <w:szCs w:val="22"/>
        </w:rPr>
        <w:t>.</w:t>
      </w:r>
    </w:p>
    <w:p w:rsidRPr="00513C55" w:rsidR="00C746CE" w:rsidP="00C746CE" w:rsidRDefault="00C746CE" w14:paraId="0754D86E"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Data Protection Act 2018. London: The Stationery Office.</w:t>
      </w:r>
    </w:p>
    <w:p w:rsidRPr="00513C55" w:rsidR="00C746CE" w:rsidP="00C746CE" w:rsidRDefault="00C746CE" w14:paraId="5CFFB0A7"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Department of Health and Social Care (2018) </w:t>
      </w:r>
      <w:r w:rsidRPr="00513C55">
        <w:rPr>
          <w:rFonts w:ascii="Arial" w:hAnsi="Arial" w:cs="Arial"/>
          <w:i/>
          <w:iCs/>
          <w:sz w:val="22"/>
          <w:szCs w:val="22"/>
        </w:rPr>
        <w:t>Integrated Care Systems Explained</w:t>
      </w:r>
      <w:r w:rsidRPr="00513C55">
        <w:rPr>
          <w:rFonts w:ascii="Arial" w:hAnsi="Arial" w:cs="Arial"/>
          <w:sz w:val="22"/>
          <w:szCs w:val="22"/>
        </w:rPr>
        <w:t>. London: DHSC.</w:t>
      </w:r>
    </w:p>
    <w:p w:rsidRPr="00513C55" w:rsidR="00C746CE" w:rsidP="00C746CE" w:rsidRDefault="00C746CE" w14:paraId="5828D573"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Equality Act 2010. London: The Stationery Office.</w:t>
      </w:r>
    </w:p>
    <w:p w:rsidRPr="00513C55" w:rsidR="00C746CE" w:rsidP="00C746CE" w:rsidRDefault="00C746CE" w14:paraId="3191945D"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Glasby, J. and Dickinson, H. (2014) </w:t>
      </w:r>
      <w:r w:rsidRPr="00513C55">
        <w:rPr>
          <w:rFonts w:ascii="Arial" w:hAnsi="Arial" w:cs="Arial"/>
          <w:i/>
          <w:iCs/>
          <w:sz w:val="22"/>
          <w:szCs w:val="22"/>
        </w:rPr>
        <w:t>Partnership Working in Health and Social Care</w:t>
      </w:r>
      <w:r w:rsidRPr="00513C55">
        <w:rPr>
          <w:rFonts w:ascii="Arial" w:hAnsi="Arial" w:cs="Arial"/>
          <w:sz w:val="22"/>
          <w:szCs w:val="22"/>
        </w:rPr>
        <w:t>. Bristol: Policy Press.</w:t>
      </w:r>
    </w:p>
    <w:p w:rsidRPr="00513C55" w:rsidR="00C746CE" w:rsidP="00C746CE" w:rsidRDefault="00C746CE" w14:paraId="38F589BB"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Health and Social Care Act 2012. London: The Stationery Office.</w:t>
      </w:r>
    </w:p>
    <w:p w:rsidRPr="00513C55" w:rsidR="00C746CE" w:rsidP="00C746CE" w:rsidRDefault="00C746CE" w14:paraId="3EB18B86"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NHS England (2019) </w:t>
      </w:r>
      <w:r w:rsidRPr="00513C55">
        <w:rPr>
          <w:rFonts w:ascii="Arial" w:hAnsi="Arial" w:cs="Arial"/>
          <w:i/>
          <w:iCs/>
          <w:sz w:val="22"/>
          <w:szCs w:val="22"/>
        </w:rPr>
        <w:t>Person-Centred Care Framework</w:t>
      </w:r>
      <w:r w:rsidRPr="00513C55">
        <w:rPr>
          <w:rFonts w:ascii="Arial" w:hAnsi="Arial" w:cs="Arial"/>
          <w:sz w:val="22"/>
          <w:szCs w:val="22"/>
        </w:rPr>
        <w:t xml:space="preserve">. </w:t>
      </w:r>
    </w:p>
    <w:p w:rsidRPr="00513C55" w:rsidR="00C746CE" w:rsidP="00C746CE" w:rsidRDefault="00C746CE" w14:paraId="3C425D2F"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Nursing and Midwifery Council (2018) </w:t>
      </w:r>
      <w:r w:rsidRPr="00513C55">
        <w:rPr>
          <w:rFonts w:ascii="Arial" w:hAnsi="Arial" w:cs="Arial"/>
          <w:i/>
          <w:iCs/>
          <w:sz w:val="22"/>
          <w:szCs w:val="22"/>
        </w:rPr>
        <w:t>The Code: Professional Standards of Practice and Behaviour</w:t>
      </w:r>
      <w:r w:rsidRPr="00513C55">
        <w:rPr>
          <w:rFonts w:ascii="Arial" w:hAnsi="Arial" w:cs="Arial"/>
          <w:sz w:val="22"/>
          <w:szCs w:val="22"/>
        </w:rPr>
        <w:t>. London: NMC.</w:t>
      </w:r>
    </w:p>
    <w:p w:rsidRPr="00513C55" w:rsidR="00C746CE" w:rsidP="00C746CE" w:rsidRDefault="00C746CE" w14:paraId="58FDB52E"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Shannon, C. and Weaver, W. (1949) </w:t>
      </w:r>
      <w:r w:rsidRPr="00513C55">
        <w:rPr>
          <w:rFonts w:ascii="Arial" w:hAnsi="Arial" w:cs="Arial"/>
          <w:i/>
          <w:iCs/>
          <w:sz w:val="22"/>
          <w:szCs w:val="22"/>
        </w:rPr>
        <w:t>The Mathematical Theory of Communication</w:t>
      </w:r>
      <w:r w:rsidRPr="00513C55">
        <w:rPr>
          <w:rFonts w:ascii="Arial" w:hAnsi="Arial" w:cs="Arial"/>
          <w:sz w:val="22"/>
          <w:szCs w:val="22"/>
        </w:rPr>
        <w:t>. Illinois: University of Illinois Press.</w:t>
      </w:r>
    </w:p>
    <w:p w:rsidRPr="00513C55" w:rsidR="00C746CE" w:rsidP="00C746CE" w:rsidRDefault="00C746CE" w14:paraId="181C8F23" w14:textId="77777777">
      <w:pPr>
        <w:pStyle w:val="ListParagraph"/>
        <w:numPr>
          <w:ilvl w:val="0"/>
          <w:numId w:val="1"/>
        </w:numPr>
        <w:spacing w:line="360" w:lineRule="auto"/>
        <w:jc w:val="both"/>
        <w:rPr>
          <w:rFonts w:ascii="Arial" w:hAnsi="Arial" w:cs="Arial"/>
          <w:sz w:val="22"/>
          <w:szCs w:val="22"/>
        </w:rPr>
      </w:pPr>
      <w:r w:rsidRPr="00513C55">
        <w:rPr>
          <w:rFonts w:ascii="Arial" w:hAnsi="Arial" w:cs="Arial"/>
          <w:sz w:val="22"/>
          <w:szCs w:val="22"/>
        </w:rPr>
        <w:t xml:space="preserve">Skills for Care (2020) </w:t>
      </w:r>
      <w:r w:rsidRPr="00513C55">
        <w:rPr>
          <w:rFonts w:ascii="Arial" w:hAnsi="Arial" w:cs="Arial"/>
          <w:i/>
          <w:iCs/>
          <w:sz w:val="22"/>
          <w:szCs w:val="22"/>
        </w:rPr>
        <w:t>Communication Skills in Adult Social Care</w:t>
      </w:r>
      <w:r w:rsidRPr="00513C55">
        <w:rPr>
          <w:rFonts w:ascii="Arial" w:hAnsi="Arial" w:cs="Arial"/>
          <w:sz w:val="22"/>
          <w:szCs w:val="22"/>
        </w:rPr>
        <w:t>. Leeds: Skills for Care.</w:t>
      </w:r>
    </w:p>
    <w:p w:rsidRPr="00513C55" w:rsidR="00C746CE" w:rsidP="00C746CE" w:rsidRDefault="00C746CE" w14:paraId="1AABFAFF" w14:textId="77777777">
      <w:pPr>
        <w:spacing w:line="360" w:lineRule="auto"/>
        <w:jc w:val="both"/>
        <w:rPr>
          <w:rFonts w:ascii="Arial" w:hAnsi="Arial" w:cs="Arial"/>
          <w:sz w:val="22"/>
          <w:szCs w:val="22"/>
        </w:rPr>
      </w:pPr>
    </w:p>
    <w:p w:rsidR="00C746CE" w:rsidRDefault="00C746CE" w14:paraId="71273842" w14:textId="77777777"/>
    <w:sectPr w:rsidR="00C746C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B2A86"/>
    <w:multiLevelType w:val="hybridMultilevel"/>
    <w:tmpl w:val="11F40E54"/>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4D654E70"/>
    <w:multiLevelType w:val="hybridMultilevel"/>
    <w:tmpl w:val="9E76C70C"/>
    <w:lvl w:ilvl="0" w:tplc="193A4E62">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5F94476"/>
    <w:multiLevelType w:val="hybridMultilevel"/>
    <w:tmpl w:val="57A6EDB4"/>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E8D76F3"/>
    <w:multiLevelType w:val="hybridMultilevel"/>
    <w:tmpl w:val="590C9424"/>
    <w:lvl w:ilvl="0" w:tplc="2000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7833443">
    <w:abstractNumId w:val="0"/>
  </w:num>
  <w:num w:numId="2" w16cid:durableId="105739427">
    <w:abstractNumId w:val="2"/>
  </w:num>
  <w:num w:numId="3" w16cid:durableId="321082240">
    <w:abstractNumId w:val="3"/>
  </w:num>
  <w:num w:numId="4" w16cid:durableId="1566598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6CE"/>
    <w:rsid w:val="0006395A"/>
    <w:rsid w:val="001E00AE"/>
    <w:rsid w:val="002A01F8"/>
    <w:rsid w:val="005479EE"/>
    <w:rsid w:val="00891734"/>
    <w:rsid w:val="0096794B"/>
    <w:rsid w:val="00A27D49"/>
    <w:rsid w:val="00A42A5F"/>
    <w:rsid w:val="00A8282B"/>
    <w:rsid w:val="00C746CE"/>
    <w:rsid w:val="00CD4672"/>
    <w:rsid w:val="00FB59EF"/>
    <w:rsid w:val="053296F4"/>
    <w:rsid w:val="0717583A"/>
    <w:rsid w:val="1344A941"/>
    <w:rsid w:val="3D34603A"/>
    <w:rsid w:val="4DF87CFA"/>
    <w:rsid w:val="6E8A6F8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EF5A4"/>
  <w15:chartTrackingRefBased/>
  <w15:docId w15:val="{BFF3D585-0621-4E4C-A790-28698E1ED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746CE"/>
  </w:style>
  <w:style w:type="paragraph" w:styleId="Heading1">
    <w:name w:val="heading 1"/>
    <w:basedOn w:val="Normal"/>
    <w:next w:val="Normal"/>
    <w:link w:val="Heading1Char"/>
    <w:uiPriority w:val="9"/>
    <w:qFormat/>
    <w:rsid w:val="00C746C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46C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4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6C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746C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746C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C746C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746C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746C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746C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746C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746C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746CE"/>
    <w:rPr>
      <w:rFonts w:eastAsiaTheme="majorEastAsia" w:cstheme="majorBidi"/>
      <w:color w:val="272727" w:themeColor="text1" w:themeTint="D8"/>
    </w:rPr>
  </w:style>
  <w:style w:type="paragraph" w:styleId="Title">
    <w:name w:val="Title"/>
    <w:basedOn w:val="Normal"/>
    <w:next w:val="Normal"/>
    <w:link w:val="TitleChar"/>
    <w:uiPriority w:val="10"/>
    <w:qFormat/>
    <w:rsid w:val="00C746C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746C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746C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74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6CE"/>
    <w:pPr>
      <w:spacing w:before="160"/>
      <w:jc w:val="center"/>
    </w:pPr>
    <w:rPr>
      <w:i/>
      <w:iCs/>
      <w:color w:val="404040" w:themeColor="text1" w:themeTint="BF"/>
    </w:rPr>
  </w:style>
  <w:style w:type="character" w:styleId="QuoteChar" w:customStyle="1">
    <w:name w:val="Quote Char"/>
    <w:basedOn w:val="DefaultParagraphFont"/>
    <w:link w:val="Quote"/>
    <w:uiPriority w:val="29"/>
    <w:rsid w:val="00C746CE"/>
    <w:rPr>
      <w:i/>
      <w:iCs/>
      <w:color w:val="404040" w:themeColor="text1" w:themeTint="BF"/>
    </w:rPr>
  </w:style>
  <w:style w:type="paragraph" w:styleId="ListParagraph">
    <w:name w:val="List Paragraph"/>
    <w:basedOn w:val="Normal"/>
    <w:uiPriority w:val="34"/>
    <w:qFormat/>
    <w:rsid w:val="00C746CE"/>
    <w:pPr>
      <w:ind w:left="720"/>
      <w:contextualSpacing/>
    </w:pPr>
  </w:style>
  <w:style w:type="character" w:styleId="IntenseEmphasis">
    <w:name w:val="Intense Emphasis"/>
    <w:basedOn w:val="DefaultParagraphFont"/>
    <w:uiPriority w:val="21"/>
    <w:qFormat/>
    <w:rsid w:val="00C746CE"/>
    <w:rPr>
      <w:i/>
      <w:iCs/>
      <w:color w:val="0F4761" w:themeColor="accent1" w:themeShade="BF"/>
    </w:rPr>
  </w:style>
  <w:style w:type="paragraph" w:styleId="IntenseQuote">
    <w:name w:val="Intense Quote"/>
    <w:basedOn w:val="Normal"/>
    <w:next w:val="Normal"/>
    <w:link w:val="IntenseQuoteChar"/>
    <w:uiPriority w:val="30"/>
    <w:qFormat/>
    <w:rsid w:val="00C746C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746CE"/>
    <w:rPr>
      <w:i/>
      <w:iCs/>
      <w:color w:val="0F4761" w:themeColor="accent1" w:themeShade="BF"/>
    </w:rPr>
  </w:style>
  <w:style w:type="character" w:styleId="IntenseReference">
    <w:name w:val="Intense Reference"/>
    <w:basedOn w:val="DefaultParagraphFont"/>
    <w:uiPriority w:val="32"/>
    <w:qFormat/>
    <w:rsid w:val="00C746CE"/>
    <w:rPr>
      <w:b/>
      <w:bCs/>
      <w:smallCaps/>
      <w:color w:val="0F4761" w:themeColor="accent1" w:themeShade="BF"/>
      <w:spacing w:val="5"/>
    </w:rPr>
  </w:style>
  <w:style w:type="character" w:styleId="Hyperlink">
    <w:name w:val="Hyperlink"/>
    <w:basedOn w:val="DefaultParagraphFont"/>
    <w:uiPriority w:val="99"/>
    <w:unhideWhenUsed/>
    <w:rsid w:val="00C746CE"/>
    <w:rPr>
      <w:color w:val="467886" w:themeColor="hyperlink"/>
      <w:u w:val="single"/>
    </w:rPr>
  </w:style>
  <w:style w:type="paragraph" w:styleId="TOCHeading">
    <w:name w:val="TOC Heading"/>
    <w:basedOn w:val="Heading1"/>
    <w:next w:val="Normal"/>
    <w:uiPriority w:val="39"/>
    <w:unhideWhenUsed/>
    <w:qFormat/>
    <w:rsid w:val="00C746C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746CE"/>
    <w:pPr>
      <w:spacing w:after="100"/>
      <w:ind w:left="240"/>
    </w:pPr>
  </w:style>
  <w:style w:type="paragraph" w:styleId="TOC3">
    <w:name w:val="toc 3"/>
    <w:basedOn w:val="Normal"/>
    <w:next w:val="Normal"/>
    <w:autoRedefine/>
    <w:uiPriority w:val="39"/>
    <w:unhideWhenUsed/>
    <w:rsid w:val="00C746C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Tooba Ashraf/TEC/ISB</dc:creator>
  <keywords/>
  <dc:description/>
  <lastModifiedBy>Mazaffar Hussain (2512318)</lastModifiedBy>
  <revision>8</revision>
  <dcterms:created xsi:type="dcterms:W3CDTF">2026-02-21T17:32:00.0000000Z</dcterms:created>
  <dcterms:modified xsi:type="dcterms:W3CDTF">2026-03-06T11:05:25.7778835Z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2026-02-21T17:36:45Z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add11732-9179-4680-9a4a-3e6bc6181c42</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