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39783" w14:textId="77777777" w:rsidR="00632DC6" w:rsidRDefault="00632DC6" w:rsidP="00632DC6">
      <w:pPr>
        <w:ind w:left="720"/>
        <w:rPr>
          <w:b/>
          <w:bCs/>
          <w:color w:val="70AD47" w:themeColor="accent6"/>
          <w:sz w:val="56"/>
          <w:szCs w:val="56"/>
        </w:rPr>
      </w:pPr>
      <w:r w:rsidRPr="006C07D7">
        <w:rPr>
          <w:b/>
          <w:bCs/>
          <w:noProof/>
          <w:sz w:val="56"/>
          <w:szCs w:val="56"/>
        </w:rPr>
        <mc:AlternateContent>
          <mc:Choice Requires="wps">
            <w:drawing>
              <wp:anchor distT="45720" distB="45720" distL="114300" distR="114300" simplePos="0" relativeHeight="251660288" behindDoc="1" locked="0" layoutInCell="1" allowOverlap="1" wp14:anchorId="16A098FA" wp14:editId="2A197A93">
                <wp:simplePos x="0" y="0"/>
                <wp:positionH relativeFrom="column">
                  <wp:posOffset>-84775</wp:posOffset>
                </wp:positionH>
                <wp:positionV relativeFrom="paragraph">
                  <wp:posOffset>394587</wp:posOffset>
                </wp:positionV>
                <wp:extent cx="273812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404620"/>
                        </a:xfrm>
                        <a:prstGeom prst="rect">
                          <a:avLst/>
                        </a:prstGeom>
                        <a:noFill/>
                        <a:ln w="9525">
                          <a:noFill/>
                          <a:miter lim="800000"/>
                          <a:headEnd/>
                          <a:tailEnd/>
                        </a:ln>
                      </wps:spPr>
                      <wps:txbx>
                        <w:txbxContent>
                          <w:p w14:paraId="2B2DBD1D" w14:textId="77777777" w:rsidR="00632DC6" w:rsidRPr="001518F8" w:rsidRDefault="00632DC6" w:rsidP="00632DC6">
                            <w:pPr>
                              <w:rPr>
                                <w:color w:val="002060"/>
                              </w:rPr>
                            </w:pPr>
                            <w:r w:rsidRPr="001518F8">
                              <w:rPr>
                                <w:color w:val="002060"/>
                              </w:rPr>
                              <w:t xml:space="preserve">Sustainable Building Design Consultancy </w:t>
                            </w:r>
                          </w:p>
                          <w:p w14:paraId="14BCCEDD" w14:textId="77777777" w:rsidR="00632DC6" w:rsidRDefault="00632DC6" w:rsidP="00632DC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6A098FA" id="_x0000_t202" coordsize="21600,21600" o:spt="202" path="m,l,21600r21600,l21600,xe">
                <v:stroke joinstyle="miter"/>
                <v:path gradientshapeok="t" o:connecttype="rect"/>
              </v:shapetype>
              <v:shape id="Text Box 2" o:spid="_x0000_s1026" type="#_x0000_t202" style="position:absolute;left:0;text-align:left;margin-left:-6.7pt;margin-top:31.05pt;width:215.6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" filled="f" stroked="f">
                <v:textbox style="mso-fit-shape-to-text:t">
                  <w:txbxContent>
                    <w:p w14:paraId="2B2DBD1D" w14:textId="77777777" w:rsidR="00632DC6" w:rsidRPr="001518F8" w:rsidRDefault="00632DC6" w:rsidP="00632DC6">
                      <w:pPr>
                        <w:rPr>
                          <w:color w:val="002060"/>
                        </w:rPr>
                      </w:pPr>
                      <w:r w:rsidRPr="001518F8">
                        <w:rPr>
                          <w:color w:val="002060"/>
                        </w:rPr>
                        <w:t xml:space="preserve">Sustainable Building Design Consultancy </w:t>
                      </w:r>
                    </w:p>
                    <w:p w14:paraId="14BCCEDD" w14:textId="77777777" w:rsidR="00632DC6" w:rsidRDefault="00632DC6" w:rsidP="00632DC6"/>
                  </w:txbxContent>
                </v:textbox>
              </v:shape>
            </w:pict>
          </mc:Fallback>
        </mc:AlternateContent>
      </w:r>
      <w:r>
        <w:rPr>
          <w:noProof/>
        </w:rPr>
        <w:drawing>
          <wp:anchor distT="0" distB="0" distL="114300" distR="114300" simplePos="0" relativeHeight="251659264" behindDoc="1" locked="0" layoutInCell="1" allowOverlap="1" wp14:anchorId="2E802562" wp14:editId="0526DB20">
            <wp:simplePos x="0" y="0"/>
            <wp:positionH relativeFrom="column">
              <wp:posOffset>0</wp:posOffset>
            </wp:positionH>
            <wp:positionV relativeFrom="paragraph">
              <wp:posOffset>0</wp:posOffset>
            </wp:positionV>
            <wp:extent cx="463550" cy="394544"/>
            <wp:effectExtent l="0" t="0" r="0" b="5715"/>
            <wp:wrapNone/>
            <wp:docPr id="2" name="Picture 1" descr="A black and white circle with rings&#10;&#10;Description automatically generated">
              <a:extLst xmlns:a="http://schemas.openxmlformats.org/drawingml/2006/main">
                <a:ext uri="{FF2B5EF4-FFF2-40B4-BE49-F238E27FC236}">
                  <a16:creationId xmlns:a16="http://schemas.microsoft.com/office/drawing/2014/main" id="{B6A0D077-A85C-42D6-5A7E-A0C005A52A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and white circle with rings&#10;&#10;Description automatically generated">
                      <a:extLst>
                        <a:ext uri="{FF2B5EF4-FFF2-40B4-BE49-F238E27FC236}">
                          <a16:creationId xmlns:a16="http://schemas.microsoft.com/office/drawing/2014/main" id="{B6A0D077-A85C-42D6-5A7E-A0C005A52AFE}"/>
                        </a:ext>
                      </a:extLst>
                    </pic:cNvPr>
                    <pic:cNvPicPr>
                      <a:picLocks noChangeAspect="1"/>
                    </pic:cNvPicPr>
                  </pic:nvPicPr>
                  <pic:blipFill rotWithShape="1">
                    <a:blip r:embed="rId5" cstate="print">
                      <a:alphaModFix/>
                      <a:duotone>
                        <a:schemeClr val="accent6">
                          <a:shade val="45000"/>
                          <a:satMod val="135000"/>
                        </a:schemeClr>
                        <a:prstClr val="white"/>
                      </a:duotone>
                      <a:extLst>
                        <a:ext uri="{28A0092B-C50C-407E-A947-70E740481C1C}">
                          <a14:useLocalDpi xmlns:a14="http://schemas.microsoft.com/office/drawing/2010/main" val="0"/>
                        </a:ext>
                      </a:extLst>
                    </a:blip>
                    <a:srcRect l="6005" t="10358" r="-2178" b="6638"/>
                    <a:stretch/>
                  </pic:blipFill>
                  <pic:spPr>
                    <a:xfrm>
                      <a:off x="0" y="0"/>
                      <a:ext cx="463550" cy="394544"/>
                    </a:xfrm>
                    <a:prstGeom prst="rect">
                      <a:avLst/>
                    </a:prstGeom>
                    <a:effectLst>
                      <a:glow>
                        <a:schemeClr val="accent6">
                          <a:satMod val="175000"/>
                        </a:schemeClr>
                      </a:glow>
                    </a:effectLst>
                  </pic:spPr>
                </pic:pic>
              </a:graphicData>
            </a:graphic>
          </wp:anchor>
        </w:drawing>
      </w:r>
      <w:r>
        <w:rPr>
          <w:b/>
          <w:bCs/>
          <w:sz w:val="56"/>
          <w:szCs w:val="56"/>
        </w:rPr>
        <w:t xml:space="preserve"> </w:t>
      </w:r>
      <w:proofErr w:type="spellStart"/>
      <w:r w:rsidRPr="001518F8">
        <w:rPr>
          <w:b/>
          <w:bCs/>
          <w:color w:val="002060"/>
          <w:sz w:val="56"/>
          <w:szCs w:val="56"/>
        </w:rPr>
        <w:t>Timb</w:t>
      </w:r>
      <w:r w:rsidRPr="003F4D70">
        <w:rPr>
          <w:b/>
          <w:bCs/>
          <w:color w:val="002060"/>
          <w:sz w:val="56"/>
          <w:szCs w:val="56"/>
        </w:rPr>
        <w:t>e</w:t>
      </w:r>
      <w:r w:rsidRPr="001518F8">
        <w:rPr>
          <w:b/>
          <w:bCs/>
          <w:color w:val="002060"/>
          <w:sz w:val="56"/>
          <w:szCs w:val="56"/>
        </w:rPr>
        <w:t>r</w:t>
      </w:r>
      <w:r w:rsidRPr="006C07D7">
        <w:rPr>
          <w:b/>
          <w:bCs/>
          <w:color w:val="70AD47" w:themeColor="accent6"/>
          <w:sz w:val="56"/>
          <w:szCs w:val="56"/>
        </w:rPr>
        <w:t>bale</w:t>
      </w:r>
      <w:proofErr w:type="spellEnd"/>
    </w:p>
    <w:p w14:paraId="7298329C" w14:textId="77777777" w:rsidR="00632DC6" w:rsidRDefault="00632DC6" w:rsidP="00632DC6">
      <w:pPr>
        <w:rPr>
          <w:b/>
          <w:bCs/>
          <w:color w:val="70AD47" w:themeColor="accent6"/>
          <w:sz w:val="56"/>
          <w:szCs w:val="56"/>
        </w:rPr>
      </w:pPr>
    </w:p>
    <w:p w14:paraId="53DA8973" w14:textId="77777777" w:rsidR="00632DC6" w:rsidRDefault="00632DC6" w:rsidP="00632DC6">
      <w:pPr>
        <w:rPr>
          <w:b/>
          <w:bCs/>
          <w:color w:val="70AD47" w:themeColor="accent6"/>
          <w:sz w:val="56"/>
          <w:szCs w:val="56"/>
        </w:rPr>
      </w:pPr>
    </w:p>
    <w:p w14:paraId="01D7E782" w14:textId="77777777" w:rsidR="00632DC6" w:rsidRDefault="00632DC6" w:rsidP="00632DC6">
      <w:pPr>
        <w:rPr>
          <w:b/>
          <w:bCs/>
          <w:color w:val="70AD47" w:themeColor="accent6"/>
          <w:sz w:val="56"/>
          <w:szCs w:val="56"/>
        </w:rPr>
      </w:pPr>
    </w:p>
    <w:p w14:paraId="52D91AD3" w14:textId="77777777" w:rsidR="00632DC6" w:rsidRDefault="00632DC6" w:rsidP="00632DC6">
      <w:pPr>
        <w:rPr>
          <w:b/>
          <w:bCs/>
          <w:color w:val="70AD47" w:themeColor="accent6"/>
          <w:sz w:val="56"/>
          <w:szCs w:val="56"/>
        </w:rPr>
      </w:pPr>
    </w:p>
    <w:p w14:paraId="6DE6FE1F" w14:textId="77777777" w:rsidR="00632DC6" w:rsidRDefault="00632DC6" w:rsidP="00632DC6">
      <w:pPr>
        <w:rPr>
          <w:b/>
          <w:bCs/>
          <w:color w:val="70AD47" w:themeColor="accent6"/>
          <w:sz w:val="56"/>
          <w:szCs w:val="56"/>
        </w:rPr>
      </w:pPr>
    </w:p>
    <w:p w14:paraId="51AFEA90" w14:textId="77777777" w:rsidR="00632DC6" w:rsidRDefault="00632DC6" w:rsidP="00632DC6">
      <w:pPr>
        <w:rPr>
          <w:b/>
          <w:bCs/>
          <w:color w:val="70AD47" w:themeColor="accent6"/>
          <w:sz w:val="56"/>
          <w:szCs w:val="56"/>
        </w:rPr>
      </w:pPr>
    </w:p>
    <w:p w14:paraId="64C68787" w14:textId="77777777" w:rsidR="00632DC6" w:rsidRDefault="00632DC6" w:rsidP="00632DC6">
      <w:pPr>
        <w:rPr>
          <w:b/>
          <w:bCs/>
          <w:color w:val="70AD47" w:themeColor="accent6"/>
          <w:sz w:val="56"/>
          <w:szCs w:val="56"/>
        </w:rPr>
      </w:pPr>
    </w:p>
    <w:p w14:paraId="2F4A317E" w14:textId="77777777" w:rsidR="00632DC6" w:rsidRDefault="00632DC6" w:rsidP="00632DC6">
      <w:pPr>
        <w:rPr>
          <w:b/>
          <w:bCs/>
          <w:color w:val="70AD47" w:themeColor="accent6"/>
          <w:sz w:val="56"/>
          <w:szCs w:val="56"/>
        </w:rPr>
      </w:pPr>
    </w:p>
    <w:p w14:paraId="4C597462" w14:textId="77777777" w:rsidR="00632DC6" w:rsidRDefault="00632DC6" w:rsidP="00632DC6">
      <w:pPr>
        <w:rPr>
          <w:b/>
          <w:bCs/>
          <w:color w:val="002060"/>
          <w:sz w:val="52"/>
          <w:szCs w:val="52"/>
        </w:rPr>
      </w:pPr>
    </w:p>
    <w:p w14:paraId="1ED2A3A1" w14:textId="77777777" w:rsidR="00632DC6" w:rsidRPr="008D1E0B" w:rsidRDefault="00632DC6" w:rsidP="00632DC6">
      <w:pPr>
        <w:rPr>
          <w:b/>
          <w:bCs/>
          <w:color w:val="002060"/>
          <w:sz w:val="20"/>
          <w:szCs w:val="20"/>
        </w:rPr>
      </w:pPr>
    </w:p>
    <w:p w14:paraId="11DC0AAB" w14:textId="0BC3CF20" w:rsidR="00632DC6" w:rsidRDefault="00632DC6" w:rsidP="00632DC6">
      <w:pPr>
        <w:rPr>
          <w:color w:val="002060"/>
          <w:sz w:val="48"/>
          <w:szCs w:val="48"/>
        </w:rPr>
      </w:pPr>
      <w:r w:rsidRPr="00EB635B">
        <w:rPr>
          <w:color w:val="002060"/>
          <w:sz w:val="48"/>
          <w:szCs w:val="48"/>
        </w:rPr>
        <w:t xml:space="preserve">Internal Briefing Note: </w:t>
      </w:r>
      <w:r w:rsidRPr="00632DC6">
        <w:rPr>
          <w:color w:val="002060"/>
          <w:sz w:val="48"/>
          <w:szCs w:val="48"/>
        </w:rPr>
        <w:t>Critical Analysis of Project Benefits and Sustainability</w:t>
      </w:r>
    </w:p>
    <w:p w14:paraId="4191F7EB" w14:textId="77777777" w:rsidR="00632DC6" w:rsidRPr="008226F0" w:rsidRDefault="00632DC6" w:rsidP="00632DC6">
      <w:pPr>
        <w:rPr>
          <w:color w:val="70AD47" w:themeColor="accent6"/>
          <w:sz w:val="32"/>
          <w:szCs w:val="32"/>
        </w:rPr>
      </w:pPr>
      <w:r>
        <w:rPr>
          <w:color w:val="70AD47" w:themeColor="accent6"/>
          <w:sz w:val="32"/>
          <w:szCs w:val="32"/>
        </w:rPr>
        <w:t xml:space="preserve">Academy Trust Design and build </w:t>
      </w:r>
    </w:p>
    <w:p w14:paraId="17E0DC3F" w14:textId="49DE7E33" w:rsidR="00632DC6" w:rsidRPr="00CD0E5A" w:rsidRDefault="00632DC6" w:rsidP="00632DC6">
      <w:pPr>
        <w:spacing w:after="0"/>
        <w:rPr>
          <w:color w:val="002060"/>
          <w:sz w:val="24"/>
          <w:szCs w:val="24"/>
        </w:rPr>
      </w:pPr>
      <w:r w:rsidRPr="00CD0E5A">
        <w:rPr>
          <w:noProof/>
          <w:color w:val="002060"/>
          <w:sz w:val="24"/>
          <w:szCs w:val="24"/>
        </w:rPr>
        <mc:AlternateContent>
          <mc:Choice Requires="wps">
            <w:drawing>
              <wp:anchor distT="0" distB="0" distL="114300" distR="114300" simplePos="0" relativeHeight="251661312" behindDoc="0" locked="0" layoutInCell="1" allowOverlap="1" wp14:anchorId="3EB108C8" wp14:editId="28AAB64D">
                <wp:simplePos x="0" y="0"/>
                <wp:positionH relativeFrom="column">
                  <wp:posOffset>63795</wp:posOffset>
                </wp:positionH>
                <wp:positionV relativeFrom="paragraph">
                  <wp:posOffset>52232</wp:posOffset>
                </wp:positionV>
                <wp:extent cx="4253" cy="901641"/>
                <wp:effectExtent l="0" t="0" r="34290" b="32385"/>
                <wp:wrapNone/>
                <wp:docPr id="945942174" name="Straight Connector 3"/>
                <wp:cNvGraphicFramePr/>
                <a:graphic xmlns:a="http://schemas.openxmlformats.org/drawingml/2006/main">
                  <a:graphicData uri="http://schemas.microsoft.com/office/word/2010/wordprocessingShape">
                    <wps:wsp>
                      <wps:cNvCnPr/>
                      <wps:spPr>
                        <a:xfrm flipH="1">
                          <a:off x="0" y="0"/>
                          <a:ext cx="4253" cy="901641"/>
                        </a:xfrm>
                        <a:prstGeom prst="line">
                          <a:avLst/>
                        </a:prstGeom>
                        <a:ln>
                          <a:solidFill>
                            <a:srgbClr val="00206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DEE735" id="Straight Connector 3"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pt" to="5.35pt,7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" strokecolor="#002060" strokeweight="1.5pt">
                <v:stroke joinstyle="miter"/>
              </v:line>
            </w:pict>
          </mc:Fallback>
        </mc:AlternateContent>
      </w:r>
      <w:r>
        <w:rPr>
          <w:color w:val="002060"/>
          <w:sz w:val="24"/>
          <w:szCs w:val="24"/>
        </w:rPr>
        <w:t xml:space="preserve">      Date: 1</w:t>
      </w:r>
      <w:r>
        <w:rPr>
          <w:color w:val="002060"/>
          <w:sz w:val="24"/>
          <w:szCs w:val="24"/>
        </w:rPr>
        <w:t>0</w:t>
      </w:r>
      <w:r w:rsidRPr="003C133A">
        <w:rPr>
          <w:color w:val="002060"/>
          <w:sz w:val="24"/>
          <w:szCs w:val="24"/>
          <w:vertAlign w:val="superscript"/>
        </w:rPr>
        <w:t>th</w:t>
      </w:r>
      <w:r>
        <w:rPr>
          <w:color w:val="002060"/>
          <w:sz w:val="24"/>
          <w:szCs w:val="24"/>
        </w:rPr>
        <w:t xml:space="preserve"> March 2026</w:t>
      </w:r>
    </w:p>
    <w:p w14:paraId="286E299D" w14:textId="77777777" w:rsidR="00632DC6" w:rsidRPr="00CD0E5A" w:rsidRDefault="00632DC6" w:rsidP="00632DC6">
      <w:pPr>
        <w:spacing w:after="0"/>
        <w:rPr>
          <w:color w:val="002060"/>
          <w:sz w:val="24"/>
          <w:szCs w:val="24"/>
        </w:rPr>
      </w:pPr>
      <w:r>
        <w:rPr>
          <w:color w:val="002060"/>
          <w:sz w:val="24"/>
          <w:szCs w:val="24"/>
        </w:rPr>
        <w:t xml:space="preserve">      FAO: Project Director  </w:t>
      </w:r>
    </w:p>
    <w:p w14:paraId="253F45E0" w14:textId="77777777" w:rsidR="00632DC6" w:rsidRPr="00CD0E5A" w:rsidRDefault="00632DC6" w:rsidP="00632DC6">
      <w:pPr>
        <w:spacing w:after="0"/>
        <w:rPr>
          <w:color w:val="002060"/>
          <w:sz w:val="24"/>
          <w:szCs w:val="24"/>
        </w:rPr>
      </w:pPr>
      <w:r>
        <w:rPr>
          <w:color w:val="002060"/>
          <w:sz w:val="24"/>
          <w:szCs w:val="24"/>
        </w:rPr>
        <w:t xml:space="preserve">      </w:t>
      </w:r>
      <w:r w:rsidRPr="00CD0E5A">
        <w:rPr>
          <w:color w:val="002060"/>
          <w:sz w:val="24"/>
          <w:szCs w:val="24"/>
        </w:rPr>
        <w:t xml:space="preserve">Site </w:t>
      </w:r>
      <w:r>
        <w:rPr>
          <w:color w:val="002060"/>
          <w:sz w:val="24"/>
          <w:szCs w:val="24"/>
        </w:rPr>
        <w:t xml:space="preserve">Contractor: ‘Specialist Design and Build’ Contractors </w:t>
      </w:r>
    </w:p>
    <w:p w14:paraId="0768740D" w14:textId="77777777" w:rsidR="00632DC6" w:rsidRPr="00CD0E5A" w:rsidRDefault="00632DC6" w:rsidP="00632DC6">
      <w:pPr>
        <w:spacing w:after="0"/>
        <w:rPr>
          <w:color w:val="002060"/>
          <w:sz w:val="24"/>
          <w:szCs w:val="24"/>
        </w:rPr>
      </w:pPr>
      <w:r>
        <w:rPr>
          <w:color w:val="002060"/>
          <w:sz w:val="24"/>
          <w:szCs w:val="24"/>
        </w:rPr>
        <w:t xml:space="preserve">      </w:t>
      </w:r>
      <w:r w:rsidRPr="00CD0E5A">
        <w:rPr>
          <w:color w:val="002060"/>
          <w:sz w:val="24"/>
          <w:szCs w:val="24"/>
        </w:rPr>
        <w:t>Author: Ian Brown</w:t>
      </w:r>
      <w:r>
        <w:rPr>
          <w:color w:val="002060"/>
          <w:sz w:val="24"/>
          <w:szCs w:val="24"/>
        </w:rPr>
        <w:t xml:space="preserve">   </w:t>
      </w:r>
      <w:r>
        <w:rPr>
          <w:color w:val="002060"/>
          <w:sz w:val="24"/>
          <w:szCs w:val="24"/>
        </w:rPr>
        <w:tab/>
      </w:r>
      <w:r>
        <w:rPr>
          <w:color w:val="002060"/>
          <w:sz w:val="24"/>
          <w:szCs w:val="24"/>
        </w:rPr>
        <w:tab/>
        <w:t>/</w:t>
      </w:r>
      <w:r>
        <w:rPr>
          <w:color w:val="002060"/>
          <w:sz w:val="24"/>
          <w:szCs w:val="24"/>
        </w:rPr>
        <w:tab/>
      </w:r>
      <w:r>
        <w:rPr>
          <w:color w:val="002060"/>
          <w:sz w:val="24"/>
          <w:szCs w:val="24"/>
        </w:rPr>
        <w:tab/>
        <w:t>Student no:</w:t>
      </w:r>
      <w:r w:rsidRPr="00464A6D">
        <w:t xml:space="preserve"> </w:t>
      </w:r>
      <w:r w:rsidRPr="00464A6D">
        <w:rPr>
          <w:color w:val="002060"/>
          <w:sz w:val="24"/>
          <w:szCs w:val="24"/>
        </w:rPr>
        <w:t>2500777</w:t>
      </w:r>
    </w:p>
    <w:p w14:paraId="4D38C9C0" w14:textId="21B518C3" w:rsidR="00632DC6" w:rsidRPr="007B3797" w:rsidRDefault="00632DC6" w:rsidP="00632DC6">
      <w:pPr>
        <w:spacing w:after="0"/>
        <w:rPr>
          <w:color w:val="002060"/>
          <w:sz w:val="24"/>
          <w:szCs w:val="24"/>
        </w:rPr>
      </w:pPr>
      <w:r>
        <w:rPr>
          <w:color w:val="002060"/>
          <w:sz w:val="24"/>
          <w:szCs w:val="24"/>
        </w:rPr>
        <w:t xml:space="preserve">      Module code: </w:t>
      </w:r>
      <w:r w:rsidRPr="008226F0">
        <w:rPr>
          <w:color w:val="002060"/>
          <w:sz w:val="24"/>
          <w:szCs w:val="24"/>
        </w:rPr>
        <w:t>PMA7PRM</w:t>
      </w:r>
      <w:r>
        <w:rPr>
          <w:color w:val="002060"/>
          <w:sz w:val="24"/>
          <w:szCs w:val="24"/>
        </w:rPr>
        <w:t xml:space="preserve"> </w:t>
      </w:r>
      <w:r>
        <w:rPr>
          <w:color w:val="002060"/>
          <w:sz w:val="24"/>
          <w:szCs w:val="24"/>
        </w:rPr>
        <w:tab/>
      </w:r>
      <w:r>
        <w:rPr>
          <w:color w:val="002060"/>
          <w:sz w:val="24"/>
          <w:szCs w:val="24"/>
        </w:rPr>
        <w:tab/>
        <w:t>/</w:t>
      </w:r>
      <w:r>
        <w:rPr>
          <w:color w:val="002060"/>
          <w:sz w:val="24"/>
          <w:szCs w:val="24"/>
        </w:rPr>
        <w:tab/>
      </w:r>
      <w:r>
        <w:rPr>
          <w:color w:val="002060"/>
          <w:sz w:val="24"/>
          <w:szCs w:val="24"/>
        </w:rPr>
        <w:tab/>
        <w:t>Word Count</w:t>
      </w:r>
      <w:r w:rsidRPr="00CD0E5A">
        <w:rPr>
          <w:color w:val="002060"/>
          <w:sz w:val="24"/>
          <w:szCs w:val="24"/>
        </w:rPr>
        <w:t xml:space="preserve">: </w:t>
      </w:r>
      <w:r>
        <w:rPr>
          <w:color w:val="002060"/>
          <w:sz w:val="24"/>
          <w:szCs w:val="24"/>
        </w:rPr>
        <w:t>1927</w:t>
      </w:r>
    </w:p>
    <w:p w14:paraId="7486D12E" w14:textId="77777777" w:rsidR="00632DC6" w:rsidRDefault="00632DC6" w:rsidP="00632DC6">
      <w:pPr>
        <w:rPr>
          <w:b/>
          <w:bCs/>
        </w:rPr>
      </w:pPr>
    </w:p>
    <w:p w14:paraId="5829E99E" w14:textId="77777777" w:rsidR="00632DC6" w:rsidRDefault="00632DC6" w:rsidP="00632DC6">
      <w:pPr>
        <w:rPr>
          <w:b/>
          <w:bCs/>
        </w:rPr>
      </w:pPr>
    </w:p>
    <w:p w14:paraId="14DCD7CC" w14:textId="725C0A7D" w:rsidR="00632DC6" w:rsidRPr="00632DC6" w:rsidRDefault="00632DC6" w:rsidP="00632DC6">
      <w:pPr>
        <w:rPr>
          <w:color w:val="002060"/>
        </w:rPr>
      </w:pPr>
      <w:r w:rsidRPr="00632DC6">
        <w:rPr>
          <w:color w:val="002060"/>
        </w:rPr>
        <w:lastRenderedPageBreak/>
        <w:t>Task 1 – Internal Briefing: Critical Analysis of Project Benefits and Sustainability</w:t>
      </w:r>
    </w:p>
    <w:p w14:paraId="774F6B00" w14:textId="77777777" w:rsidR="00632DC6" w:rsidRPr="00632DC6" w:rsidRDefault="00632DC6" w:rsidP="00632DC6">
      <w:pPr>
        <w:rPr>
          <w:color w:val="002060"/>
        </w:rPr>
      </w:pPr>
      <w:r w:rsidRPr="00632DC6">
        <w:rPr>
          <w:color w:val="002060"/>
        </w:rPr>
        <w:t>1. Strategic Context</w:t>
      </w:r>
    </w:p>
    <w:p w14:paraId="49FB9FFE" w14:textId="30610340" w:rsidR="00632DC6" w:rsidRPr="00632DC6" w:rsidRDefault="00632DC6" w:rsidP="00632DC6">
      <w:pPr>
        <w:rPr>
          <w:color w:val="002060"/>
        </w:rPr>
      </w:pPr>
      <w:r w:rsidRPr="00632DC6">
        <w:rPr>
          <w:color w:val="002060"/>
        </w:rPr>
        <w:t>This briefing note evaluates the Academy Trust project’s potential to deliver long-term value to the wider community and enable a sustainable future. It proposes key inclusions for the requested community-wide presentations, ensuring that initiatives encompass benefits over and above the physical built assets. The note justifies a "values-led" approach to delivery, aligning with significant industry reforms aimed at moving from a linear economy to a circular, systemic model</w:t>
      </w:r>
      <w:r>
        <w:rPr>
          <w:color w:val="002060"/>
        </w:rPr>
        <w:t xml:space="preserve"> (</w:t>
      </w:r>
      <w:r w:rsidRPr="00632DC6">
        <w:rPr>
          <w:color w:val="002060"/>
        </w:rPr>
        <w:t>Duncan Baker-Brown</w:t>
      </w:r>
      <w:r>
        <w:rPr>
          <w:color w:val="002060"/>
        </w:rPr>
        <w:t>, 2017).</w:t>
      </w:r>
    </w:p>
    <w:p w14:paraId="04D21F25" w14:textId="476BA3E8" w:rsidR="00632DC6" w:rsidRDefault="00632DC6" w:rsidP="00632DC6">
      <w:pPr>
        <w:rPr>
          <w:color w:val="002060"/>
        </w:rPr>
      </w:pPr>
      <w:r w:rsidRPr="00632DC6">
        <w:rPr>
          <w:color w:val="002060"/>
        </w:rPr>
        <w:t>The project involves a new-build science asset and a comprehensive refurbishment of existing classroom facilities. The construction industry currently accounts for 36% of carbon emissions and 60% of all waste in England.</w:t>
      </w:r>
      <w:r w:rsidRPr="00632DC6">
        <w:rPr>
          <w:rFonts w:eastAsia="Arial" w:cs="Arial"/>
          <w:color w:val="1D2125"/>
        </w:rPr>
        <w:t xml:space="preserve"> </w:t>
      </w:r>
      <w:r>
        <w:rPr>
          <w:rFonts w:eastAsia="Arial" w:cs="Arial"/>
          <w:color w:val="1D2125"/>
        </w:rPr>
        <w:t>(</w:t>
      </w:r>
      <w:r w:rsidRPr="00632DC6">
        <w:rPr>
          <w:color w:val="002060"/>
        </w:rPr>
        <w:t>HM Government</w:t>
      </w:r>
      <w:r>
        <w:rPr>
          <w:color w:val="002060"/>
        </w:rPr>
        <w:t>,</w:t>
      </w:r>
      <w:r w:rsidRPr="00632DC6">
        <w:rPr>
          <w:color w:val="002060"/>
        </w:rPr>
        <w:t> 202</w:t>
      </w:r>
      <w:r>
        <w:rPr>
          <w:color w:val="002060"/>
        </w:rPr>
        <w:t>2</w:t>
      </w:r>
      <w:r w:rsidRPr="00632DC6">
        <w:rPr>
          <w:color w:val="002060"/>
        </w:rPr>
        <w:t>)  Consequently, central government mandates, such as the Construction Playbook, require public works to drive change towards net-zero commitments and promote social value. The client has requested community presentations concurrent with the commencement of delivery to explain these broader impacts.</w:t>
      </w:r>
    </w:p>
    <w:p w14:paraId="0FD62AC9" w14:textId="0A418D0D" w:rsidR="00632DC6" w:rsidRPr="00632DC6" w:rsidRDefault="00632DC6" w:rsidP="00632DC6">
      <w:pPr>
        <w:rPr>
          <w:color w:val="002060"/>
        </w:rPr>
      </w:pPr>
      <w:r>
        <w:rPr>
          <w:color w:val="002060"/>
        </w:rPr>
        <w:t xml:space="preserve">2. </w:t>
      </w:r>
      <w:r w:rsidRPr="00632DC6">
        <w:rPr>
          <w:color w:val="002060"/>
        </w:rPr>
        <w:t>Critical Analysis of Wider Community Benefits</w:t>
      </w:r>
    </w:p>
    <w:p w14:paraId="5AB1D726" w14:textId="534D1255" w:rsidR="00632DC6" w:rsidRPr="00632DC6" w:rsidRDefault="00632DC6" w:rsidP="00632DC6">
      <w:pPr>
        <w:rPr>
          <w:color w:val="002060"/>
        </w:rPr>
      </w:pPr>
      <w:r w:rsidRPr="00632DC6">
        <w:rPr>
          <w:color w:val="002060"/>
        </w:rPr>
        <w:t>The request for community presentations concurrent with delivery commencement reflects the client’s commitment to transparency and social responsibility</w:t>
      </w:r>
      <w:r>
        <w:rPr>
          <w:color w:val="002060"/>
        </w:rPr>
        <w:t>(BSI, 2020)</w:t>
      </w:r>
      <w:r w:rsidRPr="00632DC6">
        <w:rPr>
          <w:color w:val="002060"/>
        </w:rPr>
        <w:t>. The project must be viewed through the lens of Social Value, moving beyond the physical asset to consider the broader economic and social outcomes for the suburbs and the wider city</w:t>
      </w:r>
      <w:r w:rsidRPr="00632DC6">
        <w:t xml:space="preserve"> </w:t>
      </w:r>
      <w:r>
        <w:t>(</w:t>
      </w:r>
      <w:r w:rsidRPr="00632DC6">
        <w:rPr>
          <w:color w:val="002060"/>
        </w:rPr>
        <w:t>Cabinet Office</w:t>
      </w:r>
      <w:r>
        <w:rPr>
          <w:color w:val="002060"/>
        </w:rPr>
        <w:t>,</w:t>
      </w:r>
      <w:r w:rsidRPr="00632DC6">
        <w:rPr>
          <w:color w:val="002060"/>
        </w:rPr>
        <w:t xml:space="preserve"> 2022)</w:t>
      </w:r>
    </w:p>
    <w:p w14:paraId="7397A1D8" w14:textId="124D5F6F" w:rsidR="00632DC6" w:rsidRDefault="00632DC6" w:rsidP="00632DC6">
      <w:pPr>
        <w:rPr>
          <w:color w:val="002060"/>
        </w:rPr>
      </w:pPr>
      <w:r w:rsidRPr="00632DC6">
        <w:rPr>
          <w:color w:val="002060"/>
        </w:rPr>
        <w:t>As an Academy Trust project, the core benefit lies in creating high-performance learning environments that identify and understand final occupants’ needs to achieve better exam results and happiness. Following the principles in the Construction Playbook, the procurement process should consult widely to encourage participation from local SMEs and VCSEs, fostering economic resilience within the suburban community</w:t>
      </w:r>
      <w:r>
        <w:rPr>
          <w:color w:val="002060"/>
        </w:rPr>
        <w:t xml:space="preserve"> (RIBA, 2020)</w:t>
      </w:r>
      <w:r w:rsidRPr="00632DC6">
        <w:rPr>
          <w:color w:val="002060"/>
        </w:rPr>
        <w:t xml:space="preserve"> </w:t>
      </w:r>
      <w:r w:rsidRPr="00632DC6">
        <w:rPr>
          <w:color w:val="002060"/>
        </w:rPr>
        <w:t>The project serves as a catalyst for "green jobs," offering training opportunities that address the industry's skills gap.</w:t>
      </w:r>
    </w:p>
    <w:p w14:paraId="0A6EBC93" w14:textId="57781EFD" w:rsidR="00632DC6" w:rsidRDefault="00632DC6" w:rsidP="00632DC6">
      <w:pPr>
        <w:rPr>
          <w:color w:val="002060"/>
        </w:rPr>
      </w:pPr>
      <w:r w:rsidRPr="00632DC6">
        <w:rPr>
          <w:color w:val="002060"/>
        </w:rPr>
        <w:t xml:space="preserve">Integration of BREEAM or </w:t>
      </w:r>
      <w:r>
        <w:rPr>
          <w:color w:val="002060"/>
        </w:rPr>
        <w:t>PH</w:t>
      </w:r>
      <w:r w:rsidRPr="00632DC6">
        <w:rPr>
          <w:color w:val="002060"/>
        </w:rPr>
        <w:t xml:space="preserve"> certification standards ensures metrics such as indoor air quality, daylighting, and thermal comfort are prioritised</w:t>
      </w:r>
      <w:r>
        <w:rPr>
          <w:color w:val="002060"/>
        </w:rPr>
        <w:t xml:space="preserve"> (PHT, 2021)</w:t>
      </w:r>
      <w:r w:rsidRPr="00632DC6">
        <w:rPr>
          <w:color w:val="002060"/>
        </w:rPr>
        <w:t>. High-quality construction, guided by the CIOB Code of Quality Management, aims for a "right-first-time" approach, reducing the stress and safety risks associated with defective work and enhancing public confidence</w:t>
      </w:r>
      <w:r>
        <w:rPr>
          <w:color w:val="002060"/>
        </w:rPr>
        <w:t xml:space="preserve"> (CIOB, 2019) </w:t>
      </w:r>
      <w:r w:rsidRPr="00632DC6">
        <w:rPr>
          <w:color w:val="002060"/>
        </w:rPr>
        <w:t>Effective engagement, as outlined in the RIBA Engagement Overlay</w:t>
      </w:r>
      <w:r>
        <w:rPr>
          <w:color w:val="002060"/>
        </w:rPr>
        <w:t>(RIBA, 2024)</w:t>
      </w:r>
      <w:r w:rsidRPr="00632DC6">
        <w:rPr>
          <w:color w:val="002060"/>
        </w:rPr>
        <w:t>, must be inclusive and fair, especially for groups with protected characteristics. By involving the local community early in the delivery phase, the project avoids being perceived as a tokenistic "check-box" exercise, instead fostering a sense of belonging and agency.</w:t>
      </w:r>
      <w:r>
        <w:rPr>
          <w:color w:val="002060"/>
        </w:rPr>
        <w:t xml:space="preserve"> </w:t>
      </w:r>
    </w:p>
    <w:p w14:paraId="2732C28E" w14:textId="506E9045" w:rsidR="00632DC6" w:rsidRDefault="00632DC6" w:rsidP="00632DC6">
      <w:pPr>
        <w:rPr>
          <w:color w:val="002060"/>
        </w:rPr>
      </w:pPr>
      <w:r w:rsidRPr="00632DC6">
        <w:rPr>
          <w:color w:val="002060"/>
        </w:rPr>
        <w:t>Safety and Quality Assurance</w:t>
      </w:r>
      <w:r>
        <w:rPr>
          <w:color w:val="002060"/>
        </w:rPr>
        <w:t>,</w:t>
      </w:r>
      <w:r w:rsidRPr="00632DC6">
        <w:rPr>
          <w:color w:val="002060"/>
        </w:rPr>
        <w:t xml:space="preserve"> Adhering to the CIOB Code of Quality Management ensures a "right-first-time" approach, which reduces the stress and safety risks associated with defective work</w:t>
      </w:r>
      <w:r>
        <w:rPr>
          <w:color w:val="002060"/>
        </w:rPr>
        <w:t xml:space="preserve">. </w:t>
      </w:r>
      <w:r w:rsidRPr="00632DC6">
        <w:rPr>
          <w:color w:val="002060"/>
        </w:rPr>
        <w:t>This builds public trust, reassuring the community that the Academy provides a safe, enduring environment for children</w:t>
      </w:r>
      <w:r>
        <w:rPr>
          <w:color w:val="002060"/>
        </w:rPr>
        <w:t>.</w:t>
      </w:r>
    </w:p>
    <w:p w14:paraId="1597C4E4" w14:textId="4368C1D6" w:rsidR="00632DC6" w:rsidRPr="00632DC6" w:rsidRDefault="00632DC6" w:rsidP="00632DC6">
      <w:pPr>
        <w:rPr>
          <w:color w:val="002060"/>
        </w:rPr>
      </w:pPr>
      <w:r w:rsidRPr="00632DC6">
        <w:rPr>
          <w:color w:val="002060"/>
        </w:rPr>
        <w:t xml:space="preserve">By encouraging </w:t>
      </w:r>
      <w:r>
        <w:rPr>
          <w:color w:val="002060"/>
        </w:rPr>
        <w:t xml:space="preserve">community groups, such as local schools students, </w:t>
      </w:r>
      <w:r w:rsidRPr="00632DC6">
        <w:rPr>
          <w:color w:val="002060"/>
        </w:rPr>
        <w:t xml:space="preserve">to learn about </w:t>
      </w:r>
      <w:r>
        <w:rPr>
          <w:color w:val="002060"/>
        </w:rPr>
        <w:t xml:space="preserve">sustainable </w:t>
      </w:r>
      <w:r w:rsidRPr="00632DC6">
        <w:rPr>
          <w:color w:val="002060"/>
        </w:rPr>
        <w:t xml:space="preserve">construction and highlighting the digital technologies being utilised, a more positive outlook </w:t>
      </w:r>
      <w:r>
        <w:rPr>
          <w:color w:val="002060"/>
        </w:rPr>
        <w:t xml:space="preserve">of construction </w:t>
      </w:r>
      <w:r w:rsidRPr="00632DC6">
        <w:rPr>
          <w:color w:val="002060"/>
        </w:rPr>
        <w:t xml:space="preserve">can be portrayed for the next generation. There is clear evidence that engagement with schools has a positive impact </w:t>
      </w:r>
      <w:r>
        <w:rPr>
          <w:color w:val="002060"/>
        </w:rPr>
        <w:t xml:space="preserve">both the perception of the project but also the interest from individuals exploring jobs within the construction industry, strengthening the local construction economy </w:t>
      </w:r>
      <w:r w:rsidRPr="00632DC6">
        <w:rPr>
          <w:color w:val="002060"/>
        </w:rPr>
        <w:t>(Assemble A, 2024).</w:t>
      </w:r>
    </w:p>
    <w:p w14:paraId="52DF6DA1" w14:textId="47DF260D" w:rsidR="00632DC6" w:rsidRPr="00632DC6" w:rsidRDefault="00632DC6" w:rsidP="00632DC6">
      <w:pPr>
        <w:rPr>
          <w:color w:val="002060"/>
        </w:rPr>
      </w:pPr>
      <w:r w:rsidRPr="00632DC6">
        <w:rPr>
          <w:color w:val="002060"/>
        </w:rPr>
        <w:lastRenderedPageBreak/>
        <w:t>Sustainability is no longer a matter of compliance but a mission-critical strategic driver for construction clients</w:t>
      </w:r>
      <w:r>
        <w:rPr>
          <w:color w:val="002060"/>
        </w:rPr>
        <w:t xml:space="preserve"> (CIOB, 2025) </w:t>
      </w:r>
      <w:r w:rsidRPr="00632DC6">
        <w:rPr>
          <w:color w:val="002060"/>
        </w:rPr>
        <w:t>The project must align with the Net Zero Carbon Buildings framework, targeting both operational and embodied carbon. This involves setting ambitious targets for energy use (kWh/m²/year) and embodied CO2 (kgCO2/m²/year) at the Strategic Definition stage and verifying them through in-use performance</w:t>
      </w:r>
      <w:r>
        <w:rPr>
          <w:color w:val="002060"/>
        </w:rPr>
        <w:t xml:space="preserve"> (RIBA, 2020) (PHT, 2021). </w:t>
      </w:r>
    </w:p>
    <w:p w14:paraId="0B75FC3E" w14:textId="58CF034F" w:rsidR="00632DC6" w:rsidRPr="00632DC6" w:rsidRDefault="00632DC6" w:rsidP="00632DC6">
      <w:pPr>
        <w:rPr>
          <w:color w:val="002060"/>
        </w:rPr>
      </w:pPr>
      <w:r w:rsidRPr="00632DC6">
        <w:rPr>
          <w:color w:val="002060"/>
        </w:rPr>
        <w:t>The refurbishment of the existing 40-year-old asset is a critical opportunity to "build less" by maximising the use of existing structures</w:t>
      </w:r>
      <w:r w:rsidRPr="00632DC6">
        <w:t xml:space="preserve"> </w:t>
      </w:r>
      <w:r>
        <w:t>(</w:t>
      </w:r>
      <w:r w:rsidRPr="00632DC6">
        <w:rPr>
          <w:color w:val="002060"/>
        </w:rPr>
        <w:t>UKGBC</w:t>
      </w:r>
      <w:r>
        <w:rPr>
          <w:color w:val="002060"/>
        </w:rPr>
        <w:t>,</w:t>
      </w:r>
      <w:r w:rsidRPr="00632DC6">
        <w:rPr>
          <w:color w:val="002060"/>
        </w:rPr>
        <w:t xml:space="preserve"> 2019). Prioritising the reuse of building components and materials aligns with the Reuse Atlas, which posits that there is "no such thing as waste, just stuff in the wrong place"</w:t>
      </w:r>
      <w:r>
        <w:rPr>
          <w:color w:val="002060"/>
        </w:rPr>
        <w:t>(</w:t>
      </w:r>
      <w:r w:rsidRPr="00632DC6">
        <w:rPr>
          <w:color w:val="002060"/>
        </w:rPr>
        <w:t>Duncan Baker-Brown</w:t>
      </w:r>
      <w:r>
        <w:rPr>
          <w:color w:val="002060"/>
        </w:rPr>
        <w:t>, 2017)</w:t>
      </w:r>
      <w:r w:rsidRPr="00632DC6">
        <w:rPr>
          <w:color w:val="002060"/>
        </w:rPr>
        <w:t>. The design should incorporate future deconstruction and recycling strategies to ensure the asset does not become a "stranded asset" due to early obsolescence</w:t>
      </w:r>
      <w:r>
        <w:rPr>
          <w:color w:val="002060"/>
        </w:rPr>
        <w:t>(CIOB, 2025)</w:t>
      </w:r>
      <w:r w:rsidRPr="00632DC6">
        <w:rPr>
          <w:color w:val="002060"/>
        </w:rPr>
        <w:t>.</w:t>
      </w:r>
      <w:r w:rsidRPr="00632DC6">
        <w:rPr>
          <w:color w:val="002060"/>
        </w:rPr>
        <w:t xml:space="preserve"> </w:t>
      </w:r>
    </w:p>
    <w:p w14:paraId="485A82F5" w14:textId="16644106" w:rsidR="00632DC6" w:rsidRPr="00632DC6" w:rsidRDefault="00632DC6" w:rsidP="00632DC6">
      <w:pPr>
        <w:rPr>
          <w:color w:val="002060"/>
        </w:rPr>
      </w:pPr>
      <w:r w:rsidRPr="00632DC6">
        <w:rPr>
          <w:color w:val="002060"/>
        </w:rPr>
        <w:t>Specifications must shift focus from lowest capital cost to Whole Life Value. This requires a Should Cost Model</w:t>
      </w:r>
      <w:r>
        <w:rPr>
          <w:color w:val="002060"/>
        </w:rPr>
        <w:t xml:space="preserve"> (</w:t>
      </w:r>
      <w:r w:rsidRPr="00632DC6">
        <w:rPr>
          <w:color w:val="002060"/>
        </w:rPr>
        <w:t>Cabinet Office</w:t>
      </w:r>
      <w:r>
        <w:rPr>
          <w:color w:val="002060"/>
        </w:rPr>
        <w:t>,</w:t>
      </w:r>
      <w:r w:rsidRPr="00632DC6">
        <w:rPr>
          <w:color w:val="002060"/>
        </w:rPr>
        <w:t xml:space="preserve"> 2022) to understand long-term costs and carbon impacts over the asset's entire lifecycle. Furthermore, ethical sourcing—ranging from material provenance to preventing modern slavery in the supply chain—is an essential component of a sustainable future</w:t>
      </w:r>
      <w:r w:rsidRPr="00632DC6">
        <w:rPr>
          <w:color w:val="002060"/>
        </w:rPr>
        <w:t xml:space="preserve"> (RIBA, 2020)</w:t>
      </w:r>
      <w:r w:rsidRPr="00632DC6">
        <w:rPr>
          <w:color w:val="002060"/>
        </w:rPr>
        <w:t>.</w:t>
      </w:r>
    </w:p>
    <w:p w14:paraId="535EBFD4" w14:textId="089C08A6" w:rsidR="00632DC6" w:rsidRPr="00632DC6" w:rsidRDefault="00632DC6" w:rsidP="00632DC6">
      <w:pPr>
        <w:rPr>
          <w:color w:val="002060"/>
        </w:rPr>
      </w:pPr>
      <w:r w:rsidRPr="00632DC6">
        <w:rPr>
          <w:color w:val="002060"/>
        </w:rPr>
        <w:t>3</w:t>
      </w:r>
      <w:r w:rsidRPr="00632DC6">
        <w:rPr>
          <w:color w:val="002060"/>
        </w:rPr>
        <w:t xml:space="preserve">. </w:t>
      </w:r>
      <w:r>
        <w:rPr>
          <w:color w:val="002060"/>
        </w:rPr>
        <w:t xml:space="preserve">Facilitating communication </w:t>
      </w:r>
    </w:p>
    <w:p w14:paraId="03BC7A8B" w14:textId="5BFB08C6" w:rsidR="00632DC6" w:rsidRPr="00632DC6" w:rsidRDefault="00632DC6" w:rsidP="00632DC6">
      <w:pPr>
        <w:rPr>
          <w:color w:val="002060"/>
        </w:rPr>
      </w:pPr>
      <w:r w:rsidRPr="00632DC6">
        <w:rPr>
          <w:color w:val="002060"/>
        </w:rPr>
        <w:t>To satisfy the client's request for community-wide presentations, the project team must adopt a "values-led" approach to communication</w:t>
      </w:r>
      <w:r>
        <w:rPr>
          <w:color w:val="002060"/>
        </w:rPr>
        <w:t>. Key considerations should be given to the l</w:t>
      </w:r>
      <w:r w:rsidRPr="00632DC6">
        <w:rPr>
          <w:color w:val="002060"/>
        </w:rPr>
        <w:t xml:space="preserve">evels of </w:t>
      </w:r>
      <w:r>
        <w:rPr>
          <w:color w:val="002060"/>
        </w:rPr>
        <w:t>e</w:t>
      </w:r>
      <w:r w:rsidRPr="00632DC6">
        <w:rPr>
          <w:color w:val="002060"/>
        </w:rPr>
        <w:t>ngagement</w:t>
      </w:r>
      <w:r>
        <w:rPr>
          <w:color w:val="002060"/>
        </w:rPr>
        <w:t>, p</w:t>
      </w:r>
      <w:r w:rsidRPr="00632DC6">
        <w:rPr>
          <w:color w:val="002060"/>
        </w:rPr>
        <w:t>resentations</w:t>
      </w:r>
      <w:r>
        <w:rPr>
          <w:color w:val="002060"/>
        </w:rPr>
        <w:t xml:space="preserve"> are proven to be inept and the activities</w:t>
      </w:r>
      <w:r w:rsidRPr="00632DC6">
        <w:rPr>
          <w:color w:val="002060"/>
        </w:rPr>
        <w:t xml:space="preserve"> should not merely "inform" but move towards "involving" and "collaborating" </w:t>
      </w:r>
      <w:r>
        <w:rPr>
          <w:color w:val="002060"/>
        </w:rPr>
        <w:t xml:space="preserve">with </w:t>
      </w:r>
      <w:r w:rsidRPr="00632DC6">
        <w:rPr>
          <w:color w:val="002060"/>
        </w:rPr>
        <w:t>the community according to the IAP2 Spectrum of Public Participation</w:t>
      </w:r>
      <w:r w:rsidRPr="00632DC6">
        <w:rPr>
          <w:color w:val="002060"/>
        </w:rPr>
        <w:t xml:space="preserve"> (RIBA, 2024)</w:t>
      </w:r>
      <w:r>
        <w:rPr>
          <w:color w:val="002060"/>
        </w:rPr>
        <w:t xml:space="preserve">, </w:t>
      </w:r>
      <w:r w:rsidRPr="00632DC6">
        <w:rPr>
          <w:color w:val="002060"/>
        </w:rPr>
        <w:t>with</w:t>
      </w:r>
      <w:r>
        <w:rPr>
          <w:color w:val="002060"/>
        </w:rPr>
        <w:t xml:space="preserve"> delivery incorporating site visits, real life construction team members being involved. </w:t>
      </w:r>
      <w:r w:rsidRPr="00632DC6">
        <w:rPr>
          <w:color w:val="002060"/>
        </w:rPr>
        <w:t>This builds trust and transparency, allowing participants to see how their feedback influences project outcomes.</w:t>
      </w:r>
    </w:p>
    <w:p w14:paraId="0CFEE58B" w14:textId="0A4D2E4D" w:rsidR="00632DC6" w:rsidRDefault="00632DC6" w:rsidP="00632DC6">
      <w:pPr>
        <w:rPr>
          <w:color w:val="002060"/>
        </w:rPr>
      </w:pPr>
      <w:r w:rsidRPr="00632DC6">
        <w:rPr>
          <w:color w:val="002060"/>
        </w:rPr>
        <w:t>Narrative Storytelling: By using 3D images, cutaways, and even VR "walk-throughs," we can tell the "story" of the building's materials. We can show where salvaged materials originated and how they have been given a new life, fostering a deeper emotional connection and public pride in the asset</w:t>
      </w:r>
      <w:r>
        <w:rPr>
          <w:color w:val="002060"/>
        </w:rPr>
        <w:t xml:space="preserve"> (RIBA, 2024).  </w:t>
      </w:r>
      <w:r w:rsidRPr="00632DC6">
        <w:rPr>
          <w:color w:val="002060"/>
        </w:rPr>
        <w:t xml:space="preserve">Engagement activities </w:t>
      </w:r>
      <w:r w:rsidRPr="00632DC6">
        <w:rPr>
          <w:color w:val="002060"/>
        </w:rPr>
        <w:t>should emphasize the Golden Thread of information mandated by the Building Safety Act 2022, reassuring the community that the new science facility and refurbished classrooms meet the highest standards of life safety and quality</w:t>
      </w:r>
      <w:r>
        <w:rPr>
          <w:color w:val="002060"/>
        </w:rPr>
        <w:t xml:space="preserve"> (CABE, 2021)</w:t>
      </w:r>
      <w:r w:rsidRPr="00632DC6">
        <w:rPr>
          <w:color w:val="002060"/>
        </w:rPr>
        <w:t>.</w:t>
      </w:r>
    </w:p>
    <w:p w14:paraId="71DC59AD" w14:textId="093D5E6A" w:rsidR="00632DC6" w:rsidRDefault="00632DC6">
      <w:pPr>
        <w:rPr>
          <w:color w:val="002060"/>
        </w:rPr>
      </w:pPr>
      <w:r>
        <w:rPr>
          <w:color w:val="002060"/>
        </w:rPr>
        <w:br w:type="page"/>
      </w:r>
    </w:p>
    <w:p w14:paraId="724B3AAD" w14:textId="51825A32" w:rsidR="00632DC6" w:rsidRPr="00632DC6" w:rsidRDefault="00632DC6" w:rsidP="00632DC6">
      <w:pPr>
        <w:rPr>
          <w:color w:val="002060"/>
        </w:rPr>
      </w:pPr>
      <w:r w:rsidRPr="00632DC6">
        <w:rPr>
          <w:color w:val="002060"/>
        </w:rPr>
        <w:lastRenderedPageBreak/>
        <w:t>Task 2 – Reflective Perspective</w:t>
      </w:r>
    </w:p>
    <w:p w14:paraId="4B170066" w14:textId="77777777" w:rsidR="00632DC6" w:rsidRPr="00632DC6" w:rsidRDefault="00632DC6" w:rsidP="00632DC6">
      <w:pPr>
        <w:rPr>
          <w:color w:val="002060"/>
        </w:rPr>
      </w:pPr>
      <w:r w:rsidRPr="00632DC6">
        <w:rPr>
          <w:color w:val="002060"/>
        </w:rPr>
        <w:t>Reflecting upon current best practice in the built environment, it becomes evident that Information Management (IM) is the primary facilitator of sustainability. The mandated application of the UK BIM Framework and the Golden Thread is not merely a bureaucratic requirement but a fundamental shift towards whole-life asset intelligence.</w:t>
      </w:r>
    </w:p>
    <w:p w14:paraId="11D8B8FD" w14:textId="10CB0789" w:rsidR="00632DC6" w:rsidRPr="00632DC6" w:rsidRDefault="00632DC6" w:rsidP="00632DC6">
      <w:pPr>
        <w:rPr>
          <w:color w:val="002060"/>
        </w:rPr>
      </w:pPr>
      <w:r w:rsidRPr="00632DC6">
        <w:rPr>
          <w:color w:val="002060"/>
        </w:rPr>
        <w:t xml:space="preserve">When information management processes are delivered with proficiency, they ensure that every decision made during the design and construction phases is informed by data rather than assumptions. The use of a Common Data Environment (CDE) and clear Exchange Information Requirements (EIRs) allows for the seamless transfer of knowledge from the design team to the facilities managers. </w:t>
      </w:r>
    </w:p>
    <w:p w14:paraId="49743828" w14:textId="6DE4499B" w:rsidR="00632DC6" w:rsidRPr="00632DC6" w:rsidRDefault="00632DC6" w:rsidP="00632DC6">
      <w:pPr>
        <w:rPr>
          <w:color w:val="002060"/>
        </w:rPr>
      </w:pPr>
      <w:r>
        <w:rPr>
          <w:color w:val="002060"/>
        </w:rPr>
        <w:t>With regards to</w:t>
      </w:r>
      <w:r w:rsidRPr="00632DC6">
        <w:rPr>
          <w:color w:val="002060"/>
        </w:rPr>
        <w:t xml:space="preserve"> the challenges of the circular economy, IM specifically enables local economic resilience. To truly reuse materials</w:t>
      </w:r>
      <w:r>
        <w:rPr>
          <w:color w:val="002060"/>
        </w:rPr>
        <w:t>,</w:t>
      </w:r>
      <w:r w:rsidRPr="00632DC6">
        <w:rPr>
          <w:color w:val="002060"/>
        </w:rPr>
        <w:t xml:space="preserve"> "big data"</w:t>
      </w:r>
      <w:r>
        <w:rPr>
          <w:color w:val="002060"/>
        </w:rPr>
        <w:t xml:space="preserve"> is required</w:t>
      </w:r>
      <w:r w:rsidRPr="00632DC6">
        <w:rPr>
          <w:color w:val="002060"/>
        </w:rPr>
        <w:t xml:space="preserve"> to identify and quantify material flows within our cities. Without a robust BIM model that includes Material Passports, we remain in a linear system where it is "cheaper to throw materials at a site" because we do not know the value of what we are demolishing. Adept IM allows us to map the "urban mine," identifying local resources that can be swapped between contractors online, creating a virtual market for reused materials that benefits local SMEs and reduces the environmental footprint of extraction.</w:t>
      </w:r>
    </w:p>
    <w:p w14:paraId="7937053D" w14:textId="3C4E72CA" w:rsidR="00632DC6" w:rsidRPr="00632DC6" w:rsidRDefault="00632DC6" w:rsidP="00632DC6">
      <w:pPr>
        <w:rPr>
          <w:color w:val="002060"/>
        </w:rPr>
      </w:pPr>
      <w:r w:rsidRPr="00632DC6">
        <w:rPr>
          <w:color w:val="002060"/>
        </w:rPr>
        <w:t xml:space="preserve">Adept IM supports the CIOB Code of Quality Management by enabling better interface management between design and </w:t>
      </w:r>
      <w:proofErr w:type="spellStart"/>
      <w:r w:rsidRPr="00632DC6">
        <w:rPr>
          <w:color w:val="002060"/>
        </w:rPr>
        <w:t>production.The</w:t>
      </w:r>
      <w:proofErr w:type="spellEnd"/>
      <w:r w:rsidRPr="00632DC6">
        <w:rPr>
          <w:color w:val="002060"/>
        </w:rPr>
        <w:t xml:space="preserve"> adept use of Digital Twins and 3D visualisations as the "currency" of project communication breaks down barriers. It allows a parent at the Academy Trust to understand how a complex HVAC system works to ensure their child's safety, or a local business owner to see how a refurbishment will revitalise their street. This transparency is an ethical imperative. It protects the safety of occupants and ensures that the asset continues to serve the community throughout its entire lifecycle.</w:t>
      </w:r>
    </w:p>
    <w:p w14:paraId="41EBBC53" w14:textId="77777777" w:rsidR="00632DC6" w:rsidRPr="00632DC6" w:rsidRDefault="00632DC6" w:rsidP="00632DC6">
      <w:pPr>
        <w:rPr>
          <w:color w:val="002060"/>
        </w:rPr>
      </w:pPr>
      <w:r w:rsidRPr="00632DC6">
        <w:rPr>
          <w:color w:val="002060"/>
        </w:rPr>
        <w:t>Finally, the Golden Thread mandated by the Building Safety Act 2022 ensures a level of transparency and accountability that was previously absent. Providing a clear, digital record of what was built and how it should be maintained is an act of social responsibility. It prevents the building from becoming a "black box" where energy and water use cannot be monitored.</w:t>
      </w:r>
    </w:p>
    <w:p w14:paraId="0BA49685" w14:textId="77777777" w:rsidR="00632DC6" w:rsidRPr="00632DC6" w:rsidRDefault="00632DC6" w:rsidP="00632DC6">
      <w:pPr>
        <w:rPr>
          <w:color w:val="002060"/>
        </w:rPr>
      </w:pPr>
      <w:r w:rsidRPr="00632DC6">
        <w:rPr>
          <w:color w:val="002060"/>
        </w:rPr>
        <w:t>In conclusion, adept information management is the bridge between a sustainable design intent and a sustainable operational reality. It transforms the built asset from a static structure into a dynamic, data-driven system that can adapt to future climatic and societal needs. In my professional journey, I have come to realize that we do not have an innovation problem, but rather a "scaling and adoption problem". By fully embracing digital tools and circular principles, we can create an economy of "better, not more," ensuring a resilient future for the Academy Trust and the wider city it serves.</w:t>
      </w:r>
    </w:p>
    <w:p w14:paraId="3734D179" w14:textId="6DDC1CCC" w:rsidR="00632DC6" w:rsidRDefault="00632DC6">
      <w:pPr>
        <w:rPr>
          <w:color w:val="002060"/>
        </w:rPr>
      </w:pPr>
      <w:r>
        <w:rPr>
          <w:color w:val="002060"/>
        </w:rPr>
        <w:br w:type="page"/>
      </w:r>
    </w:p>
    <w:p w14:paraId="3049A955" w14:textId="568A39C0" w:rsidR="00394601" w:rsidRDefault="00632DC6">
      <w:pPr>
        <w:rPr>
          <w:color w:val="002060"/>
        </w:rPr>
      </w:pPr>
      <w:r>
        <w:rPr>
          <w:color w:val="002060"/>
        </w:rPr>
        <w:lastRenderedPageBreak/>
        <w:t xml:space="preserve">References </w:t>
      </w:r>
    </w:p>
    <w:p w14:paraId="043A2B64" w14:textId="77777777" w:rsidR="00632DC6" w:rsidRPr="00632DC6" w:rsidRDefault="00632DC6" w:rsidP="00632DC6">
      <w:pPr>
        <w:rPr>
          <w:color w:val="002060"/>
        </w:rPr>
      </w:pPr>
      <w:r w:rsidRPr="00632DC6">
        <w:rPr>
          <w:color w:val="002060"/>
        </w:rPr>
        <w:t>Assemble, A. (2024). THE COMMISSION CELEBRATING 180 YEARS The long-term plan for construction. [online] Available at: https://events.assemblemediagroup.co.uk/wp-content/uploads/2024/01/BTF-report-24-FINAL-reduced-filesize.pdf  (Accessed Jan 22nd 2026)</w:t>
      </w:r>
    </w:p>
    <w:p w14:paraId="469F479C" w14:textId="77777777" w:rsidR="00632DC6" w:rsidRPr="00632DC6" w:rsidRDefault="00632DC6" w:rsidP="00632DC6">
      <w:pPr>
        <w:rPr>
          <w:color w:val="002060"/>
        </w:rPr>
      </w:pPr>
      <w:r w:rsidRPr="00632DC6">
        <w:rPr>
          <w:color w:val="002060"/>
        </w:rPr>
        <w:t>Baker-Brown, D. (2017) The Re-Use Atlas: A Designer's Guide Towards the Circular Economy. London: RIBA Publishing.</w:t>
      </w:r>
    </w:p>
    <w:p w14:paraId="678B12EC" w14:textId="77777777" w:rsidR="00632DC6" w:rsidRPr="00632DC6" w:rsidRDefault="00632DC6" w:rsidP="00632DC6">
      <w:pPr>
        <w:rPr>
          <w:color w:val="002060"/>
        </w:rPr>
      </w:pPr>
      <w:r w:rsidRPr="00632DC6">
        <w:rPr>
          <w:color w:val="002060"/>
        </w:rPr>
        <w:t xml:space="preserve">Brighton &amp; Hove City Council (2020) Circular Economy </w:t>
      </w:r>
      <w:proofErr w:type="spellStart"/>
      <w:r w:rsidRPr="00632DC6">
        <w:rPr>
          <w:color w:val="002060"/>
        </w:rPr>
        <w:t>Routemap</w:t>
      </w:r>
      <w:proofErr w:type="spellEnd"/>
      <w:r w:rsidRPr="00632DC6">
        <w:rPr>
          <w:color w:val="002060"/>
        </w:rPr>
        <w:t>. Brighton: BHCC.</w:t>
      </w:r>
    </w:p>
    <w:p w14:paraId="0C06A229" w14:textId="196D2F42" w:rsidR="00632DC6" w:rsidRPr="00632DC6" w:rsidRDefault="00632DC6" w:rsidP="00632DC6">
      <w:pPr>
        <w:rPr>
          <w:color w:val="002060"/>
        </w:rPr>
      </w:pPr>
      <w:r w:rsidRPr="00632DC6">
        <w:rPr>
          <w:color w:val="002060"/>
        </w:rPr>
        <w:t>BSRIA/CIBSE (2025) Soft Landings Framework. London: BSRIA.</w:t>
      </w:r>
    </w:p>
    <w:p w14:paraId="7587C373" w14:textId="77777777" w:rsidR="00632DC6" w:rsidRPr="00632DC6" w:rsidRDefault="00632DC6" w:rsidP="00632DC6">
      <w:pPr>
        <w:rPr>
          <w:color w:val="002060"/>
        </w:rPr>
      </w:pPr>
      <w:r w:rsidRPr="00632DC6">
        <w:rPr>
          <w:color w:val="002060"/>
        </w:rPr>
        <w:t>Build UK (2023). Routes of Entry Into Construction. [online] Available at: https://builduk.org/wp-content/uploads/2022/11/Routes-of-Entry-Into-Construction.pdf. (Accesses March 10th 2026)</w:t>
      </w:r>
    </w:p>
    <w:p w14:paraId="74621AB2" w14:textId="77777777" w:rsidR="00632DC6" w:rsidRPr="00632DC6" w:rsidRDefault="00632DC6" w:rsidP="00632DC6">
      <w:pPr>
        <w:rPr>
          <w:color w:val="002060"/>
        </w:rPr>
      </w:pPr>
      <w:r w:rsidRPr="00632DC6">
        <w:rPr>
          <w:color w:val="002060"/>
        </w:rPr>
        <w:t>Building (2023). ‘I’d recommend it to anyone’: views on why an apprenticeship is better than university. Available at: https://www.building.co.uk/focus/id-recommend-it-to-anyone-views-on-why-an-apprenticeship-is-better-than-university/5127617.article (Accesses March 10th 2026)</w:t>
      </w:r>
    </w:p>
    <w:p w14:paraId="72A70BAF" w14:textId="77777777" w:rsidR="00632DC6" w:rsidRPr="00632DC6" w:rsidRDefault="00632DC6" w:rsidP="00632DC6">
      <w:pPr>
        <w:rPr>
          <w:color w:val="002060"/>
        </w:rPr>
      </w:pPr>
      <w:r w:rsidRPr="00632DC6">
        <w:rPr>
          <w:color w:val="002060"/>
        </w:rPr>
        <w:t>Cabinet Office (2022) The Construction Playbook: Government Guidance on sourcing and contracting public works projects and programmes (Version 1.1). London: Cabinet Office.</w:t>
      </w:r>
    </w:p>
    <w:p w14:paraId="0D781D82" w14:textId="77777777" w:rsidR="00632DC6" w:rsidRPr="00632DC6" w:rsidRDefault="00632DC6" w:rsidP="00632DC6">
      <w:pPr>
        <w:rPr>
          <w:color w:val="002060"/>
        </w:rPr>
      </w:pPr>
      <w:r w:rsidRPr="00632DC6">
        <w:rPr>
          <w:color w:val="002060"/>
        </w:rPr>
        <w:t>CABE (2021) Code of Professional Conduct. Reading: CABE.</w:t>
      </w:r>
    </w:p>
    <w:p w14:paraId="5410AB1D" w14:textId="77777777" w:rsidR="00632DC6" w:rsidRPr="00632DC6" w:rsidRDefault="00632DC6" w:rsidP="00632DC6">
      <w:pPr>
        <w:rPr>
          <w:color w:val="002060"/>
        </w:rPr>
      </w:pPr>
      <w:r w:rsidRPr="00632DC6">
        <w:rPr>
          <w:color w:val="002060"/>
        </w:rPr>
        <w:t xml:space="preserve">Careers Wales. (2022). The Construction Industry in Wales Careers Wales LMI Bulletin November 2022 Content. Available at: https://careerswales.gov.wales/sites/default/files/images/the-construction-industry-in-wales-november-22.pdf. (Accesses Feb 17th 2026) </w:t>
      </w:r>
    </w:p>
    <w:p w14:paraId="1E815BCB" w14:textId="77777777" w:rsidR="00632DC6" w:rsidRPr="00632DC6" w:rsidRDefault="00632DC6" w:rsidP="00632DC6">
      <w:pPr>
        <w:rPr>
          <w:color w:val="002060"/>
        </w:rPr>
      </w:pPr>
      <w:r w:rsidRPr="00632DC6">
        <w:rPr>
          <w:color w:val="002060"/>
        </w:rPr>
        <w:t>CHAS (2021) Tackling the Skills Shortage in Construction [online] Available at: How To Tackle The UK’s Construction Skills Shortage | CHAS (Accessed on 17th November 2025)</w:t>
      </w:r>
    </w:p>
    <w:p w14:paraId="63AB2F92" w14:textId="77777777" w:rsidR="00632DC6" w:rsidRPr="00632DC6" w:rsidRDefault="00632DC6" w:rsidP="00632DC6">
      <w:pPr>
        <w:rPr>
          <w:color w:val="002060"/>
        </w:rPr>
      </w:pPr>
      <w:r w:rsidRPr="00632DC6">
        <w:rPr>
          <w:color w:val="002060"/>
        </w:rPr>
        <w:t>CIOB (2023). The impact of the ageing population on the construction industry| CIOB. Available at: https://www.ciob.org/sites/default/files/CIOB%20research%20-%20The%20Impact%20of%20the%20Ageing%20Population%20on%20the%20Construction%20Industry_0.pdf (Accesses March 10th 2026)</w:t>
      </w:r>
    </w:p>
    <w:p w14:paraId="394CD00D" w14:textId="77777777" w:rsidR="00632DC6" w:rsidRPr="00632DC6" w:rsidRDefault="00632DC6" w:rsidP="00632DC6">
      <w:pPr>
        <w:rPr>
          <w:color w:val="002060"/>
        </w:rPr>
      </w:pPr>
      <w:r w:rsidRPr="00632DC6">
        <w:rPr>
          <w:color w:val="002060"/>
        </w:rPr>
        <w:t xml:space="preserve">CIOB (2022) Code of Practice for Project Management for the Built Environment (6th </w:t>
      </w:r>
      <w:proofErr w:type="spellStart"/>
      <w:r w:rsidRPr="00632DC6">
        <w:rPr>
          <w:color w:val="002060"/>
        </w:rPr>
        <w:t>edn</w:t>
      </w:r>
      <w:proofErr w:type="spellEnd"/>
      <w:r w:rsidRPr="00632DC6">
        <w:rPr>
          <w:color w:val="002060"/>
        </w:rPr>
        <w:t>). Chichester: Wiley-Blackwell.</w:t>
      </w:r>
    </w:p>
    <w:p w14:paraId="52D65EA9" w14:textId="77777777" w:rsidR="00632DC6" w:rsidRPr="00632DC6" w:rsidRDefault="00632DC6" w:rsidP="00632DC6">
      <w:pPr>
        <w:rPr>
          <w:color w:val="002060"/>
        </w:rPr>
      </w:pPr>
      <w:r w:rsidRPr="00632DC6">
        <w:rPr>
          <w:color w:val="002060"/>
        </w:rPr>
        <w:t>CIOB (2019) Code of Quality Management in Construction. Bracknell: CIOB.</w:t>
      </w:r>
    </w:p>
    <w:p w14:paraId="04FA4E5E" w14:textId="77777777" w:rsidR="00632DC6" w:rsidRPr="00632DC6" w:rsidRDefault="00632DC6" w:rsidP="00632DC6">
      <w:pPr>
        <w:rPr>
          <w:color w:val="002060"/>
        </w:rPr>
      </w:pPr>
      <w:r w:rsidRPr="00632DC6">
        <w:rPr>
          <w:color w:val="002060"/>
        </w:rPr>
        <w:t xml:space="preserve">CIOB (2025) Construction Clients' Guide: Leading Projects in the Built Environment (2nd </w:t>
      </w:r>
      <w:proofErr w:type="spellStart"/>
      <w:r w:rsidRPr="00632DC6">
        <w:rPr>
          <w:color w:val="002060"/>
        </w:rPr>
        <w:t>edn</w:t>
      </w:r>
      <w:proofErr w:type="spellEnd"/>
      <w:r w:rsidRPr="00632DC6">
        <w:rPr>
          <w:color w:val="002060"/>
        </w:rPr>
        <w:t>). Bracknell: CIOB.</w:t>
      </w:r>
    </w:p>
    <w:p w14:paraId="119D1EE1" w14:textId="77777777" w:rsidR="00632DC6" w:rsidRPr="00632DC6" w:rsidRDefault="00632DC6" w:rsidP="00632DC6">
      <w:pPr>
        <w:rPr>
          <w:color w:val="002060"/>
        </w:rPr>
      </w:pPr>
      <w:r w:rsidRPr="00632DC6">
        <w:rPr>
          <w:color w:val="002060"/>
        </w:rPr>
        <w:t>CITB (2021). Survey of non-represented employers. Available at: https://www.citb.co.uk/media/dqnhn1dw/survey-of-non-represented-employers-support-for-levy-grant-and-funding-september-2021.pdf (Accesses March 10th 2026)</w:t>
      </w:r>
    </w:p>
    <w:p w14:paraId="53B65017" w14:textId="77777777" w:rsidR="00632DC6" w:rsidRPr="00632DC6" w:rsidRDefault="00632DC6" w:rsidP="00632DC6">
      <w:pPr>
        <w:rPr>
          <w:color w:val="002060"/>
        </w:rPr>
      </w:pPr>
      <w:r w:rsidRPr="00632DC6">
        <w:rPr>
          <w:color w:val="002060"/>
        </w:rPr>
        <w:t>CITB. (2022) A CITB analysis December 2022. Available at: https://www.citb.co.uk/media/ktfdxoio/construction-apprenticeships-challenges-opportunities-support-2022.pdf. (Accessed Jan 22nd 2026)</w:t>
      </w:r>
    </w:p>
    <w:p w14:paraId="142B5E98" w14:textId="77777777" w:rsidR="00632DC6" w:rsidRPr="00632DC6" w:rsidRDefault="00632DC6" w:rsidP="00632DC6">
      <w:pPr>
        <w:rPr>
          <w:color w:val="002060"/>
        </w:rPr>
      </w:pPr>
      <w:r w:rsidRPr="00632DC6">
        <w:rPr>
          <w:color w:val="002060"/>
        </w:rPr>
        <w:lastRenderedPageBreak/>
        <w:t xml:space="preserve">CITB. (2022). Skills and Training in the Construction Industry 2021. Available at: https://www.citb.co.uk/media/wnpb2l0k/citb-skills-and-training-report-2021.pdf. (Accesses Feb 17th 2026) </w:t>
      </w:r>
    </w:p>
    <w:p w14:paraId="5ED8B7B2" w14:textId="77777777" w:rsidR="00632DC6" w:rsidRPr="00632DC6" w:rsidRDefault="00632DC6" w:rsidP="00632DC6">
      <w:pPr>
        <w:rPr>
          <w:color w:val="002060"/>
        </w:rPr>
      </w:pPr>
      <w:r w:rsidRPr="00632DC6">
        <w:rPr>
          <w:color w:val="002060"/>
        </w:rPr>
        <w:t>‌Construction excellence Wales (No Date) Community benefits policies in construction Evaluating the impacts [online] Available at: 6903CEW-ComBenefitReport-F.pdf (cewales.org.uk) (Accessed on 17th November 2025)</w:t>
      </w:r>
    </w:p>
    <w:p w14:paraId="3B0C16A2" w14:textId="77777777" w:rsidR="00632DC6" w:rsidRPr="00632DC6" w:rsidRDefault="00632DC6" w:rsidP="00632DC6">
      <w:pPr>
        <w:rPr>
          <w:color w:val="002060"/>
        </w:rPr>
      </w:pPr>
      <w:r w:rsidRPr="00632DC6">
        <w:rPr>
          <w:color w:val="002060"/>
        </w:rPr>
        <w:t xml:space="preserve">Currie &amp; Brown. (2023). Construction Industry Challenged by Lack of Clarity on Sustainability. Available at: https://www.curriebrown.com/media/4pbfx45p/uk-construction-report_q323_final2.pdf. (Accessed Jan 22nd 2026) </w:t>
      </w:r>
    </w:p>
    <w:p w14:paraId="59CD1F10" w14:textId="77777777" w:rsidR="00632DC6" w:rsidRPr="00632DC6" w:rsidRDefault="00632DC6" w:rsidP="00632DC6">
      <w:pPr>
        <w:rPr>
          <w:color w:val="002060"/>
        </w:rPr>
      </w:pPr>
      <w:r w:rsidRPr="00632DC6">
        <w:rPr>
          <w:color w:val="002060"/>
        </w:rPr>
        <w:t>HM Government (2022) Building Safety Act 2022. London: HMSO.</w:t>
      </w:r>
    </w:p>
    <w:p w14:paraId="2D2D9D54" w14:textId="77777777" w:rsidR="00632DC6" w:rsidRPr="00632DC6" w:rsidRDefault="00632DC6" w:rsidP="00632DC6">
      <w:pPr>
        <w:rPr>
          <w:color w:val="002060"/>
        </w:rPr>
      </w:pPr>
      <w:r w:rsidRPr="00632DC6">
        <w:rPr>
          <w:color w:val="002060"/>
        </w:rPr>
        <w:t>HM Government (2021) Carbon-Net-Zero-Guidance-Note [online], London: Cabinet Office. Available at: https://assets.publishing.service.gov.uk/media/631222898fa8f54234c6a508/20220901-Carbon-Net-Zero-Guidance-Note.pdf [accessed 14 April 2025].</w:t>
      </w:r>
    </w:p>
    <w:p w14:paraId="49F9644D" w14:textId="77777777" w:rsidR="00632DC6" w:rsidRPr="00632DC6" w:rsidRDefault="00632DC6" w:rsidP="00632DC6">
      <w:pPr>
        <w:rPr>
          <w:color w:val="002060"/>
        </w:rPr>
      </w:pPr>
      <w:r w:rsidRPr="00632DC6">
        <w:rPr>
          <w:color w:val="002060"/>
        </w:rPr>
        <w:t>Infrastructure and Projects Authority (2021) Project/Programme Outcome Profile. London: IPA.</w:t>
      </w:r>
    </w:p>
    <w:p w14:paraId="7F89AE11" w14:textId="77777777" w:rsidR="00632DC6" w:rsidRPr="00632DC6" w:rsidRDefault="00632DC6" w:rsidP="00632DC6">
      <w:pPr>
        <w:rPr>
          <w:color w:val="002060"/>
        </w:rPr>
      </w:pPr>
      <w:r w:rsidRPr="00632DC6">
        <w:rPr>
          <w:color w:val="002060"/>
        </w:rPr>
        <w:t>ISO (2010) ISO 26000:2010 Guidance on social responsibility. Geneva: ISO.</w:t>
      </w:r>
    </w:p>
    <w:p w14:paraId="5FE7C90C" w14:textId="77777777" w:rsidR="00632DC6" w:rsidRPr="00632DC6" w:rsidRDefault="00632DC6" w:rsidP="00632DC6">
      <w:pPr>
        <w:rPr>
          <w:color w:val="002060"/>
        </w:rPr>
      </w:pPr>
      <w:r w:rsidRPr="00632DC6">
        <w:rPr>
          <w:color w:val="002060"/>
        </w:rPr>
        <w:t xml:space="preserve">Jones-Morris, S., Morrison, J., </w:t>
      </w:r>
      <w:proofErr w:type="spellStart"/>
      <w:r w:rsidRPr="00632DC6">
        <w:rPr>
          <w:color w:val="002060"/>
        </w:rPr>
        <w:t>Goater</w:t>
      </w:r>
      <w:proofErr w:type="spellEnd"/>
      <w:r w:rsidRPr="00632DC6">
        <w:rPr>
          <w:color w:val="002060"/>
        </w:rPr>
        <w:t>, R. and Ruffles, P. (2024) Engagement Overlay to the RIBA Plan of Work. London: RIBA.</w:t>
      </w:r>
    </w:p>
    <w:p w14:paraId="5A18A966" w14:textId="77777777" w:rsidR="00632DC6" w:rsidRPr="00632DC6" w:rsidRDefault="00632DC6" w:rsidP="00632DC6">
      <w:pPr>
        <w:rPr>
          <w:color w:val="002060"/>
        </w:rPr>
      </w:pPr>
      <w:r w:rsidRPr="00632DC6">
        <w:rPr>
          <w:color w:val="002060"/>
        </w:rPr>
        <w:t>Neon - Brilliant inspiration. (2023). FIRST® LEGO® League Explore | Experiences. [online] Available at: https://neonfutures.org.uk/experiences/first-lego-league-explore/#learning-outcomes (Accesses March 27th 2026)</w:t>
      </w:r>
    </w:p>
    <w:p w14:paraId="7F27984D" w14:textId="77777777" w:rsidR="00632DC6" w:rsidRPr="00632DC6" w:rsidRDefault="00632DC6" w:rsidP="00632DC6">
      <w:pPr>
        <w:rPr>
          <w:color w:val="002060"/>
        </w:rPr>
      </w:pPr>
      <w:r w:rsidRPr="00632DC6">
        <w:rPr>
          <w:color w:val="002060"/>
        </w:rPr>
        <w:t>Open Doors. (2024). Students, Parents &amp; Career Changers - [online] Available at: https://opendoors.construction/students/ (Accesses March 17th 2026)</w:t>
      </w:r>
    </w:p>
    <w:p w14:paraId="2D0AB18B" w14:textId="77777777" w:rsidR="00632DC6" w:rsidRPr="00632DC6" w:rsidRDefault="00632DC6" w:rsidP="00632DC6">
      <w:pPr>
        <w:rPr>
          <w:color w:val="002060"/>
        </w:rPr>
      </w:pPr>
      <w:r w:rsidRPr="00632DC6">
        <w:rPr>
          <w:color w:val="002060"/>
        </w:rPr>
        <w:t>PHT (2022) Passivhaus Schools &amp; Educational Buildings, Available at https://www.passivhaustrust.org.uk/passivhaus_awards/Passivhaus%20Educational%20Buildings pdf [accessed 14 April 2025].</w:t>
      </w:r>
    </w:p>
    <w:p w14:paraId="0E49E6CF" w14:textId="77777777" w:rsidR="00632DC6" w:rsidRPr="00632DC6" w:rsidRDefault="00632DC6" w:rsidP="00632DC6">
      <w:pPr>
        <w:rPr>
          <w:color w:val="002060"/>
        </w:rPr>
      </w:pPr>
      <w:r w:rsidRPr="00632DC6">
        <w:rPr>
          <w:color w:val="002060"/>
        </w:rPr>
        <w:t>RICS (2023) What trends will shape the rest of 2023? [online] Available at: https://ww3.rics.org/uk/en/journals/construction-journal/economic-trends-expected-2023.html . (Accessed on 17th November 2025)PM (2024) APM competence framework for project managers in the built environment in England. Princes Risborough: APM.</w:t>
      </w:r>
    </w:p>
    <w:p w14:paraId="44284759" w14:textId="77777777" w:rsidR="00632DC6" w:rsidRPr="00632DC6" w:rsidRDefault="00632DC6" w:rsidP="00632DC6">
      <w:pPr>
        <w:rPr>
          <w:color w:val="002060"/>
        </w:rPr>
      </w:pPr>
      <w:r w:rsidRPr="00632DC6">
        <w:rPr>
          <w:color w:val="002060"/>
        </w:rPr>
        <w:t>RIBA (2020) RIBA Plan of Work 2020 Overview. London: RIBA.</w:t>
      </w:r>
    </w:p>
    <w:p w14:paraId="58460B5B" w14:textId="77777777" w:rsidR="00632DC6" w:rsidRPr="00632DC6" w:rsidRDefault="00632DC6" w:rsidP="00632DC6">
      <w:pPr>
        <w:rPr>
          <w:color w:val="002060"/>
        </w:rPr>
      </w:pPr>
      <w:r w:rsidRPr="00632DC6">
        <w:rPr>
          <w:color w:val="002060"/>
        </w:rPr>
        <w:t>Stocks, T. (2024) ‘Collaboration in construction: a necessary evolution, not an option’, Building [online], 12 July.</w:t>
      </w:r>
    </w:p>
    <w:p w14:paraId="122E7CBA" w14:textId="77777777" w:rsidR="00632DC6" w:rsidRPr="00632DC6" w:rsidRDefault="00632DC6" w:rsidP="00632DC6">
      <w:pPr>
        <w:rPr>
          <w:color w:val="002060"/>
        </w:rPr>
      </w:pPr>
      <w:r w:rsidRPr="00632DC6">
        <w:rPr>
          <w:color w:val="002060"/>
        </w:rPr>
        <w:t>UK BIM Framework (2023) Information Management according to BS EN ISO 19650. [Online]. Available at: https://www.ukbimframework.org/</w:t>
      </w:r>
    </w:p>
    <w:p w14:paraId="2F57D56C" w14:textId="1C7396CE" w:rsidR="00632DC6" w:rsidRPr="00632DC6" w:rsidRDefault="00632DC6" w:rsidP="00632DC6">
      <w:pPr>
        <w:rPr>
          <w:color w:val="002060"/>
        </w:rPr>
      </w:pPr>
      <w:r w:rsidRPr="00632DC6">
        <w:rPr>
          <w:color w:val="002060"/>
        </w:rPr>
        <w:t>UKGBC (2019) Net Zero Carbon Buildings: A Framework Definition. London: UKGBC.</w:t>
      </w:r>
    </w:p>
    <w:sectPr w:rsidR="00632DC6" w:rsidRPr="00632D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642D"/>
    <w:multiLevelType w:val="multilevel"/>
    <w:tmpl w:val="E200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C241D"/>
    <w:multiLevelType w:val="multilevel"/>
    <w:tmpl w:val="4CD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27103"/>
    <w:multiLevelType w:val="multilevel"/>
    <w:tmpl w:val="9B10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E2959"/>
    <w:multiLevelType w:val="multilevel"/>
    <w:tmpl w:val="FAF0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757523"/>
    <w:multiLevelType w:val="multilevel"/>
    <w:tmpl w:val="0954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DA51EF"/>
    <w:multiLevelType w:val="multilevel"/>
    <w:tmpl w:val="FA82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7408F8"/>
    <w:multiLevelType w:val="multilevel"/>
    <w:tmpl w:val="676050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645D10"/>
    <w:multiLevelType w:val="multilevel"/>
    <w:tmpl w:val="D556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356244"/>
    <w:multiLevelType w:val="multilevel"/>
    <w:tmpl w:val="2A16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203326"/>
    <w:multiLevelType w:val="multilevel"/>
    <w:tmpl w:val="CBA4D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125B32"/>
    <w:multiLevelType w:val="multilevel"/>
    <w:tmpl w:val="9F40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E7694E"/>
    <w:multiLevelType w:val="multilevel"/>
    <w:tmpl w:val="4E6C0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3C2414"/>
    <w:multiLevelType w:val="multilevel"/>
    <w:tmpl w:val="8AE26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0286185">
    <w:abstractNumId w:val="3"/>
  </w:num>
  <w:num w:numId="2" w16cid:durableId="323094333">
    <w:abstractNumId w:val="4"/>
  </w:num>
  <w:num w:numId="3" w16cid:durableId="25260460">
    <w:abstractNumId w:val="10"/>
  </w:num>
  <w:num w:numId="4" w16cid:durableId="196354176">
    <w:abstractNumId w:val="7"/>
  </w:num>
  <w:num w:numId="5" w16cid:durableId="60491781">
    <w:abstractNumId w:val="12"/>
  </w:num>
  <w:num w:numId="6" w16cid:durableId="800223774">
    <w:abstractNumId w:val="9"/>
  </w:num>
  <w:num w:numId="7" w16cid:durableId="1835875515">
    <w:abstractNumId w:val="2"/>
  </w:num>
  <w:num w:numId="8" w16cid:durableId="934747085">
    <w:abstractNumId w:val="1"/>
  </w:num>
  <w:num w:numId="9" w16cid:durableId="1100563841">
    <w:abstractNumId w:val="6"/>
  </w:num>
  <w:num w:numId="10" w16cid:durableId="968969910">
    <w:abstractNumId w:val="11"/>
  </w:num>
  <w:num w:numId="11" w16cid:durableId="528763322">
    <w:abstractNumId w:val="8"/>
  </w:num>
  <w:num w:numId="12" w16cid:durableId="388069751">
    <w:abstractNumId w:val="0"/>
  </w:num>
  <w:num w:numId="13" w16cid:durableId="10675349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DC6"/>
    <w:rsid w:val="00394601"/>
    <w:rsid w:val="00632DC6"/>
    <w:rsid w:val="00B5401A"/>
    <w:rsid w:val="00FA68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4455E"/>
  <w15:chartTrackingRefBased/>
  <w15:docId w15:val="{7E08DDBA-FF51-4372-BE6F-792F0F53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D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2D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2D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2D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2D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2D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D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D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D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D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2D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2D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2D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2D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2D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D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D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DC6"/>
    <w:rPr>
      <w:rFonts w:eastAsiaTheme="majorEastAsia" w:cstheme="majorBidi"/>
      <w:color w:val="272727" w:themeColor="text1" w:themeTint="D8"/>
    </w:rPr>
  </w:style>
  <w:style w:type="paragraph" w:styleId="Title">
    <w:name w:val="Title"/>
    <w:basedOn w:val="Normal"/>
    <w:next w:val="Normal"/>
    <w:link w:val="TitleChar"/>
    <w:uiPriority w:val="10"/>
    <w:qFormat/>
    <w:rsid w:val="00632D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D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D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D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DC6"/>
    <w:pPr>
      <w:spacing w:before="160"/>
      <w:jc w:val="center"/>
    </w:pPr>
    <w:rPr>
      <w:i/>
      <w:iCs/>
      <w:color w:val="404040" w:themeColor="text1" w:themeTint="BF"/>
    </w:rPr>
  </w:style>
  <w:style w:type="character" w:customStyle="1" w:styleId="QuoteChar">
    <w:name w:val="Quote Char"/>
    <w:basedOn w:val="DefaultParagraphFont"/>
    <w:link w:val="Quote"/>
    <w:uiPriority w:val="29"/>
    <w:rsid w:val="00632DC6"/>
    <w:rPr>
      <w:i/>
      <w:iCs/>
      <w:color w:val="404040" w:themeColor="text1" w:themeTint="BF"/>
    </w:rPr>
  </w:style>
  <w:style w:type="paragraph" w:styleId="ListParagraph">
    <w:name w:val="List Paragraph"/>
    <w:basedOn w:val="Normal"/>
    <w:uiPriority w:val="34"/>
    <w:qFormat/>
    <w:rsid w:val="00632DC6"/>
    <w:pPr>
      <w:ind w:left="720"/>
      <w:contextualSpacing/>
    </w:pPr>
  </w:style>
  <w:style w:type="character" w:styleId="IntenseEmphasis">
    <w:name w:val="Intense Emphasis"/>
    <w:basedOn w:val="DefaultParagraphFont"/>
    <w:uiPriority w:val="21"/>
    <w:qFormat/>
    <w:rsid w:val="00632DC6"/>
    <w:rPr>
      <w:i/>
      <w:iCs/>
      <w:color w:val="2F5496" w:themeColor="accent1" w:themeShade="BF"/>
    </w:rPr>
  </w:style>
  <w:style w:type="paragraph" w:styleId="IntenseQuote">
    <w:name w:val="Intense Quote"/>
    <w:basedOn w:val="Normal"/>
    <w:next w:val="Normal"/>
    <w:link w:val="IntenseQuoteChar"/>
    <w:uiPriority w:val="30"/>
    <w:qFormat/>
    <w:rsid w:val="00632D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2DC6"/>
    <w:rPr>
      <w:i/>
      <w:iCs/>
      <w:color w:val="2F5496" w:themeColor="accent1" w:themeShade="BF"/>
    </w:rPr>
  </w:style>
  <w:style w:type="character" w:styleId="IntenseReference">
    <w:name w:val="Intense Reference"/>
    <w:basedOn w:val="DefaultParagraphFont"/>
    <w:uiPriority w:val="32"/>
    <w:qFormat/>
    <w:rsid w:val="00632DC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1073</Words>
  <Characters>13686</Characters>
  <Application>Microsoft Office Word</Application>
  <DocSecurity>0</DocSecurity>
  <Lines>805</Lines>
  <Paragraphs>567</Paragraphs>
  <ScaleCrop>false</ScaleCrop>
  <Company>University of Wales Trinity Saint David</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Brown</dc:creator>
  <cp:keywords/>
  <dc:description/>
  <cp:lastModifiedBy>Ian Brown</cp:lastModifiedBy>
  <cp:revision>1</cp:revision>
  <dcterms:created xsi:type="dcterms:W3CDTF">2026-04-15T22:45:00Z</dcterms:created>
  <dcterms:modified xsi:type="dcterms:W3CDTF">2026-04-16T01:23:00Z</dcterms:modified>
</cp:coreProperties>
</file>