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574CB" w14:textId="77777777" w:rsidR="00A05B3F" w:rsidRDefault="00A05B3F" w:rsidP="00A111FD">
      <w:pPr>
        <w:jc w:val="center"/>
        <w:rPr>
          <w:b/>
          <w:bCs/>
          <w:sz w:val="32"/>
          <w:szCs w:val="32"/>
        </w:rPr>
      </w:pPr>
    </w:p>
    <w:p w14:paraId="48DE48D7" w14:textId="77777777" w:rsidR="00A05B3F" w:rsidRDefault="00A05B3F" w:rsidP="00A111FD">
      <w:pPr>
        <w:jc w:val="center"/>
        <w:rPr>
          <w:b/>
          <w:bCs/>
          <w:sz w:val="32"/>
          <w:szCs w:val="32"/>
        </w:rPr>
      </w:pPr>
    </w:p>
    <w:p w14:paraId="129D49AF" w14:textId="77777777" w:rsidR="00A05B3F" w:rsidRDefault="00A05B3F" w:rsidP="00A111FD">
      <w:pPr>
        <w:jc w:val="center"/>
        <w:rPr>
          <w:b/>
          <w:bCs/>
          <w:sz w:val="32"/>
          <w:szCs w:val="32"/>
        </w:rPr>
      </w:pPr>
    </w:p>
    <w:p w14:paraId="37206F6E" w14:textId="77777777" w:rsidR="00A05B3F" w:rsidRDefault="00A05B3F" w:rsidP="00A111FD">
      <w:pPr>
        <w:jc w:val="center"/>
        <w:rPr>
          <w:b/>
          <w:bCs/>
          <w:sz w:val="32"/>
          <w:szCs w:val="32"/>
        </w:rPr>
      </w:pPr>
    </w:p>
    <w:p w14:paraId="725F92EB" w14:textId="4584CE2D" w:rsidR="00A111FD" w:rsidRDefault="00A111FD" w:rsidP="00A111FD">
      <w:pPr>
        <w:jc w:val="center"/>
        <w:rPr>
          <w:b/>
          <w:bCs/>
        </w:rPr>
      </w:pPr>
      <w:r w:rsidRPr="00A111FD">
        <w:rPr>
          <w:b/>
          <w:bCs/>
          <w:sz w:val="32"/>
          <w:szCs w:val="32"/>
        </w:rPr>
        <w:t>COMPONENT 1: WRITTEN REPORT</w:t>
      </w:r>
    </w:p>
    <w:p w14:paraId="57F6B208" w14:textId="77777777" w:rsidR="00EB66F0" w:rsidRDefault="00EB66F0" w:rsidP="00A111FD">
      <w:pPr>
        <w:jc w:val="center"/>
        <w:rPr>
          <w:b/>
          <w:bCs/>
          <w:sz w:val="32"/>
          <w:szCs w:val="32"/>
        </w:rPr>
      </w:pPr>
      <w:r w:rsidRPr="00EB66F0">
        <w:rPr>
          <w:b/>
          <w:bCs/>
          <w:sz w:val="32"/>
          <w:szCs w:val="32"/>
        </w:rPr>
        <w:t>MODULE CODE: LCBB6002</w:t>
      </w:r>
    </w:p>
    <w:p w14:paraId="49E6EDCF" w14:textId="77777777" w:rsidR="00EB66F0" w:rsidRDefault="00EB66F0" w:rsidP="00A111FD">
      <w:pPr>
        <w:jc w:val="center"/>
        <w:rPr>
          <w:b/>
          <w:bCs/>
          <w:sz w:val="32"/>
          <w:szCs w:val="32"/>
        </w:rPr>
      </w:pPr>
      <w:r>
        <w:rPr>
          <w:b/>
          <w:bCs/>
          <w:sz w:val="32"/>
          <w:szCs w:val="32"/>
        </w:rPr>
        <w:t>LECTURER NAME: MUDASSAR HASAN</w:t>
      </w:r>
    </w:p>
    <w:p w14:paraId="5331670E" w14:textId="77777777" w:rsidR="00EB66F0" w:rsidRDefault="00EB66F0" w:rsidP="00A111FD">
      <w:pPr>
        <w:jc w:val="center"/>
        <w:rPr>
          <w:b/>
          <w:bCs/>
          <w:sz w:val="32"/>
          <w:szCs w:val="32"/>
        </w:rPr>
      </w:pPr>
      <w:r>
        <w:rPr>
          <w:b/>
          <w:bCs/>
          <w:sz w:val="32"/>
          <w:szCs w:val="32"/>
        </w:rPr>
        <w:t>STUDENT NAME: IULIAN NEAGU</w:t>
      </w:r>
    </w:p>
    <w:p w14:paraId="579437E8" w14:textId="24F2249D" w:rsidR="00A111FD" w:rsidRPr="00EB66F0" w:rsidRDefault="00EB66F0" w:rsidP="00A111FD">
      <w:pPr>
        <w:jc w:val="center"/>
        <w:rPr>
          <w:b/>
          <w:bCs/>
          <w:sz w:val="32"/>
          <w:szCs w:val="32"/>
        </w:rPr>
      </w:pPr>
      <w:r>
        <w:rPr>
          <w:b/>
          <w:bCs/>
          <w:sz w:val="32"/>
          <w:szCs w:val="32"/>
        </w:rPr>
        <w:t>STUDENT ID: 2107401</w:t>
      </w:r>
      <w:r w:rsidR="00A111FD" w:rsidRPr="00EB66F0">
        <w:rPr>
          <w:b/>
          <w:bCs/>
          <w:sz w:val="32"/>
          <w:szCs w:val="32"/>
        </w:rPr>
        <w:br w:type="page"/>
      </w:r>
    </w:p>
    <w:p w14:paraId="6C31A6E8" w14:textId="77777777" w:rsidR="004B7CBE" w:rsidRPr="00A111FD" w:rsidRDefault="00A111FD" w:rsidP="00A111FD">
      <w:pPr>
        <w:jc w:val="center"/>
        <w:rPr>
          <w:b/>
          <w:bCs/>
          <w:sz w:val="28"/>
          <w:szCs w:val="28"/>
        </w:rPr>
      </w:pPr>
      <w:r w:rsidRPr="00A111FD">
        <w:rPr>
          <w:b/>
          <w:bCs/>
          <w:sz w:val="28"/>
          <w:szCs w:val="28"/>
        </w:rPr>
        <w:lastRenderedPageBreak/>
        <w:t xml:space="preserve">Executive summary </w:t>
      </w:r>
    </w:p>
    <w:p w14:paraId="47DCF423" w14:textId="7D9D83F6" w:rsidR="00A111FD" w:rsidRDefault="00A111FD" w:rsidP="00A111FD">
      <w:r w:rsidRPr="00A111FD">
        <w:t>Corporate governance</w:t>
      </w:r>
      <w:r>
        <w:t xml:space="preserve"> (CG)</w:t>
      </w:r>
      <w:r w:rsidRPr="00A111FD">
        <w:t xml:space="preserve"> in the UK </w:t>
      </w:r>
      <w:r>
        <w:t xml:space="preserve">focuses on </w:t>
      </w:r>
      <w:r w:rsidRPr="00A111FD">
        <w:t xml:space="preserve">a unitary board with independent non-executive directors, </w:t>
      </w:r>
      <w:r>
        <w:t xml:space="preserve">transparency management within </w:t>
      </w:r>
      <w:r w:rsidRPr="00A111FD">
        <w:t>remuneration policies</w:t>
      </w:r>
      <w:r>
        <w:t xml:space="preserve"> as well as </w:t>
      </w:r>
      <w:r w:rsidRPr="00A111FD">
        <w:t xml:space="preserve">strong engagement </w:t>
      </w:r>
      <w:r>
        <w:t xml:space="preserve">among the </w:t>
      </w:r>
      <w:r w:rsidRPr="00A111FD">
        <w:t>shareholder</w:t>
      </w:r>
      <w:r>
        <w:t>s</w:t>
      </w:r>
      <w:r w:rsidRPr="00A111FD">
        <w:t xml:space="preserve"> under the UK </w:t>
      </w:r>
      <w:r>
        <w:t xml:space="preserve">CG </w:t>
      </w:r>
      <w:r w:rsidRPr="00A111FD">
        <w:t xml:space="preserve">Code. Agency theory </w:t>
      </w:r>
      <w:r>
        <w:t xml:space="preserve">focuses on </w:t>
      </w:r>
      <w:r w:rsidRPr="00A111FD">
        <w:t xml:space="preserve">aligning </w:t>
      </w:r>
      <w:r>
        <w:t xml:space="preserve">interest of the </w:t>
      </w:r>
      <w:r w:rsidR="00EB66F0" w:rsidRPr="00A111FD">
        <w:t>managers with</w:t>
      </w:r>
      <w:r w:rsidRPr="00A111FD">
        <w:t xml:space="preserve"> shareholders </w:t>
      </w:r>
      <w:r>
        <w:t xml:space="preserve">that helps in </w:t>
      </w:r>
      <w:r w:rsidRPr="00A111FD">
        <w:t>reduc</w:t>
      </w:r>
      <w:r>
        <w:t xml:space="preserve">tion of </w:t>
      </w:r>
      <w:r w:rsidRPr="00A111FD">
        <w:t xml:space="preserve">conflicts. A 30% shareholding can </w:t>
      </w:r>
      <w:r>
        <w:t xml:space="preserve">helps </w:t>
      </w:r>
      <w:r w:rsidRPr="00A111FD">
        <w:t xml:space="preserve">retain control by blocking special resolutions </w:t>
      </w:r>
      <w:r>
        <w:t xml:space="preserve">as well as </w:t>
      </w:r>
      <w:r w:rsidRPr="00A111FD">
        <w:t xml:space="preserve">leveraging </w:t>
      </w:r>
      <w:r w:rsidR="00EB66F0" w:rsidRPr="00A111FD">
        <w:t>rights</w:t>
      </w:r>
      <w:r w:rsidR="00EB66F0">
        <w:t xml:space="preserve"> of</w:t>
      </w:r>
      <w:r>
        <w:t xml:space="preserve"> </w:t>
      </w:r>
      <w:r w:rsidRPr="00A111FD">
        <w:t xml:space="preserve">governance. </w:t>
      </w:r>
      <w:r>
        <w:t xml:space="preserve">In addition to that, possible shifting </w:t>
      </w:r>
      <w:r w:rsidRPr="00A111FD">
        <w:t xml:space="preserve">headquarters to the Netherlands introduces a </w:t>
      </w:r>
      <w:r>
        <w:t xml:space="preserve">system of </w:t>
      </w:r>
      <w:r w:rsidRPr="00A111FD">
        <w:t xml:space="preserve">two-tier board, stronger </w:t>
      </w:r>
      <w:r w:rsidR="00EB66F0" w:rsidRPr="00A111FD">
        <w:t>involvement</w:t>
      </w:r>
      <w:r w:rsidR="00EB66F0">
        <w:t xml:space="preserve"> among</w:t>
      </w:r>
      <w:r>
        <w:t xml:space="preserve"> the </w:t>
      </w:r>
      <w:r w:rsidRPr="00A111FD">
        <w:t>employee,</w:t>
      </w:r>
      <w:r>
        <w:t xml:space="preserve"> along with </w:t>
      </w:r>
      <w:r w:rsidRPr="00A111FD">
        <w:t xml:space="preserve">enhanced focus on corporate culture </w:t>
      </w:r>
      <w:r>
        <w:t xml:space="preserve">along with </w:t>
      </w:r>
      <w:r w:rsidRPr="00A111FD">
        <w:t xml:space="preserve">sustainability. Understanding these differences </w:t>
      </w:r>
      <w:r>
        <w:t xml:space="preserve">in institutional practices </w:t>
      </w:r>
      <w:r w:rsidRPr="00A111FD">
        <w:t xml:space="preserve">is vital for </w:t>
      </w:r>
      <w:r>
        <w:t xml:space="preserve">proper </w:t>
      </w:r>
      <w:r w:rsidRPr="00A111FD">
        <w:t>governance, control</w:t>
      </w:r>
      <w:r>
        <w:t xml:space="preserve"> along with </w:t>
      </w:r>
      <w:r w:rsidRPr="00A111FD">
        <w:t xml:space="preserve">fair </w:t>
      </w:r>
      <w:r>
        <w:t xml:space="preserve">operations </w:t>
      </w:r>
      <w:r w:rsidRPr="00A111FD">
        <w:t>in each jurisdiction</w:t>
      </w:r>
      <w:r>
        <w:t xml:space="preserve">. </w:t>
      </w:r>
    </w:p>
    <w:p w14:paraId="028EC540" w14:textId="77777777" w:rsidR="00554FAE" w:rsidRDefault="00554FAE">
      <w:r>
        <w:br w:type="page"/>
      </w:r>
    </w:p>
    <w:p w14:paraId="3A31D642" w14:textId="77777777" w:rsidR="00554FAE" w:rsidRPr="00554FAE" w:rsidRDefault="00554FAE" w:rsidP="00554FAE">
      <w:pPr>
        <w:jc w:val="center"/>
        <w:rPr>
          <w:b/>
          <w:bCs/>
          <w:sz w:val="28"/>
          <w:szCs w:val="28"/>
        </w:rPr>
      </w:pPr>
      <w:r w:rsidRPr="00554FAE">
        <w:rPr>
          <w:b/>
          <w:bCs/>
          <w:sz w:val="28"/>
          <w:szCs w:val="28"/>
        </w:rPr>
        <w:lastRenderedPageBreak/>
        <w:t xml:space="preserve">Table of contents </w:t>
      </w:r>
    </w:p>
    <w:p w14:paraId="24F569B0" w14:textId="77777777" w:rsidR="00554FAE" w:rsidRDefault="00C81AD5">
      <w:pPr>
        <w:pStyle w:val="TOC1"/>
        <w:tabs>
          <w:tab w:val="right" w:leader="dot" w:pos="9350"/>
        </w:tabs>
        <w:rPr>
          <w:noProof/>
        </w:rPr>
      </w:pPr>
      <w:r>
        <w:fldChar w:fldCharType="begin"/>
      </w:r>
      <w:r w:rsidR="00554FAE">
        <w:instrText xml:space="preserve"> TOC \o "1-3" \h \z \u </w:instrText>
      </w:r>
      <w:r>
        <w:fldChar w:fldCharType="separate"/>
      </w:r>
      <w:hyperlink w:anchor="_Toc198917337" w:history="1">
        <w:r w:rsidR="00554FAE" w:rsidRPr="004A0A61">
          <w:rPr>
            <w:rStyle w:val="Hyperlink"/>
            <w:noProof/>
          </w:rPr>
          <w:t>1. Introduction</w:t>
        </w:r>
        <w:r w:rsidR="00554FAE">
          <w:rPr>
            <w:noProof/>
            <w:webHidden/>
          </w:rPr>
          <w:tab/>
        </w:r>
        <w:r>
          <w:rPr>
            <w:noProof/>
            <w:webHidden/>
          </w:rPr>
          <w:fldChar w:fldCharType="begin"/>
        </w:r>
        <w:r w:rsidR="00554FAE">
          <w:rPr>
            <w:noProof/>
            <w:webHidden/>
          </w:rPr>
          <w:instrText xml:space="preserve"> PAGEREF _Toc198917337 \h </w:instrText>
        </w:r>
        <w:r>
          <w:rPr>
            <w:noProof/>
            <w:webHidden/>
          </w:rPr>
        </w:r>
        <w:r>
          <w:rPr>
            <w:noProof/>
            <w:webHidden/>
          </w:rPr>
          <w:fldChar w:fldCharType="separate"/>
        </w:r>
        <w:r w:rsidR="00554FAE">
          <w:rPr>
            <w:noProof/>
            <w:webHidden/>
          </w:rPr>
          <w:t>4</w:t>
        </w:r>
        <w:r>
          <w:rPr>
            <w:noProof/>
            <w:webHidden/>
          </w:rPr>
          <w:fldChar w:fldCharType="end"/>
        </w:r>
      </w:hyperlink>
    </w:p>
    <w:p w14:paraId="75E448E5" w14:textId="77777777" w:rsidR="00554FAE" w:rsidRDefault="00554FAE">
      <w:pPr>
        <w:pStyle w:val="TOC1"/>
        <w:tabs>
          <w:tab w:val="right" w:leader="dot" w:pos="9350"/>
        </w:tabs>
        <w:rPr>
          <w:noProof/>
        </w:rPr>
      </w:pPr>
      <w:hyperlink w:anchor="_Toc198917338" w:history="1">
        <w:r w:rsidRPr="004A0A61">
          <w:rPr>
            <w:rStyle w:val="Hyperlink"/>
            <w:noProof/>
          </w:rPr>
          <w:t>2. Discussion of the findings</w:t>
        </w:r>
        <w:r>
          <w:rPr>
            <w:noProof/>
            <w:webHidden/>
          </w:rPr>
          <w:tab/>
        </w:r>
        <w:r w:rsidR="00C81AD5">
          <w:rPr>
            <w:noProof/>
            <w:webHidden/>
          </w:rPr>
          <w:fldChar w:fldCharType="begin"/>
        </w:r>
        <w:r>
          <w:rPr>
            <w:noProof/>
            <w:webHidden/>
          </w:rPr>
          <w:instrText xml:space="preserve"> PAGEREF _Toc198917338 \h </w:instrText>
        </w:r>
        <w:r w:rsidR="00C81AD5">
          <w:rPr>
            <w:noProof/>
            <w:webHidden/>
          </w:rPr>
        </w:r>
        <w:r w:rsidR="00C81AD5">
          <w:rPr>
            <w:noProof/>
            <w:webHidden/>
          </w:rPr>
          <w:fldChar w:fldCharType="separate"/>
        </w:r>
        <w:r>
          <w:rPr>
            <w:noProof/>
            <w:webHidden/>
          </w:rPr>
          <w:t>4</w:t>
        </w:r>
        <w:r w:rsidR="00C81AD5">
          <w:rPr>
            <w:noProof/>
            <w:webHidden/>
          </w:rPr>
          <w:fldChar w:fldCharType="end"/>
        </w:r>
      </w:hyperlink>
    </w:p>
    <w:p w14:paraId="51CD6FBA" w14:textId="77777777" w:rsidR="00554FAE" w:rsidRDefault="00554FAE">
      <w:pPr>
        <w:pStyle w:val="TOC2"/>
        <w:tabs>
          <w:tab w:val="right" w:leader="dot" w:pos="9350"/>
        </w:tabs>
        <w:rPr>
          <w:noProof/>
        </w:rPr>
      </w:pPr>
      <w:hyperlink w:anchor="_Toc198917339" w:history="1">
        <w:r w:rsidRPr="004A0A61">
          <w:rPr>
            <w:rStyle w:val="Hyperlink"/>
            <w:noProof/>
          </w:rPr>
          <w:t>a. Concept and need of corporate governance and agency theory and its significance in public limited (plc) companies</w:t>
        </w:r>
        <w:r>
          <w:rPr>
            <w:noProof/>
            <w:webHidden/>
          </w:rPr>
          <w:tab/>
        </w:r>
        <w:r w:rsidR="00C81AD5">
          <w:rPr>
            <w:noProof/>
            <w:webHidden/>
          </w:rPr>
          <w:fldChar w:fldCharType="begin"/>
        </w:r>
        <w:r>
          <w:rPr>
            <w:noProof/>
            <w:webHidden/>
          </w:rPr>
          <w:instrText xml:space="preserve"> PAGEREF _Toc198917339 \h </w:instrText>
        </w:r>
        <w:r w:rsidR="00C81AD5">
          <w:rPr>
            <w:noProof/>
            <w:webHidden/>
          </w:rPr>
        </w:r>
        <w:r w:rsidR="00C81AD5">
          <w:rPr>
            <w:noProof/>
            <w:webHidden/>
          </w:rPr>
          <w:fldChar w:fldCharType="separate"/>
        </w:r>
        <w:r>
          <w:rPr>
            <w:noProof/>
            <w:webHidden/>
          </w:rPr>
          <w:t>4</w:t>
        </w:r>
        <w:r w:rsidR="00C81AD5">
          <w:rPr>
            <w:noProof/>
            <w:webHidden/>
          </w:rPr>
          <w:fldChar w:fldCharType="end"/>
        </w:r>
      </w:hyperlink>
    </w:p>
    <w:p w14:paraId="51441A32" w14:textId="77777777" w:rsidR="00554FAE" w:rsidRDefault="00554FAE">
      <w:pPr>
        <w:pStyle w:val="TOC2"/>
        <w:tabs>
          <w:tab w:val="right" w:leader="dot" w:pos="9350"/>
        </w:tabs>
        <w:rPr>
          <w:noProof/>
        </w:rPr>
      </w:pPr>
      <w:hyperlink w:anchor="_Toc198917340" w:history="1">
        <w:r w:rsidRPr="004A0A61">
          <w:rPr>
            <w:rStyle w:val="Hyperlink"/>
            <w:noProof/>
          </w:rPr>
          <w:t>b. Current board retaining the company’s control while holding 30% of shares</w:t>
        </w:r>
        <w:r>
          <w:rPr>
            <w:noProof/>
            <w:webHidden/>
          </w:rPr>
          <w:tab/>
        </w:r>
        <w:r w:rsidR="00C81AD5">
          <w:rPr>
            <w:noProof/>
            <w:webHidden/>
          </w:rPr>
          <w:fldChar w:fldCharType="begin"/>
        </w:r>
        <w:r>
          <w:rPr>
            <w:noProof/>
            <w:webHidden/>
          </w:rPr>
          <w:instrText xml:space="preserve"> PAGEREF _Toc198917340 \h </w:instrText>
        </w:r>
        <w:r w:rsidR="00C81AD5">
          <w:rPr>
            <w:noProof/>
            <w:webHidden/>
          </w:rPr>
        </w:r>
        <w:r w:rsidR="00C81AD5">
          <w:rPr>
            <w:noProof/>
            <w:webHidden/>
          </w:rPr>
          <w:fldChar w:fldCharType="separate"/>
        </w:r>
        <w:r>
          <w:rPr>
            <w:noProof/>
            <w:webHidden/>
          </w:rPr>
          <w:t>5</w:t>
        </w:r>
        <w:r w:rsidR="00C81AD5">
          <w:rPr>
            <w:noProof/>
            <w:webHidden/>
          </w:rPr>
          <w:fldChar w:fldCharType="end"/>
        </w:r>
      </w:hyperlink>
    </w:p>
    <w:p w14:paraId="3CADD205" w14:textId="77777777" w:rsidR="00554FAE" w:rsidRDefault="00554FAE">
      <w:pPr>
        <w:pStyle w:val="TOC2"/>
        <w:tabs>
          <w:tab w:val="right" w:leader="dot" w:pos="9350"/>
        </w:tabs>
        <w:rPr>
          <w:noProof/>
        </w:rPr>
      </w:pPr>
      <w:hyperlink w:anchor="_Toc198917341" w:history="1">
        <w:r w:rsidRPr="004A0A61">
          <w:rPr>
            <w:rStyle w:val="Hyperlink"/>
            <w:noProof/>
          </w:rPr>
          <w:t>c. Remuneration of the directors and structure for fair compensation</w:t>
        </w:r>
        <w:r>
          <w:rPr>
            <w:noProof/>
            <w:webHidden/>
          </w:rPr>
          <w:tab/>
        </w:r>
        <w:r w:rsidR="00C81AD5">
          <w:rPr>
            <w:noProof/>
            <w:webHidden/>
          </w:rPr>
          <w:fldChar w:fldCharType="begin"/>
        </w:r>
        <w:r>
          <w:rPr>
            <w:noProof/>
            <w:webHidden/>
          </w:rPr>
          <w:instrText xml:space="preserve"> PAGEREF _Toc198917341 \h </w:instrText>
        </w:r>
        <w:r w:rsidR="00C81AD5">
          <w:rPr>
            <w:noProof/>
            <w:webHidden/>
          </w:rPr>
        </w:r>
        <w:r w:rsidR="00C81AD5">
          <w:rPr>
            <w:noProof/>
            <w:webHidden/>
          </w:rPr>
          <w:fldChar w:fldCharType="separate"/>
        </w:r>
        <w:r>
          <w:rPr>
            <w:noProof/>
            <w:webHidden/>
          </w:rPr>
          <w:t>6</w:t>
        </w:r>
        <w:r w:rsidR="00C81AD5">
          <w:rPr>
            <w:noProof/>
            <w:webHidden/>
          </w:rPr>
          <w:fldChar w:fldCharType="end"/>
        </w:r>
      </w:hyperlink>
    </w:p>
    <w:p w14:paraId="735EEC32" w14:textId="77777777" w:rsidR="00554FAE" w:rsidRDefault="00554FAE">
      <w:pPr>
        <w:pStyle w:val="TOC2"/>
        <w:tabs>
          <w:tab w:val="right" w:leader="dot" w:pos="9350"/>
        </w:tabs>
        <w:rPr>
          <w:noProof/>
        </w:rPr>
      </w:pPr>
      <w:hyperlink w:anchor="_Toc198917342" w:history="1">
        <w:r w:rsidRPr="004A0A61">
          <w:rPr>
            <w:rStyle w:val="Hyperlink"/>
            <w:noProof/>
          </w:rPr>
          <w:t>d. Institutional differences that directors need to be aware of</w:t>
        </w:r>
        <w:r>
          <w:rPr>
            <w:noProof/>
            <w:webHidden/>
          </w:rPr>
          <w:tab/>
        </w:r>
        <w:r w:rsidR="00C81AD5">
          <w:rPr>
            <w:noProof/>
            <w:webHidden/>
          </w:rPr>
          <w:fldChar w:fldCharType="begin"/>
        </w:r>
        <w:r>
          <w:rPr>
            <w:noProof/>
            <w:webHidden/>
          </w:rPr>
          <w:instrText xml:space="preserve"> PAGEREF _Toc198917342 \h </w:instrText>
        </w:r>
        <w:r w:rsidR="00C81AD5">
          <w:rPr>
            <w:noProof/>
            <w:webHidden/>
          </w:rPr>
        </w:r>
        <w:r w:rsidR="00C81AD5">
          <w:rPr>
            <w:noProof/>
            <w:webHidden/>
          </w:rPr>
          <w:fldChar w:fldCharType="separate"/>
        </w:r>
        <w:r>
          <w:rPr>
            <w:noProof/>
            <w:webHidden/>
          </w:rPr>
          <w:t>7</w:t>
        </w:r>
        <w:r w:rsidR="00C81AD5">
          <w:rPr>
            <w:noProof/>
            <w:webHidden/>
          </w:rPr>
          <w:fldChar w:fldCharType="end"/>
        </w:r>
      </w:hyperlink>
    </w:p>
    <w:p w14:paraId="1B9826F6" w14:textId="77777777" w:rsidR="00554FAE" w:rsidRDefault="00554FAE">
      <w:pPr>
        <w:pStyle w:val="TOC1"/>
        <w:tabs>
          <w:tab w:val="right" w:leader="dot" w:pos="9350"/>
        </w:tabs>
        <w:rPr>
          <w:noProof/>
        </w:rPr>
      </w:pPr>
      <w:hyperlink w:anchor="_Toc198917343" w:history="1">
        <w:r w:rsidRPr="004A0A61">
          <w:rPr>
            <w:rStyle w:val="Hyperlink"/>
            <w:noProof/>
          </w:rPr>
          <w:t>3. Conclusion</w:t>
        </w:r>
        <w:r>
          <w:rPr>
            <w:noProof/>
            <w:webHidden/>
          </w:rPr>
          <w:tab/>
        </w:r>
        <w:r w:rsidR="00C81AD5">
          <w:rPr>
            <w:noProof/>
            <w:webHidden/>
          </w:rPr>
          <w:fldChar w:fldCharType="begin"/>
        </w:r>
        <w:r>
          <w:rPr>
            <w:noProof/>
            <w:webHidden/>
          </w:rPr>
          <w:instrText xml:space="preserve"> PAGEREF _Toc198917343 \h </w:instrText>
        </w:r>
        <w:r w:rsidR="00C81AD5">
          <w:rPr>
            <w:noProof/>
            <w:webHidden/>
          </w:rPr>
        </w:r>
        <w:r w:rsidR="00C81AD5">
          <w:rPr>
            <w:noProof/>
            <w:webHidden/>
          </w:rPr>
          <w:fldChar w:fldCharType="separate"/>
        </w:r>
        <w:r>
          <w:rPr>
            <w:noProof/>
            <w:webHidden/>
          </w:rPr>
          <w:t>8</w:t>
        </w:r>
        <w:r w:rsidR="00C81AD5">
          <w:rPr>
            <w:noProof/>
            <w:webHidden/>
          </w:rPr>
          <w:fldChar w:fldCharType="end"/>
        </w:r>
      </w:hyperlink>
    </w:p>
    <w:p w14:paraId="371B7B51" w14:textId="77777777" w:rsidR="00554FAE" w:rsidRDefault="00554FAE">
      <w:pPr>
        <w:pStyle w:val="TOC1"/>
        <w:tabs>
          <w:tab w:val="right" w:leader="dot" w:pos="9350"/>
        </w:tabs>
        <w:rPr>
          <w:noProof/>
        </w:rPr>
      </w:pPr>
      <w:hyperlink w:anchor="_Toc198917344" w:history="1">
        <w:r w:rsidRPr="004A0A61">
          <w:rPr>
            <w:rStyle w:val="Hyperlink"/>
            <w:noProof/>
          </w:rPr>
          <w:t>4. Recommendations</w:t>
        </w:r>
        <w:r>
          <w:rPr>
            <w:noProof/>
            <w:webHidden/>
          </w:rPr>
          <w:tab/>
        </w:r>
        <w:r w:rsidR="00C81AD5">
          <w:rPr>
            <w:noProof/>
            <w:webHidden/>
          </w:rPr>
          <w:fldChar w:fldCharType="begin"/>
        </w:r>
        <w:r>
          <w:rPr>
            <w:noProof/>
            <w:webHidden/>
          </w:rPr>
          <w:instrText xml:space="preserve"> PAGEREF _Toc198917344 \h </w:instrText>
        </w:r>
        <w:r w:rsidR="00C81AD5">
          <w:rPr>
            <w:noProof/>
            <w:webHidden/>
          </w:rPr>
        </w:r>
        <w:r w:rsidR="00C81AD5">
          <w:rPr>
            <w:noProof/>
            <w:webHidden/>
          </w:rPr>
          <w:fldChar w:fldCharType="separate"/>
        </w:r>
        <w:r>
          <w:rPr>
            <w:noProof/>
            <w:webHidden/>
          </w:rPr>
          <w:t>8</w:t>
        </w:r>
        <w:r w:rsidR="00C81AD5">
          <w:rPr>
            <w:noProof/>
            <w:webHidden/>
          </w:rPr>
          <w:fldChar w:fldCharType="end"/>
        </w:r>
      </w:hyperlink>
    </w:p>
    <w:p w14:paraId="3456A4FF" w14:textId="77777777" w:rsidR="00554FAE" w:rsidRDefault="00554FAE">
      <w:pPr>
        <w:pStyle w:val="TOC1"/>
        <w:tabs>
          <w:tab w:val="right" w:leader="dot" w:pos="9350"/>
        </w:tabs>
        <w:rPr>
          <w:noProof/>
        </w:rPr>
      </w:pPr>
      <w:hyperlink w:anchor="_Toc198917345" w:history="1">
        <w:r w:rsidRPr="004A0A61">
          <w:rPr>
            <w:rStyle w:val="Hyperlink"/>
            <w:noProof/>
            <w:lang w:val="en-IN"/>
          </w:rPr>
          <w:t>References</w:t>
        </w:r>
        <w:r>
          <w:rPr>
            <w:noProof/>
            <w:webHidden/>
          </w:rPr>
          <w:tab/>
        </w:r>
        <w:r w:rsidR="00C81AD5">
          <w:rPr>
            <w:noProof/>
            <w:webHidden/>
          </w:rPr>
          <w:fldChar w:fldCharType="begin"/>
        </w:r>
        <w:r>
          <w:rPr>
            <w:noProof/>
            <w:webHidden/>
          </w:rPr>
          <w:instrText xml:space="preserve"> PAGEREF _Toc198917345 \h </w:instrText>
        </w:r>
        <w:r w:rsidR="00C81AD5">
          <w:rPr>
            <w:noProof/>
            <w:webHidden/>
          </w:rPr>
        </w:r>
        <w:r w:rsidR="00C81AD5">
          <w:rPr>
            <w:noProof/>
            <w:webHidden/>
          </w:rPr>
          <w:fldChar w:fldCharType="separate"/>
        </w:r>
        <w:r>
          <w:rPr>
            <w:noProof/>
            <w:webHidden/>
          </w:rPr>
          <w:t>9</w:t>
        </w:r>
        <w:r w:rsidR="00C81AD5">
          <w:rPr>
            <w:noProof/>
            <w:webHidden/>
          </w:rPr>
          <w:fldChar w:fldCharType="end"/>
        </w:r>
      </w:hyperlink>
    </w:p>
    <w:p w14:paraId="7B04AAEB" w14:textId="77777777" w:rsidR="00554FAE" w:rsidRPr="00343C13" w:rsidRDefault="00C81AD5" w:rsidP="00554FAE">
      <w:pPr>
        <w:jc w:val="center"/>
      </w:pPr>
      <w:r>
        <w:fldChar w:fldCharType="end"/>
      </w:r>
    </w:p>
    <w:p w14:paraId="7D1DE2DE" w14:textId="77777777" w:rsidR="00A111FD" w:rsidRDefault="00A111FD">
      <w:pPr>
        <w:rPr>
          <w:b/>
          <w:bCs/>
          <w:sz w:val="28"/>
          <w:szCs w:val="28"/>
        </w:rPr>
      </w:pPr>
      <w:r>
        <w:br w:type="page"/>
      </w:r>
    </w:p>
    <w:p w14:paraId="7E955542" w14:textId="77777777" w:rsidR="004B7CBE" w:rsidRPr="00343C13" w:rsidRDefault="00327F42" w:rsidP="001B48C2">
      <w:pPr>
        <w:pStyle w:val="Heading1"/>
      </w:pPr>
      <w:bookmarkStart w:id="0" w:name="_Toc198917337"/>
      <w:r w:rsidRPr="00343C13">
        <w:lastRenderedPageBreak/>
        <w:t>1. Introduction</w:t>
      </w:r>
      <w:bookmarkEnd w:id="0"/>
    </w:p>
    <w:p w14:paraId="41F4B37F" w14:textId="77777777" w:rsidR="004B7CBE" w:rsidRPr="00343C13" w:rsidRDefault="00327F42" w:rsidP="001B48C2">
      <w:r w:rsidRPr="00343C13">
        <w:t xml:space="preserve">List in the Alternative Investment Market (AIM) provides a more flexible regulatory system than the main market of the UK. It allows the business to gain investment. The study aims to provide advice to a private limited organisation before enlisting in the AIM. Therefore, the significance of corporate governance agency theory, ways to retain control of the company, management of remuneration of the directors and institutional differences of another market will be provided. </w:t>
      </w:r>
    </w:p>
    <w:p w14:paraId="6396E5FA" w14:textId="77777777" w:rsidR="004B7CBE" w:rsidRPr="00343C13" w:rsidRDefault="00327F42" w:rsidP="001B48C2">
      <w:pPr>
        <w:pStyle w:val="Heading1"/>
      </w:pPr>
      <w:bookmarkStart w:id="1" w:name="_Toc198917338"/>
      <w:r w:rsidRPr="00343C13">
        <w:t>2. Discussion of the findings</w:t>
      </w:r>
      <w:bookmarkEnd w:id="1"/>
    </w:p>
    <w:p w14:paraId="2F0195AB" w14:textId="77777777" w:rsidR="004B7CBE" w:rsidRPr="00343C13" w:rsidRDefault="00327F42" w:rsidP="001B48C2">
      <w:pPr>
        <w:pStyle w:val="Heading2"/>
      </w:pPr>
      <w:bookmarkStart w:id="2" w:name="_Toc198917339"/>
      <w:r w:rsidRPr="00343C13">
        <w:t>a. Concept and need of corporate governance and agency theory and its significance in public limited (plc) companies</w:t>
      </w:r>
      <w:bookmarkEnd w:id="2"/>
    </w:p>
    <w:p w14:paraId="6AD77F89" w14:textId="77777777" w:rsidR="004B7CBE" w:rsidRDefault="00327F42" w:rsidP="001B48C2">
      <w:r w:rsidRPr="00343C13">
        <w:t>Corporate governance (CG) in the UK mainly refers to a system by which organisations are directed along with control. It ensures accountability, transparency and achievement of long-term success. The CG Framework 2024 provides guidance to the plc companies by emphasising the five core principles of leadership, effectiveness, remuneration of the employees, accountability as well as stakeholder engagement (</w:t>
      </w:r>
      <w:proofErr w:type="spellStart"/>
      <w:r w:rsidRPr="00343C13">
        <w:t>frc</w:t>
      </w:r>
      <w:proofErr w:type="spellEnd"/>
      <w:r w:rsidRPr="00343C13">
        <w:t>, 2025). It is significant as it mandates clear leadership by the board members and proper division of responsibilities. Additionally, internal control, management of different risks and transparency in reporting to the shareholders are also considered. The code of CG operates on a comply and explain basis that allows companies to either follow the provision or properly explain the deviation (</w:t>
      </w:r>
      <w:proofErr w:type="spellStart"/>
      <w:r w:rsidRPr="00343C13">
        <w:t>ecgi</w:t>
      </w:r>
      <w:proofErr w:type="spellEnd"/>
      <w:r w:rsidRPr="00343C13">
        <w:t xml:space="preserve">, 2025). Thus, the promotion of flexibility and quality engagement among the shareholders is managed. </w:t>
      </w:r>
    </w:p>
    <w:p w14:paraId="6844905F" w14:textId="77777777" w:rsidR="00E84D7C" w:rsidRDefault="00E84D7C" w:rsidP="00E84D7C">
      <w:pPr>
        <w:jc w:val="center"/>
      </w:pPr>
      <w:r>
        <w:rPr>
          <w:noProof/>
          <w:lang w:val="en-US"/>
        </w:rPr>
        <w:lastRenderedPageBreak/>
        <w:drawing>
          <wp:inline distT="0" distB="0" distL="0" distR="0" wp14:anchorId="71476A08" wp14:editId="5BBBB1CF">
            <wp:extent cx="5486400" cy="3200400"/>
            <wp:effectExtent l="19050" t="0" r="0" b="0"/>
            <wp:docPr id="15729710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963720B" w14:textId="77777777" w:rsidR="00E84D7C" w:rsidRPr="00E84D7C" w:rsidRDefault="00E84D7C" w:rsidP="00E84D7C">
      <w:pPr>
        <w:jc w:val="center"/>
        <w:rPr>
          <w:b/>
          <w:bCs/>
        </w:rPr>
      </w:pPr>
      <w:r w:rsidRPr="00E84D7C">
        <w:rPr>
          <w:b/>
          <w:bCs/>
        </w:rPr>
        <w:t xml:space="preserve">Figure 1: Agency theory </w:t>
      </w:r>
    </w:p>
    <w:p w14:paraId="671AC831" w14:textId="77777777" w:rsidR="00E84D7C" w:rsidRPr="00343C13" w:rsidRDefault="00E84D7C" w:rsidP="00E84D7C">
      <w:pPr>
        <w:jc w:val="center"/>
      </w:pPr>
      <w:r>
        <w:t xml:space="preserve">(Source: Influenced by </w:t>
      </w:r>
      <w:proofErr w:type="spellStart"/>
      <w:r w:rsidRPr="00343C13">
        <w:t>Vitolla</w:t>
      </w:r>
      <w:proofErr w:type="spellEnd"/>
      <w:r w:rsidRPr="00343C13">
        <w:t>, Raimo and Rubino, 2020</w:t>
      </w:r>
      <w:r>
        <w:t>)</w:t>
      </w:r>
    </w:p>
    <w:p w14:paraId="097EE27C" w14:textId="77777777" w:rsidR="004B7CBE" w:rsidRPr="00343C13" w:rsidRDefault="00327F42" w:rsidP="001B48C2">
      <w:r w:rsidRPr="00343C13">
        <w:t>Additionally, Agency theory underpins the CG by properly addressing the relationship between the principles and agents (</w:t>
      </w:r>
      <w:proofErr w:type="spellStart"/>
      <w:r w:rsidRPr="00343C13">
        <w:t>Vitolla</w:t>
      </w:r>
      <w:proofErr w:type="spellEnd"/>
      <w:r w:rsidRPr="00343C13">
        <w:t xml:space="preserve">, Raimo and Rubino, 2020). It shows that conflict in the business can arise when managers consider personal interest over the goals of shareholders. It creates an agency problem. The theory focuses on the requirement of CG mechanisms that include oversight of the board, remuneration of the executives based on performance and transparency in the disclosure of information (Ramadhan, Wijaya and Ruslan, 2022). It reduces the cost of the agency. In the plc, where ownership and control are segregated, follow-up of agency theory is highly significant as it provides quality guidance in designing the control system that guides managers to act according to the shareholders' interest.   </w:t>
      </w:r>
    </w:p>
    <w:p w14:paraId="63C36AFD" w14:textId="77777777" w:rsidR="004B7CBE" w:rsidRPr="00343C13" w:rsidRDefault="00327F42" w:rsidP="001B48C2">
      <w:pPr>
        <w:pStyle w:val="Heading2"/>
      </w:pPr>
      <w:bookmarkStart w:id="3" w:name="_Toc198917340"/>
      <w:r w:rsidRPr="00343C13">
        <w:t>b. Current board retaining the company’s control while holding 30% of shares</w:t>
      </w:r>
      <w:bookmarkEnd w:id="3"/>
    </w:p>
    <w:p w14:paraId="5AEC51BD" w14:textId="77777777" w:rsidR="004B7CBE" w:rsidRPr="00343C13" w:rsidRDefault="00327F42" w:rsidP="001B48C2">
      <w:r w:rsidRPr="00343C13">
        <w:t>In the UK, the board can retain the strategic control of the company with 30% of the share by considering a combination of legal rights, mechanisms under governance along with strategic alignment. Holding 30% or more rights means the board is the controlling shareholder as per UK listing rules (</w:t>
      </w:r>
      <w:proofErr w:type="spellStart"/>
      <w:r w:rsidRPr="00343C13">
        <w:t>fca</w:t>
      </w:r>
      <w:proofErr w:type="spellEnd"/>
      <w:r w:rsidRPr="00343C13">
        <w:t xml:space="preserve">, 2025). This status can have a noticeable influence on the decision of the company and may have different regulatory requirements. It also helps in figuring out the interests of the minority shareholders. Blocking special resolution is also another way of control. Although a 30% share does not overcome the majority threshold that exceeds the 25% mark, it </w:t>
      </w:r>
      <w:r w:rsidRPr="00343C13">
        <w:lastRenderedPageBreak/>
        <w:t>legally allows the shareholders to block any kind of special resolution that needs 75% of the approval (</w:t>
      </w:r>
      <w:proofErr w:type="spellStart"/>
      <w:r w:rsidRPr="00343C13">
        <w:t>murrellslaw</w:t>
      </w:r>
      <w:proofErr w:type="spellEnd"/>
      <w:r w:rsidRPr="00343C13">
        <w:t xml:space="preserve">, 2025). This can aid in preventing major business changes like issuing new shares or amending internal articles. </w:t>
      </w:r>
    </w:p>
    <w:p w14:paraId="370893BB" w14:textId="77777777" w:rsidR="004B7CBE" w:rsidRPr="00343C13" w:rsidRDefault="00327F42" w:rsidP="001B48C2">
      <w:r w:rsidRPr="00343C13">
        <w:t>In addition to that, the board can leverage the contractual provision in the articles regarding the association of secure rights like vetoing the main discussion which can affect the growth direction. Controlling the regime of the shareholder also requires the approval of independent shareholders (</w:t>
      </w:r>
      <w:proofErr w:type="spellStart"/>
      <w:r w:rsidRPr="00343C13">
        <w:t>aoshearman</w:t>
      </w:r>
      <w:proofErr w:type="spellEnd"/>
      <w:r w:rsidRPr="00343C13">
        <w:t>, 2024). It ensures the board keeps a strategic influence on the company's growth. It has been noted that in practice, not all shareholders vote in the meetings. Therefore, a 30% stake in the company can aid in controlling the outcome if other shareholders are less active. According to the Takeover Code, the acquisition of a 30% stake leads to the mandatory offer rule only in case shareholders consider control of the board through developing agreements with others (</w:t>
      </w:r>
      <w:proofErr w:type="spellStart"/>
      <w:r w:rsidRPr="00343C13">
        <w:t>thetakeoverpanel</w:t>
      </w:r>
      <w:proofErr w:type="spellEnd"/>
      <w:r w:rsidRPr="00343C13">
        <w:t xml:space="preserve">, 2023). However, the present board can reject it by managing shareholders carefully. Therefore, by considering the legal ways to block rights, using the structure of the governance and strategic shareholding, the present board can effectively retain control of the organisation even with 30% of the share.  </w:t>
      </w:r>
    </w:p>
    <w:p w14:paraId="5F183F21" w14:textId="77777777" w:rsidR="004B7CBE" w:rsidRPr="00343C13" w:rsidRDefault="00327F42" w:rsidP="001B48C2">
      <w:pPr>
        <w:pStyle w:val="Heading2"/>
      </w:pPr>
      <w:bookmarkStart w:id="4" w:name="_Toc198917341"/>
      <w:r w:rsidRPr="00343C13">
        <w:t>c. Remuneration of the directors and structure for fair compensation</w:t>
      </w:r>
      <w:bookmarkEnd w:id="4"/>
    </w:p>
    <w:p w14:paraId="403AB8CB" w14:textId="77777777" w:rsidR="004B7CBE" w:rsidRPr="00343C13" w:rsidRDefault="00327F42" w:rsidP="001B48C2">
      <w:r w:rsidRPr="00343C13">
        <w:t>In the UK, the remuneration of the directors within an organisation is mainly decided by a structure along with a transparent manner governed by legal and CG frameworks. The remuneration committee is the cereal to this process that comprises non-executive directors who observe and determine the payment policies for the executive directors of the company along with other higher management (</w:t>
      </w:r>
      <w:proofErr w:type="spellStart"/>
      <w:r w:rsidRPr="00343C13">
        <w:t>issgovernance</w:t>
      </w:r>
      <w:proofErr w:type="spellEnd"/>
      <w:r w:rsidRPr="00343C13">
        <w:t>, 2024). This committee plays a critical role in ensuring that the process of remuneration properly aligns with the goals and long-term success of the business.</w:t>
      </w:r>
    </w:p>
    <w:p w14:paraId="27D01B7D" w14:textId="77777777" w:rsidR="004B7CBE" w:rsidRPr="00343C13" w:rsidRDefault="00327F42" w:rsidP="001B48C2">
      <w:r w:rsidRPr="00343C13">
        <w:t xml:space="preserve">In addition to that, the Governance Code 2024 of the UK as well as the Companies Act </w:t>
      </w:r>
      <w:r w:rsidR="00127AA5" w:rsidRPr="00343C13">
        <w:t>2006 also</w:t>
      </w:r>
      <w:r w:rsidRPr="00343C13">
        <w:t xml:space="preserve"> requires the companies to disclose the remuneration of the directors in the annual report and submit the policy regarding remuneration management to the shareholders (</w:t>
      </w:r>
      <w:proofErr w:type="spellStart"/>
      <w:r w:rsidRPr="00343C13">
        <w:t>davidsonmorris</w:t>
      </w:r>
      <w:proofErr w:type="spellEnd"/>
      <w:r w:rsidRPr="00343C13">
        <w:t xml:space="preserve">, 2025). For at least every 3 years. Shareholders can also provide advisory votes to this report which in turn increase transparency and accountability. </w:t>
      </w:r>
    </w:p>
    <w:p w14:paraId="75BB58C8" w14:textId="77777777" w:rsidR="00E84D7C" w:rsidRDefault="00327F42" w:rsidP="001B48C2">
      <w:r w:rsidRPr="00343C13">
        <w:t xml:space="preserve">The main structure to manage fair remuneration includes consideration of remuneration committees that are independent of development along with reviewing various policies. It aids in keeping a balance between salary, bonuses, incentives and contributions to the pension (Harvey, </w:t>
      </w:r>
      <w:r w:rsidRPr="00343C13">
        <w:lastRenderedPageBreak/>
        <w:t xml:space="preserve">Maclean and Price, 2020). Furthermore, management of shareholder engagement is also critical to develop quality remuneration policies. </w:t>
      </w:r>
    </w:p>
    <w:p w14:paraId="2F49F0B6" w14:textId="77777777" w:rsidR="00E84D7C" w:rsidRDefault="00E84D7C" w:rsidP="00E84D7C">
      <w:pPr>
        <w:jc w:val="center"/>
      </w:pPr>
      <w:r>
        <w:rPr>
          <w:noProof/>
          <w:lang w:val="en-US"/>
        </w:rPr>
        <w:drawing>
          <wp:inline distT="0" distB="0" distL="0" distR="0" wp14:anchorId="4AA14A9C" wp14:editId="28B8188B">
            <wp:extent cx="3779520" cy="2067834"/>
            <wp:effectExtent l="0" t="0" r="0" b="8890"/>
            <wp:docPr id="1379566589" name="Picture 2" descr="Stakeholde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theory.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4383" cy="2070494"/>
                    </a:xfrm>
                    <a:prstGeom prst="rect">
                      <a:avLst/>
                    </a:prstGeom>
                    <a:noFill/>
                    <a:ln>
                      <a:noFill/>
                    </a:ln>
                  </pic:spPr>
                </pic:pic>
              </a:graphicData>
            </a:graphic>
          </wp:inline>
        </w:drawing>
      </w:r>
    </w:p>
    <w:p w14:paraId="42A439ED" w14:textId="77777777" w:rsidR="00E84D7C" w:rsidRPr="00E84D7C" w:rsidRDefault="00E84D7C" w:rsidP="00E84D7C">
      <w:pPr>
        <w:jc w:val="center"/>
        <w:rPr>
          <w:b/>
          <w:bCs/>
        </w:rPr>
      </w:pPr>
      <w:r w:rsidRPr="00E84D7C">
        <w:rPr>
          <w:b/>
          <w:bCs/>
        </w:rPr>
        <w:t xml:space="preserve">Figure 2: Stakeholder theory </w:t>
      </w:r>
    </w:p>
    <w:p w14:paraId="314F21B3" w14:textId="77777777" w:rsidR="00E84D7C" w:rsidRDefault="00E84D7C" w:rsidP="00E84D7C">
      <w:pPr>
        <w:jc w:val="center"/>
      </w:pPr>
      <w:r>
        <w:t xml:space="preserve">(Source: Influenced by </w:t>
      </w:r>
      <w:r w:rsidRPr="00343C13">
        <w:t>Freeman, 2023</w:t>
      </w:r>
      <w:r>
        <w:t>)</w:t>
      </w:r>
    </w:p>
    <w:p w14:paraId="43CC9962" w14:textId="77777777" w:rsidR="004B7CBE" w:rsidRPr="00343C13" w:rsidRDefault="00327F42" w:rsidP="001B48C2">
      <w:r w:rsidRPr="00343C13">
        <w:t xml:space="preserve">According to stakeholder theory, inclusion of insights of different stakeholders within the business decision-making is critical as they have significant inclusion on the operation (Freeman, 2023). </w:t>
      </w:r>
      <w:r w:rsidR="00127AA5" w:rsidRPr="00343C13">
        <w:t>Therefore,</w:t>
      </w:r>
      <w:r w:rsidRPr="00343C13">
        <w:t xml:space="preserve"> consideration of the shareholders' input can aid in aligning with the investor's interest. Packages of remuneration need to be aligned with the performance and strategy of the organisation. It can keep the directors or higher management satisfied. Management of transparency while reporting different components of remuneration can also be considered within the structure as it can impact the process of decision-making. Long-term incentives can also be included within the structure. It can help in improving the performance and properly aligning the interests of the directors with the shareholders. Thus, a proper organisational culture will be managed.   </w:t>
      </w:r>
    </w:p>
    <w:p w14:paraId="1B2517C6" w14:textId="77777777" w:rsidR="004B7CBE" w:rsidRPr="00343C13" w:rsidRDefault="00327F42" w:rsidP="001B48C2">
      <w:pPr>
        <w:pStyle w:val="Heading2"/>
      </w:pPr>
      <w:bookmarkStart w:id="5" w:name="_Toc198917342"/>
      <w:r w:rsidRPr="00343C13">
        <w:t>d. Institutional differences that directors need to be aware of</w:t>
      </w:r>
      <w:bookmarkEnd w:id="5"/>
    </w:p>
    <w:p w14:paraId="790DD23B" w14:textId="77777777" w:rsidR="004B7CBE" w:rsidRPr="00343C13" w:rsidRDefault="00327F42" w:rsidP="001B48C2">
      <w:r w:rsidRPr="00343C13">
        <w:t xml:space="preserve">If the company considers moving from the UK market to the Netherlands, the board needs to be aware of some main institutional differences in the framework regarding corporate governance between these two separate jurisdictions. </w:t>
      </w:r>
    </w:p>
    <w:p w14:paraId="22471054" w14:textId="77777777" w:rsidR="004B7CBE" w:rsidRPr="00343C13" w:rsidRDefault="00327F42" w:rsidP="001B48C2">
      <w:r w:rsidRPr="00343C13">
        <w:t>The Corporate Governance Code 2024 in the UK follows a unitary model within the board of directors. It combines non-executives and executive directors of the business (</w:t>
      </w:r>
      <w:proofErr w:type="spellStart"/>
      <w:r w:rsidRPr="00343C13">
        <w:t>frc</w:t>
      </w:r>
      <w:proofErr w:type="spellEnd"/>
      <w:r w:rsidRPr="00343C13">
        <w:t xml:space="preserve">, 2025). Here a strong focus on non-executive directors is given to ensure effective monitoring. On the other hand, in the Netherlands, a two-tier board system is followed for large companies that include </w:t>
      </w:r>
      <w:r w:rsidRPr="00343C13">
        <w:lastRenderedPageBreak/>
        <w:t>executives and a board for supervision that supervises the management separately (</w:t>
      </w:r>
      <w:proofErr w:type="spellStart"/>
      <w:r w:rsidRPr="00343C13">
        <w:t>advoc</w:t>
      </w:r>
      <w:proofErr w:type="spellEnd"/>
      <w:r w:rsidRPr="00343C13">
        <w:t>, 2020). This separation directly influences the process of decision-making and dynamics of the boards.</w:t>
      </w:r>
    </w:p>
    <w:p w14:paraId="1B4A39C3" w14:textId="77777777" w:rsidR="004B7CBE" w:rsidRPr="00343C13" w:rsidRDefault="00327F42" w:rsidP="001B48C2">
      <w:r w:rsidRPr="00343C13">
        <w:t>It has been noted that both countries have strongly focused on the creation of long-term value and management of risk within the operation. The Dutch Code for CG explicitly needs management of the company to include corporate culture and integrity within the management (</w:t>
      </w:r>
      <w:proofErr w:type="spellStart"/>
      <w:r w:rsidRPr="00343C13">
        <w:t>iglc</w:t>
      </w:r>
      <w:proofErr w:type="spellEnd"/>
      <w:r w:rsidRPr="00343C13">
        <w:t>, 2025). Additionally, risk disclosure, including sustainability risks also need to be shared under the VOR statement. The UK codes focus on leadership, accountability of the management and engagement among the stakeholders. According to the international cost of capital, risk-adjusted investment is critical during foreign market expansion (</w:t>
      </w:r>
      <w:proofErr w:type="spellStart"/>
      <w:r w:rsidRPr="00343C13">
        <w:t>Brusov</w:t>
      </w:r>
      <w:proofErr w:type="spellEnd"/>
      <w:r w:rsidRPr="00343C13">
        <w:t xml:space="preserve">, Filatova and Orekhova, 2022). Considering it, the company can analyse the market inefficiencies or other risks. </w:t>
      </w:r>
    </w:p>
    <w:p w14:paraId="0996C01D" w14:textId="77777777" w:rsidR="004B7CBE" w:rsidRPr="00343C13" w:rsidRDefault="00327F42" w:rsidP="001B48C2">
      <w:r w:rsidRPr="00343C13">
        <w:t>In the case of remuneration and rights of the shareholders, both countries keep a transparent approach through the development of detailed policies and align them to long-term performance. The Dutch Code highlights the direct involvement of the directors in the design of remuneration policies (</w:t>
      </w:r>
      <w:proofErr w:type="spellStart"/>
      <w:r w:rsidRPr="00343C13">
        <w:t>advoc</w:t>
      </w:r>
      <w:proofErr w:type="spellEnd"/>
      <w:r w:rsidRPr="00343C13">
        <w:t xml:space="preserve">, 2020). On the other hand, UK codes focus on the approval of annual reports as well as remuneration policies by the shareholders. Engagement of shareholders in the Netherlands is slightly different than in the UK with the previous country involved in works councils which in turn highlight a stronger consideration of the employees' insights. </w:t>
      </w:r>
    </w:p>
    <w:p w14:paraId="7754DCF1" w14:textId="77777777" w:rsidR="004B7CBE" w:rsidRPr="00343C13" w:rsidRDefault="00327F42" w:rsidP="001B48C2">
      <w:pPr>
        <w:pStyle w:val="Heading1"/>
      </w:pPr>
      <w:bookmarkStart w:id="6" w:name="_Toc198917343"/>
      <w:r w:rsidRPr="00343C13">
        <w:t>3. Conclusion</w:t>
      </w:r>
      <w:bookmarkEnd w:id="6"/>
    </w:p>
    <w:p w14:paraId="0DAD038A" w14:textId="77777777" w:rsidR="004B7CBE" w:rsidRPr="00343C13" w:rsidRDefault="00327F42" w:rsidP="001B48C2">
      <w:r w:rsidRPr="00343C13">
        <w:t xml:space="preserve">The study concludes that proper knowledge regarding the CG before listing in AIM is highly required to manage the operation and keep control of the business. Additionally, relocating business in the Netherlands requires proper adoption of structure regarding governance, management of regulatory frameworks along with management of stakeholders’ expectations. These can help the business to align with the local practices.  </w:t>
      </w:r>
    </w:p>
    <w:p w14:paraId="416D6D85" w14:textId="77777777" w:rsidR="004B7CBE" w:rsidRPr="00343C13" w:rsidRDefault="00327F42" w:rsidP="001B48C2">
      <w:pPr>
        <w:pStyle w:val="Heading1"/>
      </w:pPr>
      <w:bookmarkStart w:id="7" w:name="_Toc198917344"/>
      <w:r w:rsidRPr="00343C13">
        <w:t>4. Recommendations</w:t>
      </w:r>
      <w:bookmarkEnd w:id="7"/>
    </w:p>
    <w:p w14:paraId="1E0F5D7D" w14:textId="77777777" w:rsidR="004B7CBE" w:rsidRDefault="00327F42" w:rsidP="001B48C2">
      <w:r w:rsidRPr="00343C13">
        <w:t xml:space="preserve">The company is recommended to properly implement the UK CG framework 2024 while staying in the UK by reinforcing leadership, transparency along with accountability. It can aid in meeting the stakeholders' interests and reduce the chances of agency conflict. Additionally, the board is suggested to strategically use legal along with governance mechanisms that include blocking special resolutions along with leveraging voting that is inactive to manage proper control. Furthermore, the company is also recommended to develop the remuneration structure by creating an independent committee. It will aid in managing fairness and motivate transparency </w:t>
      </w:r>
      <w:r w:rsidRPr="00343C13">
        <w:lastRenderedPageBreak/>
        <w:t xml:space="preserve">which will in turn satisfy the shareholders. Management of satisfaction of the shareholders is key to gaining more investment for operational development. In addition to </w:t>
      </w:r>
      <w:r w:rsidR="00127AA5" w:rsidRPr="00343C13">
        <w:t>that, if</w:t>
      </w:r>
      <w:r w:rsidRPr="00343C13">
        <w:t xml:space="preserve"> relocating to the Netherlands, the directors are recommended to properly adapt to the dual-board system and strongly focus on cultural as well as regulatory compliance. These governance practices will play an important role in improving the governance control so that the confidence of the stakeholders can be achieved. Thus, quality growth within the market can be managed. </w:t>
      </w:r>
    </w:p>
    <w:p w14:paraId="4E82338A" w14:textId="77777777" w:rsidR="005E6364" w:rsidRDefault="005E6364">
      <w:pPr>
        <w:rPr>
          <w:b/>
          <w:bCs/>
          <w:sz w:val="28"/>
          <w:szCs w:val="28"/>
          <w:lang w:val="en-IN"/>
        </w:rPr>
      </w:pPr>
      <w:bookmarkStart w:id="8" w:name="_Toc198917345"/>
      <w:r>
        <w:rPr>
          <w:lang w:val="en-IN"/>
        </w:rPr>
        <w:br w:type="page"/>
      </w:r>
    </w:p>
    <w:p w14:paraId="740018A2" w14:textId="77777777" w:rsidR="00127AA5" w:rsidRPr="00127AA5" w:rsidRDefault="00127AA5" w:rsidP="001B48C2">
      <w:pPr>
        <w:pStyle w:val="Heading1"/>
        <w:rPr>
          <w:lang w:val="en-IN"/>
        </w:rPr>
      </w:pPr>
      <w:r w:rsidRPr="00127AA5">
        <w:rPr>
          <w:lang w:val="en-IN"/>
        </w:rPr>
        <w:lastRenderedPageBreak/>
        <w:t>References</w:t>
      </w:r>
      <w:bookmarkEnd w:id="8"/>
      <w:r w:rsidRPr="00127AA5">
        <w:rPr>
          <w:lang w:val="en-IN"/>
        </w:rPr>
        <w:t> </w:t>
      </w:r>
    </w:p>
    <w:p w14:paraId="42BE0772" w14:textId="77777777" w:rsidR="005E6364" w:rsidRPr="00127AA5" w:rsidRDefault="005E6364" w:rsidP="001B48C2">
      <w:pPr>
        <w:rPr>
          <w:lang w:val="en-IN"/>
        </w:rPr>
      </w:pPr>
      <w:proofErr w:type="spellStart"/>
      <w:r w:rsidRPr="00127AA5">
        <w:rPr>
          <w:lang w:val="en-IN"/>
        </w:rPr>
        <w:t>advoc</w:t>
      </w:r>
      <w:proofErr w:type="spellEnd"/>
      <w:r w:rsidRPr="00127AA5">
        <w:rPr>
          <w:lang w:val="en-IN"/>
        </w:rPr>
        <w:t xml:space="preserve">, (2020), </w:t>
      </w:r>
      <w:r w:rsidRPr="00127AA5">
        <w:rPr>
          <w:i/>
          <w:iCs/>
          <w:lang w:val="en-IN"/>
        </w:rPr>
        <w:t>The revised Dutch Corporate Governance Code compared to UK and Finland</w:t>
      </w:r>
      <w:r w:rsidRPr="00127AA5">
        <w:rPr>
          <w:lang w:val="en-IN"/>
        </w:rPr>
        <w:t xml:space="preserve">, Available at: </w:t>
      </w:r>
      <w:hyperlink r:id="rId13" w:history="1">
        <w:r w:rsidRPr="00127AA5">
          <w:rPr>
            <w:rStyle w:val="Hyperlink"/>
            <w:color w:val="000000" w:themeColor="text1"/>
            <w:u w:val="none"/>
            <w:lang w:val="en-IN"/>
          </w:rPr>
          <w:t>https://www.advoc.com/news/the-netherlands-the-revised-dutch-corporate-governance-code-compared-to-uk-and-finland</w:t>
        </w:r>
      </w:hyperlink>
      <w:r w:rsidRPr="00127AA5">
        <w:rPr>
          <w:lang w:val="en-IN"/>
        </w:rPr>
        <w:t>[Accessed on: 23 May, 2025] </w:t>
      </w:r>
    </w:p>
    <w:p w14:paraId="0F307F5A" w14:textId="77777777" w:rsidR="005E6364" w:rsidRPr="00127AA5" w:rsidRDefault="005E6364" w:rsidP="001B48C2">
      <w:pPr>
        <w:rPr>
          <w:lang w:val="en-IN"/>
        </w:rPr>
      </w:pPr>
      <w:proofErr w:type="spellStart"/>
      <w:r w:rsidRPr="00127AA5">
        <w:rPr>
          <w:lang w:val="en-IN"/>
        </w:rPr>
        <w:t>aoshearman</w:t>
      </w:r>
      <w:proofErr w:type="spellEnd"/>
      <w:r w:rsidRPr="00127AA5">
        <w:rPr>
          <w:lang w:val="en-IN"/>
        </w:rPr>
        <w:t xml:space="preserve">, (2024), </w:t>
      </w:r>
      <w:r w:rsidRPr="00127AA5">
        <w:rPr>
          <w:i/>
          <w:iCs/>
          <w:lang w:val="en-IN"/>
        </w:rPr>
        <w:t>UK Listing Rules reforms: Controlling shareholder regime and dual-class share rights</w:t>
      </w:r>
      <w:r w:rsidRPr="00127AA5">
        <w:rPr>
          <w:lang w:val="en-IN"/>
        </w:rPr>
        <w:t xml:space="preserve">, Available at: </w:t>
      </w:r>
      <w:hyperlink r:id="rId14" w:history="1">
        <w:r w:rsidRPr="00127AA5">
          <w:rPr>
            <w:rStyle w:val="Hyperlink"/>
            <w:color w:val="000000" w:themeColor="text1"/>
            <w:u w:val="none"/>
            <w:lang w:val="en-IN"/>
          </w:rPr>
          <w:t>https://www.aoshearman.com/en/insights/uk-listing-rules-reforms-controlling-shareholder-regime-and-dual-class-share-rights</w:t>
        </w:r>
      </w:hyperlink>
      <w:r w:rsidRPr="00127AA5">
        <w:rPr>
          <w:lang w:val="en-IN"/>
        </w:rPr>
        <w:t>[Accessed on: 23 May, 2025] </w:t>
      </w:r>
    </w:p>
    <w:p w14:paraId="5292587D" w14:textId="77777777" w:rsidR="005E6364" w:rsidRPr="00127AA5" w:rsidRDefault="005E6364" w:rsidP="001B48C2">
      <w:pPr>
        <w:rPr>
          <w:lang w:val="en-IN"/>
        </w:rPr>
      </w:pPr>
      <w:proofErr w:type="spellStart"/>
      <w:r w:rsidRPr="00127AA5">
        <w:rPr>
          <w:lang w:val="en-IN"/>
        </w:rPr>
        <w:t>Brusov</w:t>
      </w:r>
      <w:proofErr w:type="spellEnd"/>
      <w:r w:rsidRPr="00127AA5">
        <w:rPr>
          <w:lang w:val="en-IN"/>
        </w:rPr>
        <w:t xml:space="preserve">, P., Filatova, T. and Orekhova, N., (2022). Modern Theory of Capital Cost and Capital Structure: </w:t>
      </w:r>
      <w:proofErr w:type="spellStart"/>
      <w:r w:rsidRPr="00127AA5">
        <w:rPr>
          <w:lang w:val="en-IN"/>
        </w:rPr>
        <w:t>Brusov</w:t>
      </w:r>
      <w:proofErr w:type="spellEnd"/>
      <w:r w:rsidRPr="00127AA5">
        <w:rPr>
          <w:lang w:val="en-IN"/>
        </w:rPr>
        <w:t xml:space="preserve">–Filatova–Orekhova Theory (BFO Theory). In </w:t>
      </w:r>
      <w:r w:rsidRPr="00127AA5">
        <w:rPr>
          <w:i/>
          <w:iCs/>
          <w:lang w:val="en-IN"/>
        </w:rPr>
        <w:t>Generalized Modigliani–Miller Theory: Applications in Corporate Finance, Investments, Taxation and Ratings</w:t>
      </w:r>
      <w:r w:rsidRPr="00127AA5">
        <w:rPr>
          <w:lang w:val="en-IN"/>
        </w:rPr>
        <w:t xml:space="preserve"> (pp. 33-56). Cham: Springer International Publishing. </w:t>
      </w:r>
      <w:hyperlink r:id="rId15" w:history="1">
        <w:r w:rsidRPr="00127AA5">
          <w:rPr>
            <w:rStyle w:val="Hyperlink"/>
            <w:color w:val="000000" w:themeColor="text1"/>
            <w:u w:val="none"/>
            <w:lang w:val="en-IN"/>
          </w:rPr>
          <w:t>https://doi.org/10.1007/978-3-319-99686-8_3</w:t>
        </w:r>
      </w:hyperlink>
      <w:r w:rsidRPr="00127AA5">
        <w:rPr>
          <w:color w:val="000000" w:themeColor="text1"/>
          <w:lang w:val="en-IN"/>
        </w:rPr>
        <w:t> </w:t>
      </w:r>
    </w:p>
    <w:p w14:paraId="5359A779" w14:textId="77777777" w:rsidR="005E6364" w:rsidRPr="00127AA5" w:rsidRDefault="005E6364" w:rsidP="001B48C2">
      <w:pPr>
        <w:rPr>
          <w:lang w:val="en-IN"/>
        </w:rPr>
      </w:pPr>
      <w:proofErr w:type="spellStart"/>
      <w:r w:rsidRPr="00127AA5">
        <w:rPr>
          <w:lang w:val="en-IN"/>
        </w:rPr>
        <w:t>davidsonmorris</w:t>
      </w:r>
      <w:proofErr w:type="spellEnd"/>
      <w:r w:rsidRPr="00127AA5">
        <w:rPr>
          <w:lang w:val="en-IN"/>
        </w:rPr>
        <w:t xml:space="preserve">, (2025), </w:t>
      </w:r>
      <w:r w:rsidRPr="00127AA5">
        <w:rPr>
          <w:i/>
          <w:iCs/>
          <w:lang w:val="en-IN"/>
        </w:rPr>
        <w:t>Directors Remuneration: Pay, Benefits &amp; Compliance</w:t>
      </w:r>
      <w:r w:rsidRPr="00127AA5">
        <w:rPr>
          <w:lang w:val="en-IN"/>
        </w:rPr>
        <w:t xml:space="preserve">, Available at: </w:t>
      </w:r>
      <w:hyperlink r:id="rId16" w:anchor=":~:text=requirements%20relating%20to%20director%E2%80%99s%20remuneration" w:history="1">
        <w:r w:rsidRPr="00127AA5">
          <w:rPr>
            <w:rStyle w:val="Hyperlink"/>
            <w:color w:val="000000" w:themeColor="text1"/>
            <w:u w:val="none"/>
            <w:lang w:val="en-IN"/>
          </w:rPr>
          <w:t>https://www.davidsonmorris.com/directors-remuneration/#:~:text=requirements%20relating%20to%20director%E2%80%99s%20remuneration</w:t>
        </w:r>
      </w:hyperlink>
      <w:r w:rsidRPr="00127AA5">
        <w:rPr>
          <w:lang w:val="en-IN"/>
        </w:rPr>
        <w:t>[Accessed on: 23 May, 2025]  </w:t>
      </w:r>
    </w:p>
    <w:p w14:paraId="317AB4A9" w14:textId="77777777" w:rsidR="005E6364" w:rsidRPr="00127AA5" w:rsidRDefault="005E6364" w:rsidP="001B48C2">
      <w:pPr>
        <w:rPr>
          <w:lang w:val="en-IN"/>
        </w:rPr>
      </w:pPr>
      <w:proofErr w:type="spellStart"/>
      <w:r w:rsidRPr="00127AA5">
        <w:rPr>
          <w:lang w:val="en-IN"/>
        </w:rPr>
        <w:t>ecgi</w:t>
      </w:r>
      <w:proofErr w:type="spellEnd"/>
      <w:r w:rsidRPr="00127AA5">
        <w:rPr>
          <w:lang w:val="en-IN"/>
        </w:rPr>
        <w:t xml:space="preserve">, (2025), </w:t>
      </w:r>
      <w:r w:rsidRPr="00127AA5">
        <w:rPr>
          <w:i/>
          <w:iCs/>
          <w:lang w:val="en-IN"/>
        </w:rPr>
        <w:t>Corporate Governance in the United Kingdom</w:t>
      </w:r>
      <w:r w:rsidRPr="00127AA5">
        <w:rPr>
          <w:lang w:val="en-IN"/>
        </w:rPr>
        <w:t xml:space="preserve">, Available at: </w:t>
      </w:r>
      <w:hyperlink r:id="rId17" w:history="1">
        <w:r w:rsidRPr="00127AA5">
          <w:rPr>
            <w:rStyle w:val="Hyperlink"/>
            <w:color w:val="000000" w:themeColor="text1"/>
            <w:u w:val="none"/>
            <w:lang w:val="en-IN"/>
          </w:rPr>
          <w:t>https://www.ecgi.global/publications/codes/countries/corporate-governance-in-the-united-kingdom</w:t>
        </w:r>
      </w:hyperlink>
      <w:r w:rsidRPr="00127AA5">
        <w:rPr>
          <w:lang w:val="en-IN"/>
        </w:rPr>
        <w:t>[Accessed on: 23 May, 2025] </w:t>
      </w:r>
    </w:p>
    <w:p w14:paraId="4B7179DB" w14:textId="77777777" w:rsidR="005E6364" w:rsidRPr="00127AA5" w:rsidRDefault="005E6364" w:rsidP="001B48C2">
      <w:pPr>
        <w:rPr>
          <w:lang w:val="en-IN"/>
        </w:rPr>
      </w:pPr>
      <w:proofErr w:type="spellStart"/>
      <w:r w:rsidRPr="00127AA5">
        <w:rPr>
          <w:lang w:val="en-IN"/>
        </w:rPr>
        <w:t>fca</w:t>
      </w:r>
      <w:proofErr w:type="spellEnd"/>
      <w:r w:rsidRPr="00127AA5">
        <w:rPr>
          <w:lang w:val="en-IN"/>
        </w:rPr>
        <w:t xml:space="preserve">, (2025), </w:t>
      </w:r>
      <w:r w:rsidRPr="00127AA5">
        <w:rPr>
          <w:i/>
          <w:iCs/>
          <w:lang w:val="en-IN"/>
        </w:rPr>
        <w:t>UK Listing Rules Sourcebook</w:t>
      </w:r>
      <w:r w:rsidRPr="00127AA5">
        <w:rPr>
          <w:lang w:val="en-IN"/>
        </w:rPr>
        <w:t xml:space="preserve">, Available at: </w:t>
      </w:r>
      <w:hyperlink r:id="rId18" w:history="1">
        <w:r w:rsidRPr="00127AA5">
          <w:rPr>
            <w:rStyle w:val="Hyperlink"/>
            <w:color w:val="000000" w:themeColor="text1"/>
            <w:u w:val="none"/>
            <w:lang w:val="en-IN"/>
          </w:rPr>
          <w:t>https://www.handbook.fca.org.uk/handbook/UKLR.pdf</w:t>
        </w:r>
      </w:hyperlink>
      <w:r w:rsidRPr="00127AA5">
        <w:rPr>
          <w:lang w:val="en-IN"/>
        </w:rPr>
        <w:t xml:space="preserve">[Accessed on: 23 </w:t>
      </w:r>
      <w:proofErr w:type="gramStart"/>
      <w:r w:rsidRPr="00127AA5">
        <w:rPr>
          <w:lang w:val="en-IN"/>
        </w:rPr>
        <w:t>May,</w:t>
      </w:r>
      <w:proofErr w:type="gramEnd"/>
      <w:r w:rsidRPr="00127AA5">
        <w:rPr>
          <w:lang w:val="en-IN"/>
        </w:rPr>
        <w:t xml:space="preserve"> 2025]  </w:t>
      </w:r>
    </w:p>
    <w:p w14:paraId="5B5CA4D1" w14:textId="77777777" w:rsidR="005E6364" w:rsidRPr="00127AA5" w:rsidRDefault="005E6364" w:rsidP="001B48C2">
      <w:pPr>
        <w:rPr>
          <w:lang w:val="en-IN"/>
        </w:rPr>
      </w:pPr>
      <w:proofErr w:type="spellStart"/>
      <w:r w:rsidRPr="00127AA5">
        <w:rPr>
          <w:lang w:val="en-IN"/>
        </w:rPr>
        <w:t>frc</w:t>
      </w:r>
      <w:proofErr w:type="spellEnd"/>
      <w:r w:rsidRPr="00127AA5">
        <w:rPr>
          <w:lang w:val="en-IN"/>
        </w:rPr>
        <w:t xml:space="preserve">, (2025), </w:t>
      </w:r>
      <w:r w:rsidRPr="00127AA5">
        <w:rPr>
          <w:i/>
          <w:iCs/>
          <w:lang w:val="en-IN"/>
        </w:rPr>
        <w:t>UK Corporate Governance Code</w:t>
      </w:r>
      <w:r w:rsidRPr="00127AA5">
        <w:rPr>
          <w:lang w:val="en-IN"/>
        </w:rPr>
        <w:t xml:space="preserve">, Available at: </w:t>
      </w:r>
      <w:hyperlink r:id="rId19" w:history="1">
        <w:r w:rsidRPr="00127AA5">
          <w:rPr>
            <w:rStyle w:val="Hyperlink"/>
            <w:color w:val="000000" w:themeColor="text1"/>
            <w:u w:val="none"/>
            <w:lang w:val="en-IN"/>
          </w:rPr>
          <w:t>https://www.frc.org.uk/library/standards-codes-policy/corporate-governance/uk-corporate-governance-code/</w:t>
        </w:r>
      </w:hyperlink>
      <w:r w:rsidRPr="00127AA5">
        <w:rPr>
          <w:lang w:val="en-IN"/>
        </w:rPr>
        <w:t>[Accessed on: 23 May, 2025]</w:t>
      </w:r>
    </w:p>
    <w:p w14:paraId="0C2BD31A" w14:textId="77777777" w:rsidR="005E6364" w:rsidRPr="00127AA5" w:rsidRDefault="005E6364" w:rsidP="001B48C2">
      <w:pPr>
        <w:rPr>
          <w:lang w:val="en-IN"/>
        </w:rPr>
      </w:pPr>
      <w:r w:rsidRPr="00127AA5">
        <w:rPr>
          <w:lang w:val="en-IN"/>
        </w:rPr>
        <w:t xml:space="preserve">Freeman, R.E., (2023). The politics of stakeholder theory: Some future directions. In </w:t>
      </w:r>
      <w:r w:rsidRPr="00127AA5">
        <w:rPr>
          <w:i/>
          <w:iCs/>
          <w:lang w:val="en-IN"/>
        </w:rPr>
        <w:t>R. Edward Freeman’s selected works on stakeholder theory and business ethics</w:t>
      </w:r>
      <w:r w:rsidRPr="00127AA5">
        <w:rPr>
          <w:lang w:val="en-IN"/>
        </w:rPr>
        <w:t xml:space="preserve"> (pp. 119-132). Cham: Springer International Publishing. Available at: </w:t>
      </w:r>
      <w:hyperlink r:id="rId20" w:history="1">
        <w:r w:rsidRPr="00127AA5">
          <w:rPr>
            <w:rStyle w:val="Hyperlink"/>
            <w:color w:val="000000" w:themeColor="text1"/>
            <w:u w:val="none"/>
            <w:lang w:val="en-IN"/>
          </w:rPr>
          <w:t>https://doi.org/10.1007/978-3-031-04564-6_5</w:t>
        </w:r>
      </w:hyperlink>
      <w:r w:rsidRPr="00127AA5">
        <w:rPr>
          <w:color w:val="000000" w:themeColor="text1"/>
          <w:lang w:val="en-IN"/>
        </w:rPr>
        <w:t>  </w:t>
      </w:r>
    </w:p>
    <w:p w14:paraId="084E3283" w14:textId="77777777" w:rsidR="005E6364" w:rsidRPr="00127AA5" w:rsidRDefault="005E6364" w:rsidP="001B48C2">
      <w:pPr>
        <w:rPr>
          <w:lang w:val="en-IN"/>
        </w:rPr>
      </w:pPr>
      <w:r w:rsidRPr="00127AA5">
        <w:rPr>
          <w:lang w:val="en-IN"/>
        </w:rPr>
        <w:t xml:space="preserve">Harvey, C., Maclean, M. and Price, M., (2020). Executive remuneration and the limits of disclosure as an instrument of corporate governance. </w:t>
      </w:r>
      <w:r w:rsidRPr="00127AA5">
        <w:rPr>
          <w:i/>
          <w:iCs/>
          <w:lang w:val="en-IN"/>
        </w:rPr>
        <w:t>Critical Perspectives on Accounting</w:t>
      </w:r>
      <w:r w:rsidRPr="00127AA5">
        <w:rPr>
          <w:lang w:val="en-IN"/>
        </w:rPr>
        <w:t xml:space="preserve">, 69, p.102089. Available at: </w:t>
      </w:r>
      <w:hyperlink r:id="rId21" w:history="1">
        <w:r w:rsidRPr="00127AA5">
          <w:rPr>
            <w:rStyle w:val="Hyperlink"/>
            <w:color w:val="000000" w:themeColor="text1"/>
            <w:u w:val="none"/>
            <w:lang w:val="en-IN"/>
          </w:rPr>
          <w:t>https://doi.org/10.1016/j.cpa.2019.06.003</w:t>
        </w:r>
      </w:hyperlink>
      <w:r w:rsidRPr="00127AA5">
        <w:rPr>
          <w:color w:val="000000" w:themeColor="text1"/>
          <w:lang w:val="en-IN"/>
        </w:rPr>
        <w:t> </w:t>
      </w:r>
    </w:p>
    <w:p w14:paraId="3AF4898E" w14:textId="77777777" w:rsidR="005E6364" w:rsidRPr="00127AA5" w:rsidRDefault="005E6364" w:rsidP="001B48C2">
      <w:pPr>
        <w:rPr>
          <w:lang w:val="en-IN"/>
        </w:rPr>
      </w:pPr>
      <w:proofErr w:type="spellStart"/>
      <w:r w:rsidRPr="00127AA5">
        <w:rPr>
          <w:lang w:val="en-IN"/>
        </w:rPr>
        <w:t>iglc</w:t>
      </w:r>
      <w:proofErr w:type="spellEnd"/>
      <w:r w:rsidRPr="00127AA5">
        <w:rPr>
          <w:lang w:val="en-IN"/>
        </w:rPr>
        <w:t xml:space="preserve">, (2025), </w:t>
      </w:r>
      <w:r w:rsidRPr="00127AA5">
        <w:rPr>
          <w:i/>
          <w:iCs/>
          <w:lang w:val="en-IN"/>
        </w:rPr>
        <w:t>Corporate Governance Laws and Regulations Netherlands 2024-2025</w:t>
      </w:r>
      <w:r w:rsidRPr="00127AA5">
        <w:rPr>
          <w:lang w:val="en-IN"/>
        </w:rPr>
        <w:t xml:space="preserve">, Available at: </w:t>
      </w:r>
      <w:hyperlink r:id="rId22" w:anchor=":~:text=the%20Dutch%20Corporate%20Governance%20Code%20Monitoring%20Committee%20has%20conducted%20two%20consultation%20periods%2C%20throughout%202016%2C%20which%20resulted%20in%20an%20updated%20Code%20in%202017" w:history="1">
        <w:r w:rsidRPr="00127AA5">
          <w:rPr>
            <w:rStyle w:val="Hyperlink"/>
            <w:color w:val="000000" w:themeColor="text1"/>
            <w:u w:val="none"/>
            <w:lang w:val="en-IN"/>
          </w:rPr>
          <w:t>https://iclg.com/practice-areas/corporate-governance-laws-and-</w:t>
        </w:r>
        <w:r w:rsidRPr="00127AA5">
          <w:rPr>
            <w:rStyle w:val="Hyperlink"/>
            <w:color w:val="000000" w:themeColor="text1"/>
            <w:u w:val="none"/>
            <w:lang w:val="en-IN"/>
          </w:rPr>
          <w:lastRenderedPageBreak/>
          <w:t>regulations/netherlands#:~:text=the%20Dutch%20Corporate%20Governance%20Code%20Monitoring%20Committee%20has%20conducted%20two%20consultation%20periods%2C%20throughout%202016%2C%20which%20resulted%20in%20an%20updated%20Code%20in%202017</w:t>
        </w:r>
      </w:hyperlink>
      <w:r w:rsidRPr="00127AA5">
        <w:rPr>
          <w:lang w:val="en-IN"/>
        </w:rPr>
        <w:t>[Accessed on: 23 May, 2025] </w:t>
      </w:r>
    </w:p>
    <w:p w14:paraId="524DEEBE" w14:textId="77777777" w:rsidR="005E6364" w:rsidRPr="00127AA5" w:rsidRDefault="005E6364" w:rsidP="001B48C2">
      <w:pPr>
        <w:rPr>
          <w:lang w:val="en-IN"/>
        </w:rPr>
      </w:pPr>
      <w:proofErr w:type="spellStart"/>
      <w:r w:rsidRPr="00127AA5">
        <w:rPr>
          <w:lang w:val="en-IN"/>
        </w:rPr>
        <w:t>issgovernance</w:t>
      </w:r>
      <w:proofErr w:type="spellEnd"/>
      <w:r w:rsidRPr="00127AA5">
        <w:rPr>
          <w:lang w:val="en-IN"/>
        </w:rPr>
        <w:t xml:space="preserve">, (2024), </w:t>
      </w:r>
      <w:r w:rsidRPr="00127AA5">
        <w:rPr>
          <w:i/>
          <w:iCs/>
          <w:lang w:val="en-IN"/>
        </w:rPr>
        <w:t>IA Publishes Simplified UK Remuneration Principles</w:t>
      </w:r>
      <w:r w:rsidRPr="00127AA5">
        <w:rPr>
          <w:lang w:val="en-IN"/>
        </w:rPr>
        <w:t xml:space="preserve">, Available at: </w:t>
      </w:r>
      <w:hyperlink r:id="rId23" w:anchor=":~:text=the%20role%20of%20the%20remuneration%20committee%20is%20to%2C%20by%20way%20of%20delegated%20authority%20from%20the%20directors%2C%20formally%20assess%20the%20remuneration%20policy" w:history="1">
        <w:r w:rsidRPr="00127AA5">
          <w:rPr>
            <w:rStyle w:val="Hyperlink"/>
            <w:color w:val="000000" w:themeColor="text1"/>
            <w:u w:val="none"/>
            <w:lang w:val="en-IN"/>
          </w:rPr>
          <w:t>https://insights.issgovernance.com/posts/ia-publishes-simplified-uk-remuneration-principles/#:~:text=the%20role%20of%20the%20remuneration%20committee%20is%20to%2C%20by%20way%20of%20delegated%20authority%20from%20the%20directors%2C%20formally%20assess%20the%20remuneration%20policy</w:t>
        </w:r>
      </w:hyperlink>
      <w:r w:rsidRPr="00127AA5">
        <w:rPr>
          <w:lang w:val="en-IN"/>
        </w:rPr>
        <w:t>[Accessed on: 23 May, 2025]  </w:t>
      </w:r>
    </w:p>
    <w:p w14:paraId="12CCC6EB" w14:textId="77777777" w:rsidR="005E6364" w:rsidRPr="00127AA5" w:rsidRDefault="005E6364" w:rsidP="001B48C2">
      <w:pPr>
        <w:rPr>
          <w:lang w:val="en-IN"/>
        </w:rPr>
      </w:pPr>
      <w:proofErr w:type="spellStart"/>
      <w:r w:rsidRPr="00127AA5">
        <w:rPr>
          <w:lang w:val="en-IN"/>
        </w:rPr>
        <w:t>murrellslaw</w:t>
      </w:r>
      <w:proofErr w:type="spellEnd"/>
      <w:r w:rsidRPr="00127AA5">
        <w:rPr>
          <w:lang w:val="en-IN"/>
        </w:rPr>
        <w:t xml:space="preserve">, (2025), </w:t>
      </w:r>
      <w:r w:rsidRPr="00127AA5">
        <w:rPr>
          <w:i/>
          <w:iCs/>
          <w:lang w:val="en-IN"/>
        </w:rPr>
        <w:t>Five, ten, fifteen, twenty five… key voting thresholds in UK limited companies</w:t>
      </w:r>
      <w:r w:rsidRPr="00127AA5">
        <w:rPr>
          <w:lang w:val="en-IN"/>
        </w:rPr>
        <w:t xml:space="preserve">, Available at: </w:t>
      </w:r>
      <w:hyperlink r:id="rId24" w:anchor=":~:text=With%20this%20you%20can%20block%20special%20resolutions%20(which%20require%20approval%20of%20the%20holders%20of%2075%25%20or%20more%20of%20the%20share%20capital)" w:history="1">
        <w:r w:rsidRPr="00127AA5">
          <w:rPr>
            <w:rStyle w:val="Hyperlink"/>
            <w:color w:val="000000" w:themeColor="text1"/>
            <w:u w:val="none"/>
            <w:lang w:val="en-IN"/>
          </w:rPr>
          <w:t>https://murrellslaw.com/five-ten-fifteen-twenty-five-key-voting-thresholds-uk-limited-companies/#:~:text=With%20this%20you%20can%20block%20special%20resolutions%20(which%20require%20approval%20of%20the%20holders%20of%2075%25%20or%20more%20of%20the%20share%20capital)</w:t>
        </w:r>
      </w:hyperlink>
      <w:r w:rsidRPr="00127AA5">
        <w:rPr>
          <w:lang w:val="en-IN"/>
        </w:rPr>
        <w:t>[Accessed on: 23 May, 2025] </w:t>
      </w:r>
    </w:p>
    <w:p w14:paraId="54F7DB52" w14:textId="77777777" w:rsidR="005E6364" w:rsidRPr="00127AA5" w:rsidRDefault="005E6364" w:rsidP="001B48C2">
      <w:pPr>
        <w:rPr>
          <w:lang w:val="en-IN"/>
        </w:rPr>
      </w:pPr>
      <w:r w:rsidRPr="00127AA5">
        <w:rPr>
          <w:lang w:val="en-IN"/>
        </w:rPr>
        <w:t xml:space="preserve">Ramadhan, E.M.R., Wijaya, M.B.L. and Ruslan, B., (2022). Corporate governance and principal-agent theory: A critical review. </w:t>
      </w:r>
      <w:r w:rsidRPr="00127AA5">
        <w:rPr>
          <w:i/>
          <w:iCs/>
          <w:lang w:val="en-IN"/>
        </w:rPr>
        <w:t xml:space="preserve">EKOMBIS REVIEW: </w:t>
      </w:r>
      <w:proofErr w:type="spellStart"/>
      <w:r w:rsidRPr="00127AA5">
        <w:rPr>
          <w:i/>
          <w:iCs/>
          <w:lang w:val="en-IN"/>
        </w:rPr>
        <w:t>JurnalIlmiah</w:t>
      </w:r>
      <w:proofErr w:type="spellEnd"/>
      <w:r w:rsidRPr="00127AA5">
        <w:rPr>
          <w:i/>
          <w:iCs/>
          <w:lang w:val="en-IN"/>
        </w:rPr>
        <w:t xml:space="preserve"> Ekonomi Dan </w:t>
      </w:r>
      <w:proofErr w:type="spellStart"/>
      <w:r w:rsidRPr="00127AA5">
        <w:rPr>
          <w:i/>
          <w:iCs/>
          <w:lang w:val="en-IN"/>
        </w:rPr>
        <w:t>Bisnis</w:t>
      </w:r>
      <w:proofErr w:type="spellEnd"/>
      <w:r w:rsidRPr="00127AA5">
        <w:rPr>
          <w:lang w:val="en-IN"/>
        </w:rPr>
        <w:t xml:space="preserve">, 10(2), pp.1391-1404. Available at: </w:t>
      </w:r>
      <w:hyperlink r:id="rId25" w:history="1">
        <w:r w:rsidRPr="00127AA5">
          <w:rPr>
            <w:rStyle w:val="Hyperlink"/>
            <w:color w:val="000000" w:themeColor="text1"/>
            <w:u w:val="none"/>
            <w:lang w:val="en-IN"/>
          </w:rPr>
          <w:t>https://doi.org/10.37676/ekombis.v10i2.2108</w:t>
        </w:r>
      </w:hyperlink>
      <w:r w:rsidRPr="00127AA5">
        <w:rPr>
          <w:color w:val="000000" w:themeColor="text1"/>
          <w:lang w:val="en-IN"/>
        </w:rPr>
        <w:t> </w:t>
      </w:r>
    </w:p>
    <w:p w14:paraId="43A5AA3C" w14:textId="77777777" w:rsidR="005E6364" w:rsidRPr="00127AA5" w:rsidRDefault="005E6364" w:rsidP="001B48C2">
      <w:pPr>
        <w:rPr>
          <w:lang w:val="en-IN"/>
        </w:rPr>
      </w:pPr>
      <w:proofErr w:type="spellStart"/>
      <w:r w:rsidRPr="00127AA5">
        <w:rPr>
          <w:lang w:val="en-IN"/>
        </w:rPr>
        <w:t>thetakeoverpanel</w:t>
      </w:r>
      <w:proofErr w:type="spellEnd"/>
      <w:r w:rsidRPr="00127AA5">
        <w:rPr>
          <w:lang w:val="en-IN"/>
        </w:rPr>
        <w:t xml:space="preserve">, (2023), </w:t>
      </w:r>
      <w:r w:rsidRPr="00127AA5">
        <w:rPr>
          <w:i/>
          <w:iCs/>
          <w:lang w:val="en-IN"/>
        </w:rPr>
        <w:t>The Takeover Code</w:t>
      </w:r>
      <w:r w:rsidRPr="00127AA5">
        <w:rPr>
          <w:lang w:val="en-IN"/>
        </w:rPr>
        <w:t xml:space="preserve">, Available at: </w:t>
      </w:r>
      <w:hyperlink r:id="rId26" w:history="1">
        <w:r w:rsidRPr="00127AA5">
          <w:rPr>
            <w:rStyle w:val="Hyperlink"/>
            <w:color w:val="000000" w:themeColor="text1"/>
            <w:u w:val="none"/>
            <w:lang w:val="en-IN"/>
          </w:rPr>
          <w:t>https://code.thetakeoverpanel.org.uk/tp/ps/ps-26.html?date=2023-12-11&amp;timeline=True</w:t>
        </w:r>
      </w:hyperlink>
      <w:r w:rsidRPr="00127AA5">
        <w:rPr>
          <w:lang w:val="en-IN"/>
        </w:rPr>
        <w:t>[Accessed on: 23 May, 2025] </w:t>
      </w:r>
    </w:p>
    <w:p w14:paraId="4580AAA5" w14:textId="77777777" w:rsidR="005E6364" w:rsidRPr="00127AA5" w:rsidRDefault="005E6364" w:rsidP="001B48C2">
      <w:pPr>
        <w:rPr>
          <w:lang w:val="en-IN"/>
        </w:rPr>
      </w:pPr>
      <w:proofErr w:type="spellStart"/>
      <w:r w:rsidRPr="00127AA5">
        <w:rPr>
          <w:lang w:val="en-IN"/>
        </w:rPr>
        <w:t>Vitolla</w:t>
      </w:r>
      <w:proofErr w:type="spellEnd"/>
      <w:r w:rsidRPr="00127AA5">
        <w:rPr>
          <w:lang w:val="en-IN"/>
        </w:rPr>
        <w:t xml:space="preserve">, F., Raimo, N. and Rubino, M., (2020). Board characteristics and integrated reporting quality: An agency theory perspective. </w:t>
      </w:r>
      <w:r w:rsidRPr="00127AA5">
        <w:rPr>
          <w:i/>
          <w:iCs/>
          <w:lang w:val="en-IN"/>
        </w:rPr>
        <w:t>Corporate Social Responsibility and Environmental Management</w:t>
      </w:r>
      <w:r w:rsidRPr="00127AA5">
        <w:rPr>
          <w:lang w:val="en-IN"/>
        </w:rPr>
        <w:t xml:space="preserve">, 27(2), pp.1152-1163. Available at: </w:t>
      </w:r>
      <w:hyperlink r:id="rId27" w:history="1">
        <w:r w:rsidRPr="00127AA5">
          <w:rPr>
            <w:rStyle w:val="Hyperlink"/>
            <w:color w:val="000000" w:themeColor="text1"/>
            <w:u w:val="none"/>
            <w:lang w:val="en-IN"/>
          </w:rPr>
          <w:t>https://doi.org/10.1002/csr.1879</w:t>
        </w:r>
      </w:hyperlink>
      <w:r w:rsidRPr="00127AA5">
        <w:rPr>
          <w:color w:val="000000" w:themeColor="text1"/>
          <w:lang w:val="en-IN"/>
        </w:rPr>
        <w:t> </w:t>
      </w:r>
    </w:p>
    <w:p w14:paraId="741F5687" w14:textId="77777777" w:rsidR="00127AA5" w:rsidRPr="00343C13" w:rsidRDefault="00127AA5" w:rsidP="001B48C2"/>
    <w:sectPr w:rsidR="00127AA5" w:rsidRPr="00343C13" w:rsidSect="00C42183">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BB738" w14:textId="77777777" w:rsidR="009D4415" w:rsidRDefault="009D4415" w:rsidP="00C42183">
      <w:pPr>
        <w:spacing w:line="240" w:lineRule="auto"/>
      </w:pPr>
      <w:r>
        <w:separator/>
      </w:r>
    </w:p>
  </w:endnote>
  <w:endnote w:type="continuationSeparator" w:id="0">
    <w:p w14:paraId="611A638A" w14:textId="77777777" w:rsidR="009D4415" w:rsidRDefault="009D4415" w:rsidP="00C421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942641"/>
      <w:docPartObj>
        <w:docPartGallery w:val="Page Numbers (Bottom of Page)"/>
        <w:docPartUnique/>
      </w:docPartObj>
    </w:sdtPr>
    <w:sdtEndPr>
      <w:rPr>
        <w:noProof/>
        <w:sz w:val="20"/>
        <w:szCs w:val="20"/>
      </w:rPr>
    </w:sdtEndPr>
    <w:sdtContent>
      <w:p w14:paraId="4E09785A" w14:textId="77777777" w:rsidR="00C42183" w:rsidRPr="00C42183" w:rsidRDefault="00C81AD5">
        <w:pPr>
          <w:pStyle w:val="Footer"/>
          <w:jc w:val="right"/>
          <w:rPr>
            <w:sz w:val="20"/>
            <w:szCs w:val="20"/>
          </w:rPr>
        </w:pPr>
        <w:r w:rsidRPr="00C42183">
          <w:rPr>
            <w:sz w:val="20"/>
            <w:szCs w:val="20"/>
          </w:rPr>
          <w:fldChar w:fldCharType="begin"/>
        </w:r>
        <w:r w:rsidR="00C42183" w:rsidRPr="00C42183">
          <w:rPr>
            <w:sz w:val="20"/>
            <w:szCs w:val="20"/>
          </w:rPr>
          <w:instrText xml:space="preserve"> PAGE   \* MERGEFORMAT </w:instrText>
        </w:r>
        <w:r w:rsidRPr="00C42183">
          <w:rPr>
            <w:sz w:val="20"/>
            <w:szCs w:val="20"/>
          </w:rPr>
          <w:fldChar w:fldCharType="separate"/>
        </w:r>
        <w:r w:rsidR="005E6364">
          <w:rPr>
            <w:noProof/>
            <w:sz w:val="20"/>
            <w:szCs w:val="20"/>
          </w:rPr>
          <w:t>11</w:t>
        </w:r>
        <w:r w:rsidRPr="00C42183">
          <w:rPr>
            <w:noProof/>
            <w:sz w:val="20"/>
            <w:szCs w:val="20"/>
          </w:rPr>
          <w:fldChar w:fldCharType="end"/>
        </w:r>
      </w:p>
    </w:sdtContent>
  </w:sdt>
  <w:p w14:paraId="5C5AE4B8" w14:textId="77777777" w:rsidR="00C42183" w:rsidRDefault="00C42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8A9DC" w14:textId="77777777" w:rsidR="009D4415" w:rsidRDefault="009D4415" w:rsidP="00C42183">
      <w:pPr>
        <w:spacing w:line="240" w:lineRule="auto"/>
      </w:pPr>
      <w:r>
        <w:separator/>
      </w:r>
    </w:p>
  </w:footnote>
  <w:footnote w:type="continuationSeparator" w:id="0">
    <w:p w14:paraId="71911A6E" w14:textId="77777777" w:rsidR="009D4415" w:rsidRDefault="009D4415" w:rsidP="00C4218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7CBE"/>
    <w:rsid w:val="00127AA5"/>
    <w:rsid w:val="001B48C2"/>
    <w:rsid w:val="0026649F"/>
    <w:rsid w:val="00327F42"/>
    <w:rsid w:val="00343C13"/>
    <w:rsid w:val="003604F4"/>
    <w:rsid w:val="004B7CBE"/>
    <w:rsid w:val="00554FAE"/>
    <w:rsid w:val="005E6364"/>
    <w:rsid w:val="009D4415"/>
    <w:rsid w:val="00A05B3F"/>
    <w:rsid w:val="00A111FD"/>
    <w:rsid w:val="00C42183"/>
    <w:rsid w:val="00C81AD5"/>
    <w:rsid w:val="00E84D7C"/>
    <w:rsid w:val="00EB66F0"/>
    <w:rsid w:val="00F86A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E012"/>
  <w15:docId w15:val="{54EC7EDB-53CA-4DD4-8B57-D5518543C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1AD5"/>
  </w:style>
  <w:style w:type="paragraph" w:styleId="Heading1">
    <w:name w:val="heading 1"/>
    <w:basedOn w:val="Normal"/>
    <w:next w:val="Normal"/>
    <w:rsid w:val="00343C13"/>
    <w:pPr>
      <w:outlineLvl w:val="0"/>
    </w:pPr>
    <w:rPr>
      <w:b/>
      <w:bCs/>
      <w:sz w:val="28"/>
      <w:szCs w:val="28"/>
    </w:rPr>
  </w:style>
  <w:style w:type="paragraph" w:styleId="Heading2">
    <w:name w:val="heading 2"/>
    <w:basedOn w:val="Normal"/>
    <w:next w:val="Normal"/>
    <w:rsid w:val="00343C13"/>
    <w:pPr>
      <w:outlineLvl w:val="1"/>
    </w:pPr>
    <w:rPr>
      <w:b/>
      <w:bCs/>
      <w:sz w:val="26"/>
      <w:szCs w:val="26"/>
    </w:rPr>
  </w:style>
  <w:style w:type="paragraph" w:styleId="Heading3">
    <w:name w:val="heading 3"/>
    <w:basedOn w:val="Normal"/>
    <w:next w:val="Normal"/>
    <w:rsid w:val="00C81AD5"/>
    <w:pPr>
      <w:keepNext/>
      <w:keepLines/>
      <w:spacing w:before="320" w:after="80"/>
      <w:outlineLvl w:val="2"/>
    </w:pPr>
    <w:rPr>
      <w:color w:val="434343"/>
      <w:sz w:val="28"/>
      <w:szCs w:val="28"/>
    </w:rPr>
  </w:style>
  <w:style w:type="paragraph" w:styleId="Heading4">
    <w:name w:val="heading 4"/>
    <w:basedOn w:val="Normal"/>
    <w:next w:val="Normal"/>
    <w:rsid w:val="00C81AD5"/>
    <w:pPr>
      <w:keepNext/>
      <w:keepLines/>
      <w:spacing w:before="280" w:after="80"/>
      <w:outlineLvl w:val="3"/>
    </w:pPr>
    <w:rPr>
      <w:color w:val="666666"/>
    </w:rPr>
  </w:style>
  <w:style w:type="paragraph" w:styleId="Heading5">
    <w:name w:val="heading 5"/>
    <w:basedOn w:val="Normal"/>
    <w:next w:val="Normal"/>
    <w:rsid w:val="00C81AD5"/>
    <w:pPr>
      <w:keepNext/>
      <w:keepLines/>
      <w:spacing w:before="240" w:after="80"/>
      <w:outlineLvl w:val="4"/>
    </w:pPr>
    <w:rPr>
      <w:color w:val="666666"/>
      <w:sz w:val="22"/>
      <w:szCs w:val="22"/>
    </w:rPr>
  </w:style>
  <w:style w:type="paragraph" w:styleId="Heading6">
    <w:name w:val="heading 6"/>
    <w:basedOn w:val="Normal"/>
    <w:next w:val="Normal"/>
    <w:rsid w:val="00C81AD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C81AD5"/>
    <w:tblPr>
      <w:tblCellMar>
        <w:top w:w="0" w:type="dxa"/>
        <w:left w:w="0" w:type="dxa"/>
        <w:bottom w:w="0" w:type="dxa"/>
        <w:right w:w="0" w:type="dxa"/>
      </w:tblCellMar>
    </w:tblPr>
  </w:style>
  <w:style w:type="paragraph" w:styleId="Title">
    <w:name w:val="Title"/>
    <w:basedOn w:val="Normal"/>
    <w:next w:val="Normal"/>
    <w:rsid w:val="00C81AD5"/>
    <w:pPr>
      <w:keepNext/>
      <w:keepLines/>
      <w:spacing w:after="60"/>
    </w:pPr>
    <w:rPr>
      <w:sz w:val="52"/>
      <w:szCs w:val="52"/>
    </w:rPr>
  </w:style>
  <w:style w:type="paragraph" w:styleId="Subtitle">
    <w:name w:val="Subtitle"/>
    <w:basedOn w:val="Normal"/>
    <w:next w:val="Normal"/>
    <w:rsid w:val="00C81AD5"/>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C81AD5"/>
    <w:pPr>
      <w:spacing w:line="240" w:lineRule="auto"/>
    </w:pPr>
    <w:rPr>
      <w:sz w:val="20"/>
      <w:szCs w:val="20"/>
    </w:rPr>
  </w:style>
  <w:style w:type="character" w:customStyle="1" w:styleId="CommentTextChar">
    <w:name w:val="Comment Text Char"/>
    <w:basedOn w:val="DefaultParagraphFont"/>
    <w:link w:val="CommentText"/>
    <w:uiPriority w:val="99"/>
    <w:semiHidden/>
    <w:rsid w:val="00C81AD5"/>
    <w:rPr>
      <w:sz w:val="20"/>
      <w:szCs w:val="20"/>
    </w:rPr>
  </w:style>
  <w:style w:type="character" w:styleId="CommentReference">
    <w:name w:val="annotation reference"/>
    <w:basedOn w:val="DefaultParagraphFont"/>
    <w:uiPriority w:val="99"/>
    <w:semiHidden/>
    <w:unhideWhenUsed/>
    <w:rsid w:val="00C81AD5"/>
    <w:rPr>
      <w:sz w:val="16"/>
      <w:szCs w:val="16"/>
    </w:rPr>
  </w:style>
  <w:style w:type="character" w:styleId="Hyperlink">
    <w:name w:val="Hyperlink"/>
    <w:basedOn w:val="DefaultParagraphFont"/>
    <w:uiPriority w:val="99"/>
    <w:unhideWhenUsed/>
    <w:rsid w:val="00127AA5"/>
    <w:rPr>
      <w:color w:val="0000FF" w:themeColor="hyperlink"/>
      <w:u w:val="single"/>
    </w:rPr>
  </w:style>
  <w:style w:type="character" w:customStyle="1" w:styleId="UnresolvedMention1">
    <w:name w:val="Unresolved Mention1"/>
    <w:basedOn w:val="DefaultParagraphFont"/>
    <w:uiPriority w:val="99"/>
    <w:semiHidden/>
    <w:unhideWhenUsed/>
    <w:rsid w:val="00127AA5"/>
    <w:rPr>
      <w:color w:val="605E5C"/>
      <w:shd w:val="clear" w:color="auto" w:fill="E1DFDD"/>
    </w:rPr>
  </w:style>
  <w:style w:type="paragraph" w:styleId="Header">
    <w:name w:val="header"/>
    <w:basedOn w:val="Normal"/>
    <w:link w:val="HeaderChar"/>
    <w:uiPriority w:val="99"/>
    <w:unhideWhenUsed/>
    <w:rsid w:val="00C42183"/>
    <w:pPr>
      <w:tabs>
        <w:tab w:val="center" w:pos="4513"/>
        <w:tab w:val="right" w:pos="9026"/>
      </w:tabs>
      <w:spacing w:line="240" w:lineRule="auto"/>
    </w:pPr>
  </w:style>
  <w:style w:type="character" w:customStyle="1" w:styleId="HeaderChar">
    <w:name w:val="Header Char"/>
    <w:basedOn w:val="DefaultParagraphFont"/>
    <w:link w:val="Header"/>
    <w:uiPriority w:val="99"/>
    <w:rsid w:val="00C42183"/>
  </w:style>
  <w:style w:type="paragraph" w:styleId="Footer">
    <w:name w:val="footer"/>
    <w:basedOn w:val="Normal"/>
    <w:link w:val="FooterChar"/>
    <w:uiPriority w:val="99"/>
    <w:unhideWhenUsed/>
    <w:rsid w:val="00C42183"/>
    <w:pPr>
      <w:tabs>
        <w:tab w:val="center" w:pos="4513"/>
        <w:tab w:val="right" w:pos="9026"/>
      </w:tabs>
      <w:spacing w:line="240" w:lineRule="auto"/>
    </w:pPr>
  </w:style>
  <w:style w:type="character" w:customStyle="1" w:styleId="FooterChar">
    <w:name w:val="Footer Char"/>
    <w:basedOn w:val="DefaultParagraphFont"/>
    <w:link w:val="Footer"/>
    <w:uiPriority w:val="99"/>
    <w:rsid w:val="00C42183"/>
  </w:style>
  <w:style w:type="paragraph" w:styleId="TOC1">
    <w:name w:val="toc 1"/>
    <w:basedOn w:val="Normal"/>
    <w:next w:val="Normal"/>
    <w:autoRedefine/>
    <w:uiPriority w:val="39"/>
    <w:unhideWhenUsed/>
    <w:rsid w:val="00554FAE"/>
    <w:pPr>
      <w:spacing w:after="100"/>
    </w:pPr>
  </w:style>
  <w:style w:type="paragraph" w:styleId="TOC2">
    <w:name w:val="toc 2"/>
    <w:basedOn w:val="Normal"/>
    <w:next w:val="Normal"/>
    <w:autoRedefine/>
    <w:uiPriority w:val="39"/>
    <w:unhideWhenUsed/>
    <w:rsid w:val="00554FAE"/>
    <w:pPr>
      <w:spacing w:after="100"/>
      <w:ind w:left="240"/>
    </w:pPr>
  </w:style>
  <w:style w:type="paragraph" w:styleId="BalloonText">
    <w:name w:val="Balloon Text"/>
    <w:basedOn w:val="Normal"/>
    <w:link w:val="BalloonTextChar"/>
    <w:uiPriority w:val="99"/>
    <w:semiHidden/>
    <w:unhideWhenUsed/>
    <w:rsid w:val="005E636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3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011816">
      <w:bodyDiv w:val="1"/>
      <w:marLeft w:val="0"/>
      <w:marRight w:val="0"/>
      <w:marTop w:val="0"/>
      <w:marBottom w:val="0"/>
      <w:divBdr>
        <w:top w:val="none" w:sz="0" w:space="0" w:color="auto"/>
        <w:left w:val="none" w:sz="0" w:space="0" w:color="auto"/>
        <w:bottom w:val="none" w:sz="0" w:space="0" w:color="auto"/>
        <w:right w:val="none" w:sz="0" w:space="0" w:color="auto"/>
      </w:divBdr>
    </w:div>
    <w:div w:id="1411536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advoc.com/news/the-netherlands-the-revised-dutch-corporate-governance-code-compared-to-uk-and-finland" TargetMode="External"/><Relationship Id="rId18" Type="http://schemas.openxmlformats.org/officeDocument/2006/relationships/hyperlink" Target="https://www.handbook.fca.org.uk/handbook/UKLR.pdf" TargetMode="External"/><Relationship Id="rId26" Type="http://schemas.openxmlformats.org/officeDocument/2006/relationships/hyperlink" Target="https://code.thetakeoverpanel.org.uk/tp/ps/ps-26.html?date=2023-12-11&amp;timeline=True" TargetMode="External"/><Relationship Id="rId3" Type="http://schemas.openxmlformats.org/officeDocument/2006/relationships/settings" Target="settings.xml"/><Relationship Id="rId21" Type="http://schemas.openxmlformats.org/officeDocument/2006/relationships/hyperlink" Target="https://doi.org/10.1016/j.cpa.2019.06.003" TargetMode="Externa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www.ecgi.global/publications/codes/countries/corporate-governance-in-the-united-kingdom" TargetMode="External"/><Relationship Id="rId25" Type="http://schemas.openxmlformats.org/officeDocument/2006/relationships/hyperlink" Target="https://doi.org/10.37676/ekombis.v10i2.2108" TargetMode="External"/><Relationship Id="rId2" Type="http://schemas.openxmlformats.org/officeDocument/2006/relationships/styles" Target="styles.xml"/><Relationship Id="rId16" Type="http://schemas.openxmlformats.org/officeDocument/2006/relationships/hyperlink" Target="https://www.davidsonmorris.com/directors-remuneration/" TargetMode="External"/><Relationship Id="rId20" Type="http://schemas.openxmlformats.org/officeDocument/2006/relationships/hyperlink" Target="https://doi.org/10.1007/978-3-031-04564-6_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murrellslaw.com/five-ten-fifteen-twenty-five-key-voting-thresholds-uk-limited-companies/" TargetMode="External"/><Relationship Id="rId5" Type="http://schemas.openxmlformats.org/officeDocument/2006/relationships/footnotes" Target="footnotes.xml"/><Relationship Id="rId15" Type="http://schemas.openxmlformats.org/officeDocument/2006/relationships/hyperlink" Target="https://doi.org/10.1007/978-3-319-99686-8_3" TargetMode="External"/><Relationship Id="rId23" Type="http://schemas.openxmlformats.org/officeDocument/2006/relationships/hyperlink" Target="https://insights.issgovernance.com/posts/ia-publishes-simplified-uk-remuneration-principles/" TargetMode="External"/><Relationship Id="rId28" Type="http://schemas.openxmlformats.org/officeDocument/2006/relationships/footer" Target="footer1.xml"/><Relationship Id="rId10" Type="http://schemas.openxmlformats.org/officeDocument/2006/relationships/diagramColors" Target="diagrams/colors1.xml"/><Relationship Id="rId19" Type="http://schemas.openxmlformats.org/officeDocument/2006/relationships/hyperlink" Target="https://www.frc.org.uk/library/standards-codes-policy/corporate-governance/uk-corporate-governance-code/"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aoshearman.com/en/insights/uk-listing-rules-reforms-controlling-shareholder-regime-and-dual-class-share-rights" TargetMode="External"/><Relationship Id="rId22" Type="http://schemas.openxmlformats.org/officeDocument/2006/relationships/hyperlink" Target="https://iclg.com/practice-areas/corporate-governance-laws-and-regulations/netherlands" TargetMode="External"/><Relationship Id="rId27" Type="http://schemas.openxmlformats.org/officeDocument/2006/relationships/hyperlink" Target="https://doi.org/10.1002/csr.1879"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893F62-47C0-46E1-B216-9F4F9330B90E}" type="doc">
      <dgm:prSet loTypeId="urn:microsoft.com/office/officeart/2005/8/layout/arrow5" loCatId="process" qsTypeId="urn:microsoft.com/office/officeart/2005/8/quickstyle/simple1" qsCatId="simple" csTypeId="urn:microsoft.com/office/officeart/2005/8/colors/colorful1#2" csCatId="colorful" phldr="1"/>
      <dgm:spPr/>
      <dgm:t>
        <a:bodyPr/>
        <a:lstStyle/>
        <a:p>
          <a:endParaRPr lang="en-IN"/>
        </a:p>
      </dgm:t>
    </dgm:pt>
    <dgm:pt modelId="{F7EBDFF5-220B-403E-BE65-11E1CEF16FB1}">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Principle's requirements</a:t>
          </a:r>
        </a:p>
      </dgm:t>
    </dgm:pt>
    <dgm:pt modelId="{9EBA6B0B-32A7-4CE6-A215-32EC8A4A88B0}" type="parTrans" cxnId="{40ABB67D-4ED7-4BF3-B3A9-2716DD037954}">
      <dgm:prSet/>
      <dgm:spPr/>
      <dgm:t>
        <a:bodyPr/>
        <a:lstStyle/>
        <a:p>
          <a:endParaRPr lang="en-IN"/>
        </a:p>
      </dgm:t>
    </dgm:pt>
    <dgm:pt modelId="{03558680-70FB-469B-95E4-B94D1B6DA0DF}" type="sibTrans" cxnId="{40ABB67D-4ED7-4BF3-B3A9-2716DD037954}">
      <dgm:prSet/>
      <dgm:spPr/>
      <dgm:t>
        <a:bodyPr/>
        <a:lstStyle/>
        <a:p>
          <a:endParaRPr lang="en-IN"/>
        </a:p>
      </dgm:t>
    </dgm:pt>
    <dgm:pt modelId="{5988B967-CFD6-4FCE-BA94-53A1C5FE953E}">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Agent's interest</a:t>
          </a:r>
        </a:p>
      </dgm:t>
    </dgm:pt>
    <dgm:pt modelId="{D6BFAEA9-58E6-4BBA-A4AC-300940BDBAFD}" type="parTrans" cxnId="{842C3761-DD9C-4D0C-B082-CCC16CE4F1B9}">
      <dgm:prSet/>
      <dgm:spPr/>
      <dgm:t>
        <a:bodyPr/>
        <a:lstStyle/>
        <a:p>
          <a:endParaRPr lang="en-IN"/>
        </a:p>
      </dgm:t>
    </dgm:pt>
    <dgm:pt modelId="{065A5E2C-2BE8-4965-AAE6-ED2BEA318DA1}" type="sibTrans" cxnId="{842C3761-DD9C-4D0C-B082-CCC16CE4F1B9}">
      <dgm:prSet/>
      <dgm:spPr/>
      <dgm:t>
        <a:bodyPr/>
        <a:lstStyle/>
        <a:p>
          <a:endParaRPr lang="en-IN"/>
        </a:p>
      </dgm:t>
    </dgm:pt>
    <dgm:pt modelId="{BDA59F42-5FF3-4A69-B144-2A0A27B190D1}" type="pres">
      <dgm:prSet presAssocID="{6F893F62-47C0-46E1-B216-9F4F9330B90E}" presName="diagram" presStyleCnt="0">
        <dgm:presLayoutVars>
          <dgm:dir/>
          <dgm:resizeHandles val="exact"/>
        </dgm:presLayoutVars>
      </dgm:prSet>
      <dgm:spPr/>
    </dgm:pt>
    <dgm:pt modelId="{D224B9DC-15D6-4DAF-A9A8-1EF932735D92}" type="pres">
      <dgm:prSet presAssocID="{F7EBDFF5-220B-403E-BE65-11E1CEF16FB1}" presName="arrow" presStyleLbl="node1" presStyleIdx="0" presStyleCnt="2">
        <dgm:presLayoutVars>
          <dgm:bulletEnabled val="1"/>
        </dgm:presLayoutVars>
      </dgm:prSet>
      <dgm:spPr/>
    </dgm:pt>
    <dgm:pt modelId="{699C9FB0-31BF-4619-ADD4-0D6554B36C82}" type="pres">
      <dgm:prSet presAssocID="{5988B967-CFD6-4FCE-BA94-53A1C5FE953E}" presName="arrow" presStyleLbl="node1" presStyleIdx="1" presStyleCnt="2">
        <dgm:presLayoutVars>
          <dgm:bulletEnabled val="1"/>
        </dgm:presLayoutVars>
      </dgm:prSet>
      <dgm:spPr/>
    </dgm:pt>
  </dgm:ptLst>
  <dgm:cxnLst>
    <dgm:cxn modelId="{842C3761-DD9C-4D0C-B082-CCC16CE4F1B9}" srcId="{6F893F62-47C0-46E1-B216-9F4F9330B90E}" destId="{5988B967-CFD6-4FCE-BA94-53A1C5FE953E}" srcOrd="1" destOrd="0" parTransId="{D6BFAEA9-58E6-4BBA-A4AC-300940BDBAFD}" sibTransId="{065A5E2C-2BE8-4965-AAE6-ED2BEA318DA1}"/>
    <dgm:cxn modelId="{40ABB67D-4ED7-4BF3-B3A9-2716DD037954}" srcId="{6F893F62-47C0-46E1-B216-9F4F9330B90E}" destId="{F7EBDFF5-220B-403E-BE65-11E1CEF16FB1}" srcOrd="0" destOrd="0" parTransId="{9EBA6B0B-32A7-4CE6-A215-32EC8A4A88B0}" sibTransId="{03558680-70FB-469B-95E4-B94D1B6DA0DF}"/>
    <dgm:cxn modelId="{F695288B-CDC1-43E9-B99F-C16509B9BBDB}" type="presOf" srcId="{F7EBDFF5-220B-403E-BE65-11E1CEF16FB1}" destId="{D224B9DC-15D6-4DAF-A9A8-1EF932735D92}" srcOrd="0" destOrd="0" presId="urn:microsoft.com/office/officeart/2005/8/layout/arrow5"/>
    <dgm:cxn modelId="{6D85A7DB-DE73-4DCA-B680-E485016D9BD1}" type="presOf" srcId="{6F893F62-47C0-46E1-B216-9F4F9330B90E}" destId="{BDA59F42-5FF3-4A69-B144-2A0A27B190D1}" srcOrd="0" destOrd="0" presId="urn:microsoft.com/office/officeart/2005/8/layout/arrow5"/>
    <dgm:cxn modelId="{0E687FFF-9A14-4562-A6FF-79EAF33F04A3}" type="presOf" srcId="{5988B967-CFD6-4FCE-BA94-53A1C5FE953E}" destId="{699C9FB0-31BF-4619-ADD4-0D6554B36C82}" srcOrd="0" destOrd="0" presId="urn:microsoft.com/office/officeart/2005/8/layout/arrow5"/>
    <dgm:cxn modelId="{20D3C568-55DE-4700-BB54-6BDDFF13AAD2}" type="presParOf" srcId="{BDA59F42-5FF3-4A69-B144-2A0A27B190D1}" destId="{D224B9DC-15D6-4DAF-A9A8-1EF932735D92}" srcOrd="0" destOrd="0" presId="urn:microsoft.com/office/officeart/2005/8/layout/arrow5"/>
    <dgm:cxn modelId="{B409F003-D933-489F-8ECF-C5FB658EB0A7}" type="presParOf" srcId="{BDA59F42-5FF3-4A69-B144-2A0A27B190D1}" destId="{699C9FB0-31BF-4619-ADD4-0D6554B36C82}" srcOrd="1" destOrd="0" presId="urn:microsoft.com/office/officeart/2005/8/layout/arrow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24B9DC-15D6-4DAF-A9A8-1EF932735D92}">
      <dsp:nvSpPr>
        <dsp:cNvPr id="0" name=""/>
        <dsp:cNvSpPr/>
      </dsp:nvSpPr>
      <dsp:spPr>
        <a:xfrm rot="16200000">
          <a:off x="385" y="268783"/>
          <a:ext cx="2662832" cy="2662832"/>
        </a:xfrm>
        <a:prstGeom prst="downArrow">
          <a:avLst>
            <a:gd name="adj1" fmla="val 50000"/>
            <a:gd name="adj2" fmla="val 35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IN" sz="2500" b="1" kern="1200">
              <a:solidFill>
                <a:schemeClr val="tx1"/>
              </a:solidFill>
              <a:latin typeface="Times New Roman" panose="02020603050405020304" pitchFamily="18" charset="0"/>
              <a:cs typeface="Times New Roman" panose="02020603050405020304" pitchFamily="18" charset="0"/>
            </a:rPr>
            <a:t>Principle's requirements</a:t>
          </a:r>
        </a:p>
      </dsp:txBody>
      <dsp:txXfrm rot="5400000">
        <a:off x="385" y="934491"/>
        <a:ext cx="2196836" cy="1331416"/>
      </dsp:txXfrm>
    </dsp:sp>
    <dsp:sp modelId="{699C9FB0-31BF-4619-ADD4-0D6554B36C82}">
      <dsp:nvSpPr>
        <dsp:cNvPr id="0" name=""/>
        <dsp:cNvSpPr/>
      </dsp:nvSpPr>
      <dsp:spPr>
        <a:xfrm rot="5400000">
          <a:off x="2823181" y="268783"/>
          <a:ext cx="2662832" cy="2662832"/>
        </a:xfrm>
        <a:prstGeom prst="downArrow">
          <a:avLst>
            <a:gd name="adj1" fmla="val 50000"/>
            <a:gd name="adj2" fmla="val 35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IN" sz="2500" b="1" kern="1200">
              <a:solidFill>
                <a:schemeClr val="tx1"/>
              </a:solidFill>
              <a:latin typeface="Times New Roman" panose="02020603050405020304" pitchFamily="18" charset="0"/>
              <a:cs typeface="Times New Roman" panose="02020603050405020304" pitchFamily="18" charset="0"/>
            </a:rPr>
            <a:t>Agent's interest</a:t>
          </a:r>
        </a:p>
      </dsp:txBody>
      <dsp:txXfrm rot="-5400000">
        <a:off x="3289177" y="934491"/>
        <a:ext cx="2196836" cy="1331416"/>
      </dsp:txXfrm>
    </dsp:sp>
  </dsp:spTree>
</dsp:drawing>
</file>

<file path=word/diagrams/layout1.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E60EF-6173-424F-8320-9C8A423D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2831</Words>
  <Characters>16143</Characters>
  <Application>Microsoft Office Word</Application>
  <DocSecurity>0</DocSecurity>
  <Lines>134</Lines>
  <Paragraphs>37</Paragraphs>
  <ScaleCrop>false</ScaleCrop>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Neagu (2107401)</cp:lastModifiedBy>
  <cp:revision>2</cp:revision>
  <dcterms:created xsi:type="dcterms:W3CDTF">2025-06-22T06:14:00Z</dcterms:created>
  <dcterms:modified xsi:type="dcterms:W3CDTF">2025-06-22T06:14:00Z</dcterms:modified>
</cp:coreProperties>
</file>