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spacing w:val="0"/>
          <w:kern w:val="2"/>
          <w:sz w:val="24"/>
          <w:szCs w:val="24"/>
        </w:rPr>
        <w:id w:val="361482559"/>
        <w:docPartObj>
          <w:docPartGallery w:val="Cover Pages"/>
          <w:docPartUnique/>
        </w:docPartObj>
      </w:sdtPr>
      <w:sdtEndPr>
        <w:rPr>
          <w:rFonts w:ascii="Times New Roman" w:eastAsia="Times New Roman" w:hAnsi="Times New Roman" w:cs="Times New Roman"/>
          <w:kern w:val="0"/>
        </w:rPr>
      </w:sdtEndPr>
      <w:sdtContent>
        <w:p w14:paraId="3C7E35C4" w14:textId="25D55C39" w:rsidR="00D21C6D" w:rsidRDefault="00D21C6D" w:rsidP="00D21C6D">
          <w:pPr>
            <w:pStyle w:val="Title"/>
          </w:pPr>
          <w:r>
            <w:rPr>
              <w:noProof/>
            </w:rPr>
            <mc:AlternateContent>
              <mc:Choice Requires="wps">
                <w:drawing>
                  <wp:anchor distT="0" distB="0" distL="114300" distR="114300" simplePos="0" relativeHeight="251659264" behindDoc="0" locked="0" layoutInCell="1" allowOverlap="1" wp14:anchorId="57EF4043" wp14:editId="5E3D0589">
                    <wp:simplePos x="0" y="0"/>
                    <wp:positionH relativeFrom="column">
                      <wp:posOffset>-130175</wp:posOffset>
                    </wp:positionH>
                    <wp:positionV relativeFrom="paragraph">
                      <wp:posOffset>-111760</wp:posOffset>
                    </wp:positionV>
                    <wp:extent cx="1707502" cy="2071396"/>
                    <wp:effectExtent l="0" t="0" r="20320" b="24130"/>
                    <wp:wrapNone/>
                    <wp:docPr id="1166937244" name="Half-frame 5"/>
                    <wp:cNvGraphicFramePr/>
                    <a:graphic xmlns:a="http://schemas.openxmlformats.org/drawingml/2006/main">
                      <a:graphicData uri="http://schemas.microsoft.com/office/word/2010/wordprocessingShape">
                        <wps:wsp>
                          <wps:cNvSpPr/>
                          <wps:spPr>
                            <a:xfrm>
                              <a:off x="0" y="0"/>
                              <a:ext cx="1707502" cy="2071396"/>
                            </a:xfrm>
                            <a:prstGeom prst="half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E83F14" id="Half-frame 5" o:spid="_x0000_s1026" style="position:absolute;margin-left:-10.25pt;margin-top:-8.8pt;width:134.45pt;height:163.1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707502,2071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" path="m,l1707502,,1238328,569162r-669166,l569162,1380938,,2071396,,xe" fillcolor="#156082 [3204]" strokecolor="#030e13 [484]" strokeweight="1pt">
                    <v:stroke joinstyle="miter"/>
                    <v:path arrowok="t" o:connecttype="custom" o:connectlocs="0,0;1707502,0;1238328,569162;569162,569162;569162,1380938;0,2071396;0,0" o:connectangles="0,0,0,0,0,0,0"/>
                  </v:shape>
                </w:pict>
              </mc:Fallback>
            </mc:AlternateContent>
          </w:r>
          <w:r>
            <w:rPr>
              <w:noProof/>
            </w:rPr>
            <mc:AlternateContent>
              <mc:Choice Requires="wps">
                <w:drawing>
                  <wp:anchor distT="0" distB="0" distL="114300" distR="114300" simplePos="0" relativeHeight="251661312" behindDoc="0" locked="0" layoutInCell="1" allowOverlap="1" wp14:anchorId="258BE6CA" wp14:editId="43C96990">
                    <wp:simplePos x="0" y="0"/>
                    <wp:positionH relativeFrom="column">
                      <wp:posOffset>5040384</wp:posOffset>
                    </wp:positionH>
                    <wp:positionV relativeFrom="paragraph">
                      <wp:posOffset>7830043</wp:posOffset>
                    </wp:positionV>
                    <wp:extent cx="1707502" cy="2071396"/>
                    <wp:effectExtent l="12700" t="12700" r="7620" b="11430"/>
                    <wp:wrapNone/>
                    <wp:docPr id="898787315" name="Half-frame 5"/>
                    <wp:cNvGraphicFramePr/>
                    <a:graphic xmlns:a="http://schemas.openxmlformats.org/drawingml/2006/main">
                      <a:graphicData uri="http://schemas.microsoft.com/office/word/2010/wordprocessingShape">
                        <wps:wsp>
                          <wps:cNvSpPr/>
                          <wps:spPr>
                            <a:xfrm rot="10800000">
                              <a:off x="0" y="0"/>
                              <a:ext cx="1707502" cy="2071396"/>
                            </a:xfrm>
                            <a:prstGeom prst="half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4C03FA" id="Half-frame 5" o:spid="_x0000_s1026" style="position:absolute;margin-left:396.9pt;margin-top:616.55pt;width:134.45pt;height:163.1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707502,2071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" path="m,l1707502,,1238328,569162r-669166,l569162,1380938,,2071396,,xe" fillcolor="#156082 [3204]" strokecolor="#030e13 [484]" strokeweight="1pt">
                    <v:stroke joinstyle="miter"/>
                    <v:path arrowok="t" o:connecttype="custom" o:connectlocs="0,0;1707502,0;1238328,569162;569162,569162;569162,1380938;0,2071396;0,0" o:connectangles="0,0,0,0,0,0,0"/>
                  </v:shape>
                </w:pict>
              </mc:Fallback>
            </mc:AlternateContent>
          </w:r>
        </w:p>
        <w:p w14:paraId="7D6CA339" w14:textId="77777777" w:rsidR="00D21C6D" w:rsidRDefault="00D21C6D" w:rsidP="00D21C6D"/>
        <w:p w14:paraId="6DDA5391" w14:textId="77777777" w:rsidR="00D21C6D" w:rsidRDefault="00D21C6D" w:rsidP="00D21C6D"/>
        <w:p w14:paraId="79EC73FC" w14:textId="71C9706F" w:rsidR="00D21C6D" w:rsidRDefault="00D21C6D" w:rsidP="00D21C6D"/>
        <w:p w14:paraId="1FA667A7" w14:textId="1B8C1A52" w:rsidR="00D21C6D" w:rsidRDefault="00D21C6D" w:rsidP="00D21C6D"/>
        <w:p w14:paraId="20147718" w14:textId="2335E58C" w:rsidR="00D21C6D" w:rsidRDefault="00D21C6D" w:rsidP="00D21C6D"/>
        <w:p w14:paraId="7530A16A" w14:textId="6D322ED9" w:rsidR="00D21C6D" w:rsidRDefault="00D21C6D" w:rsidP="00D21C6D"/>
        <w:p w14:paraId="432D09AE" w14:textId="1C63A9B2" w:rsidR="00D21C6D" w:rsidRDefault="00D21C6D" w:rsidP="00D21C6D"/>
        <w:p w14:paraId="74B54AA4" w14:textId="57EB579F" w:rsidR="00D21C6D" w:rsidRDefault="004D012B" w:rsidP="00D21C6D">
          <w:r>
            <w:rPr>
              <w:noProof/>
            </w:rPr>
            <mc:AlternateContent>
              <mc:Choice Requires="wps">
                <w:drawing>
                  <wp:anchor distT="0" distB="0" distL="114300" distR="114300" simplePos="0" relativeHeight="251663360" behindDoc="0" locked="0" layoutInCell="1" allowOverlap="1" wp14:anchorId="0BCCA161" wp14:editId="6022B8E6">
                    <wp:simplePos x="0" y="0"/>
                    <wp:positionH relativeFrom="column">
                      <wp:posOffset>-51136</wp:posOffset>
                    </wp:positionH>
                    <wp:positionV relativeFrom="paragraph">
                      <wp:posOffset>139775</wp:posOffset>
                    </wp:positionV>
                    <wp:extent cx="1828800" cy="1828800"/>
                    <wp:effectExtent l="0" t="0" r="0" b="0"/>
                    <wp:wrapNone/>
                    <wp:docPr id="40400321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6F1C39" w14:textId="4E2FB04B" w:rsidR="00D21C6D" w:rsidRPr="004D012B" w:rsidRDefault="00D21C6D" w:rsidP="00D21C6D">
                                <w:pPr>
                                  <w:jc w:val="center"/>
                                  <w:rPr>
                                    <w:rFonts w:asciiTheme="minorHAnsi" w:hAnsiTheme="min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and Evaluation Skills in Healthcare</w:t>
                                </w:r>
                              </w:p>
                              <w:p w14:paraId="6852EF32" w14:textId="23D1E7E4" w:rsidR="00D21C6D" w:rsidRPr="004D012B" w:rsidRDefault="00D21C6D" w:rsidP="00D21C6D">
                                <w:pPr>
                                  <w:spacing w:line="259" w:lineRule="auto"/>
                                  <w:ind w:hanging="10"/>
                                  <w:jc w:val="center"/>
                                  <w:rPr>
                                    <w:rFonts w:asciiTheme="minorHAnsi" w:eastAsiaTheme="majorEastAsia" w:hAnsiTheme="minorHAnsi" w:cstheme="minorHAnsi"/>
                                    <w:color w:val="000000" w:themeColor="text1"/>
                                    <w:sz w:val="40"/>
                                    <w:szCs w:val="40"/>
                                  </w:rPr>
                                </w:pPr>
                                <w:r w:rsidRPr="004D012B">
                                  <w:rPr>
                                    <w:rFonts w:asciiTheme="minorHAnsi" w:hAnsi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4D012B">
                                  <w:rPr>
                                    <w:rFonts w:asciiTheme="minorHAnsi" w:eastAsiaTheme="majorEastAsia" w:hAnsiTheme="minorHAnsi" w:cstheme="minorHAnsi"/>
                                    <w:color w:val="000000" w:themeColor="text1"/>
                                    <w:sz w:val="40"/>
                                    <w:szCs w:val="40"/>
                                  </w:rPr>
                                  <w:t>EE84CY002: CDM141/ BMAC4016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BCCA161" id="_x0000_t202" coordsize="21600,21600" o:spt="202" path="m,l,21600r21600,l21600,xe">
                    <v:stroke joinstyle="miter"/>
                    <v:path gradientshapeok="t" o:connecttype="rect"/>
                  </v:shapetype>
                  <v:shape id="Text Box 1" o:spid="_x0000_s1026" type="#_x0000_t202" style="position:absolute;margin-left:-4.05pt;margin-top:11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" filled="f" stroked="f">
                    <v:textbox style="mso-fit-shape-to-text:t">
                      <w:txbxContent>
                        <w:p w14:paraId="7D6F1C39" w14:textId="4E2FB04B" w:rsidR="00D21C6D" w:rsidRPr="004D012B" w:rsidRDefault="00D21C6D" w:rsidP="00D21C6D">
                          <w:pPr>
                            <w:jc w:val="center"/>
                            <w:rPr>
                              <w:rFonts w:asciiTheme="minorHAnsi" w:hAnsiTheme="min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and Evaluation Skills in Healthcare</w:t>
                          </w:r>
                        </w:p>
                        <w:p w14:paraId="6852EF32" w14:textId="23D1E7E4" w:rsidR="00D21C6D" w:rsidRPr="004D012B" w:rsidRDefault="00D21C6D" w:rsidP="00D21C6D">
                          <w:pPr>
                            <w:spacing w:line="259" w:lineRule="auto"/>
                            <w:ind w:hanging="10"/>
                            <w:jc w:val="center"/>
                            <w:rPr>
                              <w:rFonts w:asciiTheme="minorHAnsi" w:eastAsiaTheme="majorEastAsia" w:hAnsiTheme="minorHAnsi" w:cstheme="minorHAnsi"/>
                              <w:color w:val="000000" w:themeColor="text1"/>
                              <w:sz w:val="40"/>
                              <w:szCs w:val="40"/>
                            </w:rPr>
                          </w:pPr>
                          <w:r w:rsidRPr="004D012B">
                            <w:rPr>
                              <w:rFonts w:asciiTheme="minorHAnsi" w:hAnsiTheme="min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4D012B">
                            <w:rPr>
                              <w:rFonts w:asciiTheme="minorHAnsi" w:eastAsiaTheme="majorEastAsia" w:hAnsiTheme="minorHAnsi" w:cstheme="minorHAnsi"/>
                              <w:color w:val="000000" w:themeColor="text1"/>
                              <w:sz w:val="40"/>
                              <w:szCs w:val="40"/>
                            </w:rPr>
                            <w:t>EE84CY002: CDM141/ BMAC4016</w:t>
                          </w:r>
                        </w:p>
                      </w:txbxContent>
                    </v:textbox>
                  </v:shape>
                </w:pict>
              </mc:Fallback>
            </mc:AlternateContent>
          </w:r>
        </w:p>
        <w:p w14:paraId="3AE173BC" w14:textId="721F74E6" w:rsidR="00D21C6D" w:rsidRDefault="00D21C6D" w:rsidP="00D21C6D"/>
        <w:p w14:paraId="099C6B55" w14:textId="3640DFD9" w:rsidR="00D21C6D" w:rsidRDefault="00D21C6D" w:rsidP="00D21C6D">
          <w:r>
            <w:rPr>
              <w:noProof/>
            </w:rPr>
            <w:drawing>
              <wp:anchor distT="0" distB="0" distL="114300" distR="114300" simplePos="0" relativeHeight="251658240" behindDoc="0" locked="0" layoutInCell="1" allowOverlap="1" wp14:anchorId="6BA635CF" wp14:editId="1BA3DF71">
                <wp:simplePos x="0" y="0"/>
                <wp:positionH relativeFrom="page">
                  <wp:posOffset>404495</wp:posOffset>
                </wp:positionH>
                <wp:positionV relativeFrom="page">
                  <wp:posOffset>4538028</wp:posOffset>
                </wp:positionV>
                <wp:extent cx="6645600" cy="2142000"/>
                <wp:effectExtent l="88900" t="38100" r="85725" b="80645"/>
                <wp:wrapSquare wrapText="bothSides"/>
                <wp:docPr id="930163610"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63610" name="Picture 4" descr="A close-up of a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45600" cy="2142000"/>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137CC21E" w14:textId="2FECAA3A" w:rsidR="00D21C6D" w:rsidRDefault="00D21C6D" w:rsidP="00D21C6D"/>
        <w:p w14:paraId="2364F704" w14:textId="39935328" w:rsidR="00D21C6D" w:rsidRDefault="00D21C6D" w:rsidP="00D21C6D"/>
        <w:p w14:paraId="07FEEF57" w14:textId="5C4545A4" w:rsidR="00D21C6D" w:rsidRDefault="00D21C6D" w:rsidP="00D21C6D"/>
        <w:p w14:paraId="155BF88F" w14:textId="009EB2C6" w:rsidR="00D21C6D" w:rsidRDefault="00D21C6D" w:rsidP="00D21C6D"/>
        <w:p w14:paraId="3EFB2B20" w14:textId="069319C5" w:rsidR="00D21C6D" w:rsidRDefault="00D21C6D" w:rsidP="00D21C6D"/>
        <w:p w14:paraId="06F08FC9" w14:textId="0AEAA4DC" w:rsidR="00D21C6D" w:rsidRDefault="00D21C6D" w:rsidP="00D21C6D"/>
        <w:p w14:paraId="10DD7B5E" w14:textId="791FE40B" w:rsidR="00D21C6D" w:rsidRDefault="00D21C6D" w:rsidP="00D21C6D"/>
        <w:p w14:paraId="72E93520" w14:textId="26C2AE3B" w:rsidR="00D21C6D" w:rsidRDefault="00D21C6D" w:rsidP="00D21C6D"/>
        <w:p w14:paraId="01749BA2" w14:textId="007E027D" w:rsidR="00D21C6D" w:rsidRPr="00D21C6D" w:rsidRDefault="00D21C6D" w:rsidP="00D21C6D"/>
        <w:p w14:paraId="73E31760" w14:textId="46317EE8" w:rsidR="00D21C6D" w:rsidRDefault="00D21C6D" w:rsidP="00D21C6D"/>
        <w:p w14:paraId="5FE4EBAF" w14:textId="50E17219" w:rsidR="002A6C93" w:rsidRPr="00D21C6D" w:rsidRDefault="00000000" w:rsidP="00D21C6D"/>
      </w:sdtContent>
    </w:sdt>
    <w:p w14:paraId="4A050D1D" w14:textId="5C0F8333" w:rsidR="004D012B" w:rsidRDefault="004D012B">
      <w:pPr>
        <w:rPr>
          <w:b/>
          <w:bCs/>
        </w:rPr>
      </w:pPr>
    </w:p>
    <w:p w14:paraId="0AD2027B" w14:textId="0F936C51" w:rsidR="004D012B" w:rsidRDefault="004D012B">
      <w:pPr>
        <w:rPr>
          <w:b/>
          <w:bCs/>
        </w:rPr>
      </w:pPr>
    </w:p>
    <w:p w14:paraId="1BB22F3E" w14:textId="40932E4A" w:rsidR="004D012B" w:rsidRDefault="004D012B">
      <w:pPr>
        <w:rPr>
          <w:b/>
          <w:bCs/>
        </w:rPr>
      </w:pPr>
    </w:p>
    <w:p w14:paraId="34A61FDC" w14:textId="12BAC264" w:rsidR="004D012B" w:rsidRDefault="004D012B">
      <w:pPr>
        <w:rPr>
          <w:b/>
          <w:bCs/>
        </w:rPr>
      </w:pPr>
    </w:p>
    <w:p w14:paraId="61AB0B17" w14:textId="511DE23E" w:rsidR="004D012B" w:rsidRDefault="004D012B">
      <w:pPr>
        <w:rPr>
          <w:b/>
          <w:bCs/>
        </w:rPr>
      </w:pPr>
    </w:p>
    <w:p w14:paraId="0AE2BE9A" w14:textId="4DCF166A" w:rsidR="004D012B" w:rsidRDefault="004D012B">
      <w:pPr>
        <w:rPr>
          <w:b/>
          <w:bCs/>
        </w:rPr>
      </w:pPr>
    </w:p>
    <w:p w14:paraId="7A807F13" w14:textId="33BC8339" w:rsidR="004D012B" w:rsidRDefault="004D012B">
      <w:pPr>
        <w:rPr>
          <w:b/>
          <w:bCs/>
        </w:rPr>
      </w:pPr>
    </w:p>
    <w:p w14:paraId="195316AD" w14:textId="0D5E373E" w:rsidR="004D012B" w:rsidRDefault="004D012B">
      <w:pPr>
        <w:rPr>
          <w:b/>
          <w:bCs/>
        </w:rPr>
      </w:pPr>
    </w:p>
    <w:p w14:paraId="5A27679F" w14:textId="432A736E" w:rsidR="004D012B" w:rsidRDefault="004D012B">
      <w:pPr>
        <w:rPr>
          <w:b/>
          <w:bCs/>
        </w:rPr>
      </w:pPr>
    </w:p>
    <w:p w14:paraId="23812DB6" w14:textId="41B55ECB" w:rsidR="004D012B" w:rsidRDefault="004D012B">
      <w:pPr>
        <w:rPr>
          <w:b/>
          <w:bCs/>
        </w:rPr>
      </w:pPr>
    </w:p>
    <w:p w14:paraId="3DB98F8C" w14:textId="21C02250" w:rsidR="004D012B" w:rsidRDefault="004D012B">
      <w:pPr>
        <w:rPr>
          <w:b/>
          <w:bCs/>
        </w:rPr>
      </w:pPr>
      <w:r>
        <w:rPr>
          <w:noProof/>
        </w:rPr>
        <mc:AlternateContent>
          <mc:Choice Requires="wps">
            <w:drawing>
              <wp:anchor distT="0" distB="0" distL="114300" distR="114300" simplePos="0" relativeHeight="251665408" behindDoc="0" locked="0" layoutInCell="1" allowOverlap="1" wp14:anchorId="603BF92A" wp14:editId="637C3B37">
                <wp:simplePos x="0" y="0"/>
                <wp:positionH relativeFrom="column">
                  <wp:posOffset>21403</wp:posOffset>
                </wp:positionH>
                <wp:positionV relativeFrom="paragraph">
                  <wp:posOffset>48148</wp:posOffset>
                </wp:positionV>
                <wp:extent cx="1828800" cy="1828800"/>
                <wp:effectExtent l="0" t="0" r="0" b="0"/>
                <wp:wrapNone/>
                <wp:docPr id="75180592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D9D5DE3" w14:textId="317EFDF7" w:rsidR="00D21C6D" w:rsidRPr="004D012B" w:rsidRDefault="00D21C6D" w:rsidP="00D21C6D">
                            <w:pPr>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Kerry O’Brien</w:t>
                            </w:r>
                          </w:p>
                          <w:p w14:paraId="42918BF6" w14:textId="3A086646" w:rsidR="00D21C6D" w:rsidRPr="004D012B" w:rsidRDefault="00D21C6D" w:rsidP="00D21C6D">
                            <w:pPr>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No. 1200244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3BF92A" id="_x0000_s1027" type="#_x0000_t202" style="position:absolute;margin-left:1.7pt;margin-top:3.8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" filled="f" stroked="f">
                <v:textbox style="mso-fit-shape-to-text:t">
                  <w:txbxContent>
                    <w:p w14:paraId="3D9D5DE3" w14:textId="317EFDF7" w:rsidR="00D21C6D" w:rsidRPr="004D012B" w:rsidRDefault="00D21C6D" w:rsidP="00D21C6D">
                      <w:pPr>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Kerry O’Brien</w:t>
                      </w:r>
                    </w:p>
                    <w:p w14:paraId="42918BF6" w14:textId="3A086646" w:rsidR="00D21C6D" w:rsidRPr="004D012B" w:rsidRDefault="00D21C6D" w:rsidP="00D21C6D">
                      <w:pPr>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012B">
                        <w:rPr>
                          <w:rFonts w:asciiTheme="minorHAnsi" w:hAnsiTheme="minorHAnsi"/>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No. 1200244</w:t>
                      </w:r>
                    </w:p>
                  </w:txbxContent>
                </v:textbox>
              </v:shape>
            </w:pict>
          </mc:Fallback>
        </mc:AlternateContent>
      </w:r>
    </w:p>
    <w:p w14:paraId="2424F912" w14:textId="3F947F5E" w:rsidR="004D012B" w:rsidRDefault="004D012B">
      <w:pPr>
        <w:rPr>
          <w:b/>
          <w:bCs/>
        </w:rPr>
      </w:pPr>
    </w:p>
    <w:p w14:paraId="2DBCCD95" w14:textId="670127C3" w:rsidR="004D012B" w:rsidRDefault="004D012B">
      <w:pPr>
        <w:rPr>
          <w:b/>
          <w:bCs/>
        </w:rPr>
      </w:pPr>
    </w:p>
    <w:p w14:paraId="6CC20658" w14:textId="77777777" w:rsidR="004D012B" w:rsidRDefault="004D012B">
      <w:pPr>
        <w:rPr>
          <w:b/>
          <w:bCs/>
        </w:rPr>
      </w:pPr>
    </w:p>
    <w:p w14:paraId="71EC01A1" w14:textId="77777777" w:rsidR="004D012B" w:rsidRDefault="004D012B">
      <w:pPr>
        <w:rPr>
          <w:b/>
          <w:bCs/>
        </w:rPr>
      </w:pPr>
    </w:p>
    <w:p w14:paraId="67F7E646" w14:textId="77777777" w:rsidR="004D012B" w:rsidRDefault="004D012B">
      <w:pPr>
        <w:rPr>
          <w:b/>
          <w:bCs/>
        </w:rPr>
      </w:pPr>
    </w:p>
    <w:p w14:paraId="2C2F1FBF" w14:textId="77777777" w:rsidR="004D012B" w:rsidRDefault="004D012B">
      <w:pPr>
        <w:rPr>
          <w:b/>
          <w:bCs/>
        </w:rPr>
      </w:pPr>
    </w:p>
    <w:p w14:paraId="398696B4" w14:textId="77777777" w:rsidR="004D012B" w:rsidRDefault="004D012B">
      <w:pPr>
        <w:rPr>
          <w:b/>
          <w:bCs/>
        </w:rPr>
      </w:pPr>
    </w:p>
    <w:p w14:paraId="0500F38F" w14:textId="5215DB24" w:rsidR="002A6C93" w:rsidRDefault="002A6C93" w:rsidP="004D012B">
      <w:pPr>
        <w:spacing w:line="360" w:lineRule="auto"/>
        <w:rPr>
          <w:rFonts w:asciiTheme="minorHAnsi" w:hAnsiTheme="minorHAnsi"/>
          <w:b/>
          <w:bCs/>
        </w:rPr>
      </w:pPr>
      <w:r w:rsidRPr="004D012B">
        <w:rPr>
          <w:rFonts w:asciiTheme="minorHAnsi" w:hAnsiTheme="minorHAnsi"/>
          <w:b/>
          <w:bCs/>
        </w:rPr>
        <w:t>Contents Page</w:t>
      </w:r>
    </w:p>
    <w:p w14:paraId="0BB120AC" w14:textId="77777777" w:rsidR="00D115D7" w:rsidRPr="004D012B" w:rsidRDefault="00D115D7" w:rsidP="004D012B">
      <w:pPr>
        <w:spacing w:line="360" w:lineRule="auto"/>
        <w:rPr>
          <w:rFonts w:asciiTheme="minorHAnsi" w:hAnsi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25"/>
        <w:gridCol w:w="3231"/>
      </w:tblGrid>
      <w:tr w:rsidR="002A6C93" w:rsidRPr="004D012B" w14:paraId="1DFDE170" w14:textId="77777777" w:rsidTr="000D0DF8">
        <w:tc>
          <w:tcPr>
            <w:tcW w:w="7225" w:type="dxa"/>
          </w:tcPr>
          <w:p w14:paraId="0BB2D708"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Section</w:t>
            </w:r>
          </w:p>
          <w:p w14:paraId="7F65FEC5" w14:textId="0A9B9DA2" w:rsidR="002A6C93" w:rsidRPr="004D012B" w:rsidRDefault="002A6C93" w:rsidP="004D012B">
            <w:pPr>
              <w:spacing w:line="360" w:lineRule="auto"/>
              <w:rPr>
                <w:rFonts w:asciiTheme="minorHAnsi" w:hAnsiTheme="minorHAnsi"/>
                <w:b/>
                <w:bCs/>
              </w:rPr>
            </w:pPr>
          </w:p>
        </w:tc>
        <w:tc>
          <w:tcPr>
            <w:tcW w:w="3231" w:type="dxa"/>
          </w:tcPr>
          <w:p w14:paraId="06EBC554" w14:textId="79C74558" w:rsidR="002A6C93" w:rsidRPr="004D012B" w:rsidRDefault="002A6C93" w:rsidP="004D012B">
            <w:pPr>
              <w:spacing w:line="360" w:lineRule="auto"/>
              <w:rPr>
                <w:rFonts w:asciiTheme="minorHAnsi" w:hAnsiTheme="minorHAnsi"/>
                <w:b/>
                <w:bCs/>
              </w:rPr>
            </w:pPr>
            <w:r w:rsidRPr="004D012B">
              <w:rPr>
                <w:rFonts w:asciiTheme="minorHAnsi" w:hAnsiTheme="minorHAnsi"/>
                <w:b/>
                <w:bCs/>
              </w:rPr>
              <w:t>Page</w:t>
            </w:r>
          </w:p>
        </w:tc>
      </w:tr>
      <w:tr w:rsidR="002A6C93" w:rsidRPr="004D012B" w14:paraId="7C41235F" w14:textId="77777777" w:rsidTr="000D0DF8">
        <w:tc>
          <w:tcPr>
            <w:tcW w:w="7225" w:type="dxa"/>
          </w:tcPr>
          <w:p w14:paraId="6F985325"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Introduction</w:t>
            </w:r>
          </w:p>
          <w:p w14:paraId="4F03534D" w14:textId="3E6DB040" w:rsidR="002A6C93" w:rsidRPr="004D012B" w:rsidRDefault="002A6C93" w:rsidP="004D012B">
            <w:pPr>
              <w:spacing w:line="360" w:lineRule="auto"/>
              <w:rPr>
                <w:rFonts w:asciiTheme="minorHAnsi" w:hAnsiTheme="minorHAnsi"/>
                <w:b/>
                <w:bCs/>
              </w:rPr>
            </w:pPr>
          </w:p>
        </w:tc>
        <w:tc>
          <w:tcPr>
            <w:tcW w:w="3231" w:type="dxa"/>
          </w:tcPr>
          <w:p w14:paraId="4D9F886A" w14:textId="2A8AA346" w:rsidR="002A6C93" w:rsidRPr="004D012B" w:rsidRDefault="00623470" w:rsidP="004D012B">
            <w:pPr>
              <w:spacing w:line="360" w:lineRule="auto"/>
              <w:rPr>
                <w:rFonts w:asciiTheme="minorHAnsi" w:hAnsiTheme="minorHAnsi"/>
                <w:b/>
                <w:bCs/>
              </w:rPr>
            </w:pPr>
            <w:r>
              <w:rPr>
                <w:rFonts w:asciiTheme="minorHAnsi" w:hAnsiTheme="minorHAnsi"/>
                <w:b/>
                <w:bCs/>
              </w:rPr>
              <w:t>2</w:t>
            </w:r>
          </w:p>
        </w:tc>
      </w:tr>
      <w:tr w:rsidR="002A6C93" w:rsidRPr="004D012B" w14:paraId="1E564693" w14:textId="77777777" w:rsidTr="000D0DF8">
        <w:tc>
          <w:tcPr>
            <w:tcW w:w="7225" w:type="dxa"/>
          </w:tcPr>
          <w:p w14:paraId="31A67E3A"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Case study</w:t>
            </w:r>
          </w:p>
          <w:p w14:paraId="69F6DDAF" w14:textId="3D60E3A1" w:rsidR="002A6C93" w:rsidRPr="004D012B" w:rsidRDefault="002A6C93" w:rsidP="004D012B">
            <w:pPr>
              <w:spacing w:line="360" w:lineRule="auto"/>
              <w:rPr>
                <w:rFonts w:asciiTheme="minorHAnsi" w:hAnsiTheme="minorHAnsi"/>
                <w:b/>
                <w:bCs/>
              </w:rPr>
            </w:pPr>
          </w:p>
        </w:tc>
        <w:tc>
          <w:tcPr>
            <w:tcW w:w="3231" w:type="dxa"/>
          </w:tcPr>
          <w:p w14:paraId="3EA36B40" w14:textId="26BCC388" w:rsidR="002A6C93" w:rsidRPr="004D012B" w:rsidRDefault="00623470" w:rsidP="004D012B">
            <w:pPr>
              <w:spacing w:line="360" w:lineRule="auto"/>
              <w:rPr>
                <w:rFonts w:asciiTheme="minorHAnsi" w:hAnsiTheme="minorHAnsi"/>
                <w:b/>
                <w:bCs/>
              </w:rPr>
            </w:pPr>
            <w:r>
              <w:rPr>
                <w:rFonts w:asciiTheme="minorHAnsi" w:hAnsiTheme="minorHAnsi"/>
                <w:b/>
                <w:bCs/>
              </w:rPr>
              <w:t>2-4</w:t>
            </w:r>
          </w:p>
        </w:tc>
      </w:tr>
      <w:tr w:rsidR="002A6C93" w:rsidRPr="004D012B" w14:paraId="5087FA4C" w14:textId="77777777" w:rsidTr="000D0DF8">
        <w:tc>
          <w:tcPr>
            <w:tcW w:w="7225" w:type="dxa"/>
          </w:tcPr>
          <w:p w14:paraId="08FC5D56"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Overview of the condition</w:t>
            </w:r>
          </w:p>
          <w:p w14:paraId="6EDE4473" w14:textId="6B3110FD" w:rsidR="002A6C93" w:rsidRPr="004D012B" w:rsidRDefault="002A6C93" w:rsidP="004D012B">
            <w:pPr>
              <w:spacing w:line="360" w:lineRule="auto"/>
              <w:rPr>
                <w:rFonts w:asciiTheme="minorHAnsi" w:hAnsiTheme="minorHAnsi"/>
                <w:b/>
                <w:bCs/>
              </w:rPr>
            </w:pPr>
          </w:p>
        </w:tc>
        <w:tc>
          <w:tcPr>
            <w:tcW w:w="3231" w:type="dxa"/>
          </w:tcPr>
          <w:p w14:paraId="5FF4E1D1" w14:textId="4A82733C" w:rsidR="002A6C93" w:rsidRPr="004D012B" w:rsidRDefault="00623470" w:rsidP="004D012B">
            <w:pPr>
              <w:spacing w:line="360" w:lineRule="auto"/>
              <w:rPr>
                <w:rFonts w:asciiTheme="minorHAnsi" w:hAnsiTheme="minorHAnsi"/>
                <w:b/>
                <w:bCs/>
              </w:rPr>
            </w:pPr>
            <w:r>
              <w:rPr>
                <w:rFonts w:asciiTheme="minorHAnsi" w:hAnsiTheme="minorHAnsi"/>
                <w:b/>
                <w:bCs/>
              </w:rPr>
              <w:t>4-5</w:t>
            </w:r>
          </w:p>
        </w:tc>
      </w:tr>
      <w:tr w:rsidR="002A6C93" w:rsidRPr="004D012B" w14:paraId="23FB36E1" w14:textId="77777777" w:rsidTr="000D0DF8">
        <w:tc>
          <w:tcPr>
            <w:tcW w:w="7225" w:type="dxa"/>
          </w:tcPr>
          <w:p w14:paraId="7FCE1B4D"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Previous approaches to the condition</w:t>
            </w:r>
          </w:p>
          <w:p w14:paraId="0B9A1A9E" w14:textId="7CB1130E" w:rsidR="002A6C93" w:rsidRPr="004D012B" w:rsidRDefault="002A6C93" w:rsidP="004D012B">
            <w:pPr>
              <w:spacing w:line="360" w:lineRule="auto"/>
              <w:rPr>
                <w:rFonts w:asciiTheme="minorHAnsi" w:hAnsiTheme="minorHAnsi"/>
                <w:b/>
                <w:bCs/>
              </w:rPr>
            </w:pPr>
          </w:p>
        </w:tc>
        <w:tc>
          <w:tcPr>
            <w:tcW w:w="3231" w:type="dxa"/>
          </w:tcPr>
          <w:p w14:paraId="31FBCD2E" w14:textId="71643EE1" w:rsidR="002A6C93" w:rsidRPr="004D012B" w:rsidRDefault="00623470" w:rsidP="004D012B">
            <w:pPr>
              <w:spacing w:line="360" w:lineRule="auto"/>
              <w:rPr>
                <w:rFonts w:asciiTheme="minorHAnsi" w:hAnsiTheme="minorHAnsi"/>
                <w:b/>
                <w:bCs/>
              </w:rPr>
            </w:pPr>
            <w:r>
              <w:rPr>
                <w:rFonts w:asciiTheme="minorHAnsi" w:hAnsiTheme="minorHAnsi"/>
                <w:b/>
                <w:bCs/>
              </w:rPr>
              <w:t>5</w:t>
            </w:r>
          </w:p>
        </w:tc>
      </w:tr>
      <w:tr w:rsidR="002A6C93" w:rsidRPr="004D012B" w14:paraId="1503A788" w14:textId="77777777" w:rsidTr="000D0DF8">
        <w:tc>
          <w:tcPr>
            <w:tcW w:w="7225" w:type="dxa"/>
          </w:tcPr>
          <w:p w14:paraId="3BEBEB2C"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Current approaches to the condition</w:t>
            </w:r>
          </w:p>
          <w:p w14:paraId="77750F0E" w14:textId="3034FFFD" w:rsidR="002A6C93" w:rsidRPr="004D012B" w:rsidRDefault="002A6C93" w:rsidP="004D012B">
            <w:pPr>
              <w:spacing w:line="360" w:lineRule="auto"/>
              <w:rPr>
                <w:rFonts w:asciiTheme="minorHAnsi" w:hAnsiTheme="minorHAnsi"/>
                <w:b/>
                <w:bCs/>
              </w:rPr>
            </w:pPr>
          </w:p>
        </w:tc>
        <w:tc>
          <w:tcPr>
            <w:tcW w:w="3231" w:type="dxa"/>
          </w:tcPr>
          <w:p w14:paraId="60CF8A90" w14:textId="6143AAC1" w:rsidR="002A6C93" w:rsidRPr="004D012B" w:rsidRDefault="00623470" w:rsidP="004D012B">
            <w:pPr>
              <w:spacing w:line="360" w:lineRule="auto"/>
              <w:rPr>
                <w:rFonts w:asciiTheme="minorHAnsi" w:hAnsiTheme="minorHAnsi"/>
                <w:b/>
                <w:bCs/>
              </w:rPr>
            </w:pPr>
            <w:r>
              <w:rPr>
                <w:rFonts w:asciiTheme="minorHAnsi" w:hAnsiTheme="minorHAnsi"/>
                <w:b/>
                <w:bCs/>
              </w:rPr>
              <w:t>6</w:t>
            </w:r>
            <w:r w:rsidR="000D0DF8">
              <w:rPr>
                <w:rFonts w:asciiTheme="minorHAnsi" w:hAnsiTheme="minorHAnsi"/>
                <w:b/>
                <w:bCs/>
              </w:rPr>
              <w:t>-7</w:t>
            </w:r>
          </w:p>
        </w:tc>
      </w:tr>
      <w:tr w:rsidR="002A6C93" w:rsidRPr="004D012B" w14:paraId="310443A0" w14:textId="77777777" w:rsidTr="000D0DF8">
        <w:tc>
          <w:tcPr>
            <w:tcW w:w="7225" w:type="dxa"/>
          </w:tcPr>
          <w:p w14:paraId="5FE2B5A9"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Co-production</w:t>
            </w:r>
          </w:p>
          <w:p w14:paraId="483ED17D" w14:textId="79C908EC" w:rsidR="002A6C93" w:rsidRPr="004D012B" w:rsidRDefault="002A6C93" w:rsidP="004D012B">
            <w:pPr>
              <w:spacing w:line="360" w:lineRule="auto"/>
              <w:rPr>
                <w:rFonts w:asciiTheme="minorHAnsi" w:hAnsiTheme="minorHAnsi"/>
                <w:b/>
                <w:bCs/>
              </w:rPr>
            </w:pPr>
          </w:p>
        </w:tc>
        <w:tc>
          <w:tcPr>
            <w:tcW w:w="3231" w:type="dxa"/>
          </w:tcPr>
          <w:p w14:paraId="2CF79462" w14:textId="7BFA8CF8" w:rsidR="002A6C93" w:rsidRPr="004D012B" w:rsidRDefault="000D0DF8" w:rsidP="004D012B">
            <w:pPr>
              <w:spacing w:line="360" w:lineRule="auto"/>
              <w:rPr>
                <w:rFonts w:asciiTheme="minorHAnsi" w:hAnsiTheme="minorHAnsi"/>
                <w:b/>
                <w:bCs/>
              </w:rPr>
            </w:pPr>
            <w:r>
              <w:rPr>
                <w:rFonts w:asciiTheme="minorHAnsi" w:hAnsiTheme="minorHAnsi"/>
                <w:b/>
                <w:bCs/>
              </w:rPr>
              <w:t>7</w:t>
            </w:r>
          </w:p>
        </w:tc>
      </w:tr>
      <w:tr w:rsidR="002A6C93" w:rsidRPr="004D012B" w14:paraId="17D8FC3F" w14:textId="77777777" w:rsidTr="000D0DF8">
        <w:tc>
          <w:tcPr>
            <w:tcW w:w="7225" w:type="dxa"/>
          </w:tcPr>
          <w:p w14:paraId="5A5C7643" w14:textId="77777777" w:rsidR="002A6C93" w:rsidRPr="004D012B" w:rsidRDefault="002A6C93" w:rsidP="004D012B">
            <w:pPr>
              <w:spacing w:line="360" w:lineRule="auto"/>
              <w:rPr>
                <w:rFonts w:asciiTheme="minorHAnsi" w:eastAsia="Calibri" w:hAnsiTheme="minorHAnsi"/>
                <w:b/>
                <w:bCs/>
              </w:rPr>
            </w:pPr>
            <w:r w:rsidRPr="004D012B">
              <w:rPr>
                <w:rFonts w:asciiTheme="minorHAnsi" w:eastAsia="Calibri" w:hAnsiTheme="minorHAnsi"/>
                <w:b/>
                <w:bCs/>
              </w:rPr>
              <w:t>Clinical governance and supervision framework</w:t>
            </w:r>
          </w:p>
          <w:p w14:paraId="0BA32AAB" w14:textId="5E159A4D" w:rsidR="002A6C93" w:rsidRPr="004D012B" w:rsidRDefault="002A6C93" w:rsidP="004D012B">
            <w:pPr>
              <w:spacing w:line="360" w:lineRule="auto"/>
              <w:rPr>
                <w:rFonts w:asciiTheme="minorHAnsi" w:hAnsiTheme="minorHAnsi"/>
                <w:b/>
                <w:bCs/>
              </w:rPr>
            </w:pPr>
          </w:p>
        </w:tc>
        <w:tc>
          <w:tcPr>
            <w:tcW w:w="3231" w:type="dxa"/>
          </w:tcPr>
          <w:p w14:paraId="0DA897EC" w14:textId="50F22540" w:rsidR="002A6C93" w:rsidRPr="004D012B" w:rsidRDefault="000D0DF8" w:rsidP="004D012B">
            <w:pPr>
              <w:spacing w:line="360" w:lineRule="auto"/>
              <w:rPr>
                <w:rFonts w:asciiTheme="minorHAnsi" w:hAnsiTheme="minorHAnsi"/>
                <w:b/>
                <w:bCs/>
              </w:rPr>
            </w:pPr>
            <w:r>
              <w:rPr>
                <w:rFonts w:asciiTheme="minorHAnsi" w:hAnsiTheme="minorHAnsi"/>
                <w:b/>
                <w:bCs/>
              </w:rPr>
              <w:t>8-9</w:t>
            </w:r>
          </w:p>
        </w:tc>
      </w:tr>
      <w:tr w:rsidR="002A6C93" w:rsidRPr="004D012B" w14:paraId="4041141F" w14:textId="77777777" w:rsidTr="000D0DF8">
        <w:tc>
          <w:tcPr>
            <w:tcW w:w="7225" w:type="dxa"/>
          </w:tcPr>
          <w:p w14:paraId="1C6E1CC9" w14:textId="7F509428" w:rsidR="002A6C93" w:rsidRPr="004D012B" w:rsidRDefault="002A6C93" w:rsidP="004D012B">
            <w:pPr>
              <w:spacing w:line="360" w:lineRule="auto"/>
              <w:rPr>
                <w:rFonts w:asciiTheme="minorHAnsi" w:hAnsiTheme="minorHAnsi"/>
                <w:b/>
                <w:bCs/>
              </w:rPr>
            </w:pPr>
            <w:r w:rsidRPr="004D012B">
              <w:rPr>
                <w:rFonts w:asciiTheme="minorHAnsi" w:hAnsiTheme="minorHAnsi"/>
                <w:b/>
                <w:bCs/>
              </w:rPr>
              <w:t>Conclusion</w:t>
            </w:r>
            <w:r w:rsidR="000D0DF8">
              <w:rPr>
                <w:rFonts w:asciiTheme="minorHAnsi" w:hAnsiTheme="minorHAnsi"/>
                <w:b/>
                <w:bCs/>
              </w:rPr>
              <w:t xml:space="preserve"> and recommendations</w:t>
            </w:r>
          </w:p>
          <w:p w14:paraId="7A51C99C" w14:textId="3251D0E9" w:rsidR="002A6C93" w:rsidRPr="004D012B" w:rsidRDefault="002A6C93" w:rsidP="004D012B">
            <w:pPr>
              <w:spacing w:line="360" w:lineRule="auto"/>
              <w:rPr>
                <w:rFonts w:asciiTheme="minorHAnsi" w:hAnsiTheme="minorHAnsi"/>
                <w:b/>
                <w:bCs/>
              </w:rPr>
            </w:pPr>
          </w:p>
        </w:tc>
        <w:tc>
          <w:tcPr>
            <w:tcW w:w="3231" w:type="dxa"/>
          </w:tcPr>
          <w:p w14:paraId="2EB065E0" w14:textId="126CE197" w:rsidR="002A6C93" w:rsidRPr="004D012B" w:rsidRDefault="000D0DF8" w:rsidP="004D012B">
            <w:pPr>
              <w:spacing w:line="360" w:lineRule="auto"/>
              <w:rPr>
                <w:rFonts w:asciiTheme="minorHAnsi" w:hAnsiTheme="minorHAnsi"/>
                <w:b/>
                <w:bCs/>
              </w:rPr>
            </w:pPr>
            <w:r>
              <w:rPr>
                <w:rFonts w:asciiTheme="minorHAnsi" w:hAnsiTheme="minorHAnsi"/>
                <w:b/>
                <w:bCs/>
              </w:rPr>
              <w:t>9-10</w:t>
            </w:r>
          </w:p>
        </w:tc>
      </w:tr>
      <w:tr w:rsidR="002A6C93" w:rsidRPr="004D012B" w14:paraId="5F5B75C3" w14:textId="77777777" w:rsidTr="000D0DF8">
        <w:tc>
          <w:tcPr>
            <w:tcW w:w="7225" w:type="dxa"/>
          </w:tcPr>
          <w:p w14:paraId="56B4F767" w14:textId="77777777" w:rsidR="002A6C93" w:rsidRPr="004D012B" w:rsidRDefault="002A6C93" w:rsidP="004D012B">
            <w:pPr>
              <w:spacing w:line="360" w:lineRule="auto"/>
              <w:rPr>
                <w:rFonts w:asciiTheme="minorHAnsi" w:hAnsiTheme="minorHAnsi"/>
                <w:b/>
                <w:bCs/>
              </w:rPr>
            </w:pPr>
            <w:r w:rsidRPr="004D012B">
              <w:rPr>
                <w:rFonts w:asciiTheme="minorHAnsi" w:hAnsiTheme="minorHAnsi"/>
                <w:b/>
                <w:bCs/>
              </w:rPr>
              <w:t>References</w:t>
            </w:r>
          </w:p>
          <w:p w14:paraId="5AAC9BD4" w14:textId="4AF61735" w:rsidR="002A6C93" w:rsidRPr="004D012B" w:rsidRDefault="002A6C93" w:rsidP="004D012B">
            <w:pPr>
              <w:spacing w:line="360" w:lineRule="auto"/>
              <w:rPr>
                <w:rFonts w:asciiTheme="minorHAnsi" w:hAnsiTheme="minorHAnsi"/>
                <w:b/>
                <w:bCs/>
              </w:rPr>
            </w:pPr>
          </w:p>
        </w:tc>
        <w:tc>
          <w:tcPr>
            <w:tcW w:w="3231" w:type="dxa"/>
          </w:tcPr>
          <w:p w14:paraId="2AE2F19A" w14:textId="1664CADF" w:rsidR="002A6C93" w:rsidRPr="004D012B" w:rsidRDefault="000D0DF8" w:rsidP="004D012B">
            <w:pPr>
              <w:spacing w:line="360" w:lineRule="auto"/>
              <w:rPr>
                <w:rFonts w:asciiTheme="minorHAnsi" w:hAnsiTheme="minorHAnsi"/>
                <w:b/>
                <w:bCs/>
              </w:rPr>
            </w:pPr>
            <w:r>
              <w:rPr>
                <w:rFonts w:asciiTheme="minorHAnsi" w:hAnsiTheme="minorHAnsi"/>
                <w:b/>
                <w:bCs/>
              </w:rPr>
              <w:t>11-18</w:t>
            </w:r>
          </w:p>
        </w:tc>
      </w:tr>
      <w:tr w:rsidR="002A6C93" w:rsidRPr="004D012B" w14:paraId="6D95ABF0" w14:textId="77777777" w:rsidTr="000D0DF8">
        <w:tc>
          <w:tcPr>
            <w:tcW w:w="7225" w:type="dxa"/>
          </w:tcPr>
          <w:p w14:paraId="1EACC943" w14:textId="2C3B4694" w:rsidR="002A6C93" w:rsidRPr="004D012B" w:rsidRDefault="002A6C93" w:rsidP="004D012B">
            <w:pPr>
              <w:spacing w:line="360" w:lineRule="auto"/>
              <w:rPr>
                <w:rFonts w:asciiTheme="minorHAnsi" w:hAnsiTheme="minorHAnsi"/>
                <w:b/>
                <w:bCs/>
              </w:rPr>
            </w:pPr>
            <w:r w:rsidRPr="004D012B">
              <w:rPr>
                <w:rFonts w:asciiTheme="minorHAnsi" w:hAnsiTheme="minorHAnsi"/>
                <w:b/>
                <w:bCs/>
              </w:rPr>
              <w:t>Appendices</w:t>
            </w:r>
          </w:p>
          <w:p w14:paraId="52C1AB5B" w14:textId="30096D31" w:rsidR="002A6C93" w:rsidRPr="004D012B" w:rsidRDefault="002A6C93" w:rsidP="004D012B">
            <w:pPr>
              <w:spacing w:line="360" w:lineRule="auto"/>
              <w:rPr>
                <w:rFonts w:asciiTheme="minorHAnsi" w:hAnsiTheme="minorHAnsi"/>
                <w:b/>
                <w:bCs/>
              </w:rPr>
            </w:pPr>
          </w:p>
        </w:tc>
        <w:tc>
          <w:tcPr>
            <w:tcW w:w="3231" w:type="dxa"/>
          </w:tcPr>
          <w:p w14:paraId="6AD7A303" w14:textId="5DD7ED0B" w:rsidR="002A6C93" w:rsidRPr="004D012B" w:rsidRDefault="000D0DF8" w:rsidP="004D012B">
            <w:pPr>
              <w:spacing w:line="360" w:lineRule="auto"/>
              <w:rPr>
                <w:rFonts w:asciiTheme="minorHAnsi" w:hAnsiTheme="minorHAnsi"/>
                <w:b/>
                <w:bCs/>
              </w:rPr>
            </w:pPr>
            <w:r>
              <w:rPr>
                <w:rFonts w:asciiTheme="minorHAnsi" w:hAnsiTheme="minorHAnsi"/>
                <w:b/>
                <w:bCs/>
              </w:rPr>
              <w:t>19-20</w:t>
            </w:r>
          </w:p>
        </w:tc>
      </w:tr>
    </w:tbl>
    <w:p w14:paraId="0D990D96" w14:textId="77777777" w:rsidR="00623470" w:rsidRDefault="00623470" w:rsidP="00F77465">
      <w:pPr>
        <w:spacing w:line="360" w:lineRule="auto"/>
        <w:rPr>
          <w:rFonts w:asciiTheme="minorHAnsi" w:eastAsia="Calibri" w:hAnsiTheme="minorHAnsi"/>
          <w:b/>
          <w:bCs/>
        </w:rPr>
      </w:pPr>
    </w:p>
    <w:p w14:paraId="7B2D9F27" w14:textId="50B38696" w:rsidR="0077553A" w:rsidRPr="00F77465" w:rsidRDefault="00623470" w:rsidP="00623470">
      <w:pPr>
        <w:spacing w:after="200" w:line="276" w:lineRule="auto"/>
        <w:rPr>
          <w:rFonts w:asciiTheme="minorHAnsi" w:eastAsia="Calibri" w:hAnsiTheme="minorHAnsi"/>
          <w:b/>
          <w:bCs/>
        </w:rPr>
      </w:pPr>
      <w:r>
        <w:rPr>
          <w:rFonts w:asciiTheme="minorHAnsi" w:eastAsia="Calibri" w:hAnsiTheme="minorHAnsi"/>
          <w:b/>
          <w:bCs/>
        </w:rPr>
        <w:br w:type="page"/>
      </w:r>
      <w:r w:rsidR="00E37428" w:rsidRPr="00F77465">
        <w:rPr>
          <w:rFonts w:asciiTheme="minorHAnsi" w:eastAsia="Calibri" w:hAnsiTheme="minorHAnsi"/>
          <w:b/>
          <w:bCs/>
        </w:rPr>
        <w:lastRenderedPageBreak/>
        <w:t>Introduction</w:t>
      </w:r>
    </w:p>
    <w:p w14:paraId="5E87E42A" w14:textId="53B89ACD" w:rsidR="0077553A" w:rsidRPr="00F77465" w:rsidRDefault="00672F20" w:rsidP="00F77465">
      <w:pPr>
        <w:spacing w:line="360" w:lineRule="auto"/>
        <w:rPr>
          <w:rFonts w:asciiTheme="minorHAnsi" w:eastAsia="Calibri" w:hAnsiTheme="minorHAnsi"/>
          <w:b/>
          <w:bCs/>
        </w:rPr>
      </w:pPr>
      <w:r w:rsidRPr="00F77465">
        <w:rPr>
          <w:rFonts w:asciiTheme="minorHAnsi" w:hAnsiTheme="minorHAnsi"/>
        </w:rPr>
        <w:t xml:space="preserve">Acute oncology </w:t>
      </w:r>
      <w:r w:rsidR="00F70ED7" w:rsidRPr="00F77465">
        <w:rPr>
          <w:rFonts w:asciiTheme="minorHAnsi" w:hAnsiTheme="minorHAnsi"/>
        </w:rPr>
        <w:t xml:space="preserve">(AO) </w:t>
      </w:r>
      <w:r w:rsidRPr="00F77465">
        <w:rPr>
          <w:rFonts w:asciiTheme="minorHAnsi" w:hAnsiTheme="minorHAnsi"/>
        </w:rPr>
        <w:t>is an evolving field aimed at addressing the complex needs of patients who experience acute illness due to cancer or its treatment.  Historically,</w:t>
      </w:r>
      <w:r w:rsidR="005F4133" w:rsidRPr="00F77465">
        <w:rPr>
          <w:rFonts w:asciiTheme="minorHAnsi" w:hAnsiTheme="minorHAnsi"/>
        </w:rPr>
        <w:t xml:space="preserve"> </w:t>
      </w:r>
      <w:r w:rsidR="00F70ED7" w:rsidRPr="00F77465">
        <w:rPr>
          <w:rFonts w:asciiTheme="minorHAnsi" w:hAnsiTheme="minorHAnsi"/>
        </w:rPr>
        <w:t xml:space="preserve">AO </w:t>
      </w:r>
      <w:r w:rsidR="005F4133" w:rsidRPr="00F77465">
        <w:rPr>
          <w:rFonts w:asciiTheme="minorHAnsi" w:hAnsiTheme="minorHAnsi"/>
        </w:rPr>
        <w:t>patients present at a district general hospital</w:t>
      </w:r>
      <w:r w:rsidR="0017498E" w:rsidRPr="00F77465">
        <w:rPr>
          <w:rFonts w:asciiTheme="minorHAnsi" w:hAnsiTheme="minorHAnsi"/>
        </w:rPr>
        <w:t xml:space="preserve"> away from their primary cancer centre and this in turn can place a heavy </w:t>
      </w:r>
      <w:r w:rsidR="00543C3B" w:rsidRPr="00F77465">
        <w:rPr>
          <w:rFonts w:asciiTheme="minorHAnsi" w:hAnsiTheme="minorHAnsi"/>
        </w:rPr>
        <w:t>strain</w:t>
      </w:r>
      <w:r w:rsidR="0017498E" w:rsidRPr="00F77465">
        <w:rPr>
          <w:rFonts w:asciiTheme="minorHAnsi" w:hAnsiTheme="minorHAnsi"/>
        </w:rPr>
        <w:t xml:space="preserve"> on the e</w:t>
      </w:r>
      <w:r w:rsidR="00543C3B" w:rsidRPr="00F77465">
        <w:rPr>
          <w:rFonts w:asciiTheme="minorHAnsi" w:hAnsiTheme="minorHAnsi"/>
        </w:rPr>
        <w:t xml:space="preserve">mergency units (Kulkarni </w:t>
      </w:r>
      <w:r w:rsidR="00543C3B" w:rsidRPr="00F77465">
        <w:rPr>
          <w:rFonts w:asciiTheme="minorHAnsi" w:hAnsiTheme="minorHAnsi"/>
          <w:i/>
          <w:iCs/>
        </w:rPr>
        <w:t>et al</w:t>
      </w:r>
      <w:r w:rsidR="00543C3B" w:rsidRPr="00F77465">
        <w:rPr>
          <w:rFonts w:asciiTheme="minorHAnsi" w:hAnsiTheme="minorHAnsi"/>
        </w:rPr>
        <w:t xml:space="preserve">, 2023).  </w:t>
      </w:r>
    </w:p>
    <w:p w14:paraId="1A272209" w14:textId="77777777" w:rsidR="00F77465" w:rsidRDefault="00F77465" w:rsidP="00F77465">
      <w:pPr>
        <w:spacing w:line="360" w:lineRule="auto"/>
        <w:rPr>
          <w:rFonts w:asciiTheme="minorHAnsi" w:hAnsiTheme="minorHAnsi"/>
        </w:rPr>
      </w:pPr>
    </w:p>
    <w:p w14:paraId="452063B6" w14:textId="6F0E7EE6" w:rsidR="004D012B" w:rsidRPr="00F77465" w:rsidRDefault="00672F20" w:rsidP="00F77465">
      <w:pPr>
        <w:spacing w:line="360" w:lineRule="auto"/>
        <w:rPr>
          <w:rFonts w:asciiTheme="minorHAnsi" w:eastAsia="Calibri" w:hAnsiTheme="minorHAnsi"/>
          <w:b/>
          <w:bCs/>
        </w:rPr>
      </w:pPr>
      <w:r w:rsidRPr="00F77465">
        <w:rPr>
          <w:rFonts w:asciiTheme="minorHAnsi" w:hAnsiTheme="minorHAnsi"/>
        </w:rPr>
        <w:t xml:space="preserve">Previous approaches primarily focused on managing isolated symptoms without a comprehensive, multidisciplinary </w:t>
      </w:r>
      <w:r w:rsidR="00F17CB4" w:rsidRPr="00F77465">
        <w:rPr>
          <w:rFonts w:asciiTheme="minorHAnsi" w:hAnsiTheme="minorHAnsi"/>
        </w:rPr>
        <w:t>approach</w:t>
      </w:r>
      <w:r w:rsidRPr="00F77465">
        <w:rPr>
          <w:rFonts w:asciiTheme="minorHAnsi" w:hAnsiTheme="minorHAnsi"/>
        </w:rPr>
        <w:t xml:space="preserve">.  </w:t>
      </w:r>
      <w:r w:rsidR="00845575" w:rsidRPr="00F77465">
        <w:rPr>
          <w:rFonts w:asciiTheme="minorHAnsi" w:hAnsiTheme="minorHAnsi"/>
        </w:rPr>
        <w:t>Without specialist input or adherence to appropriate pathways t</w:t>
      </w:r>
      <w:r w:rsidRPr="00F77465">
        <w:rPr>
          <w:rFonts w:asciiTheme="minorHAnsi" w:hAnsiTheme="minorHAnsi"/>
        </w:rPr>
        <w:t>his often resulted in inconsistencies in patient care</w:t>
      </w:r>
      <w:r w:rsidR="00845575" w:rsidRPr="00F77465">
        <w:rPr>
          <w:rFonts w:asciiTheme="minorHAnsi" w:hAnsiTheme="minorHAnsi"/>
        </w:rPr>
        <w:t xml:space="preserve">, unnecessary and painful investigations and prolonged hospital stays </w:t>
      </w:r>
      <w:r w:rsidRPr="00F77465">
        <w:rPr>
          <w:rFonts w:asciiTheme="minorHAnsi" w:hAnsiTheme="minorHAnsi"/>
        </w:rPr>
        <w:t>and overlook the broader impact of cancer on patients' overall health (</w:t>
      </w:r>
      <w:r w:rsidR="00845575" w:rsidRPr="00F77465">
        <w:rPr>
          <w:rFonts w:asciiTheme="minorHAnsi" w:hAnsiTheme="minorHAnsi"/>
        </w:rPr>
        <w:t xml:space="preserve">Pugh </w:t>
      </w:r>
      <w:r w:rsidR="00845575" w:rsidRPr="00F77465">
        <w:rPr>
          <w:rFonts w:asciiTheme="minorHAnsi" w:hAnsiTheme="minorHAnsi"/>
          <w:i/>
          <w:iCs/>
        </w:rPr>
        <w:t>et al</w:t>
      </w:r>
      <w:r w:rsidRPr="00F77465">
        <w:rPr>
          <w:rFonts w:asciiTheme="minorHAnsi" w:hAnsiTheme="minorHAnsi"/>
        </w:rPr>
        <w:t>, 201</w:t>
      </w:r>
      <w:r w:rsidR="00845575" w:rsidRPr="00F77465">
        <w:rPr>
          <w:rFonts w:asciiTheme="minorHAnsi" w:hAnsiTheme="minorHAnsi"/>
        </w:rPr>
        <w:t>5</w:t>
      </w:r>
      <w:r w:rsidRPr="00F77465">
        <w:rPr>
          <w:rFonts w:asciiTheme="minorHAnsi" w:hAnsiTheme="minorHAnsi"/>
        </w:rPr>
        <w:t>).</w:t>
      </w:r>
    </w:p>
    <w:p w14:paraId="53381885" w14:textId="77777777" w:rsidR="00F77465" w:rsidRDefault="00F77465" w:rsidP="00F77465">
      <w:pPr>
        <w:spacing w:line="360" w:lineRule="auto"/>
        <w:rPr>
          <w:rFonts w:asciiTheme="minorHAnsi" w:hAnsiTheme="minorHAnsi"/>
        </w:rPr>
      </w:pPr>
    </w:p>
    <w:p w14:paraId="702F12A3" w14:textId="6A517D12" w:rsidR="004D012B" w:rsidRPr="00F77465" w:rsidRDefault="00EF3F82" w:rsidP="00F77465">
      <w:pPr>
        <w:spacing w:line="360" w:lineRule="auto"/>
        <w:rPr>
          <w:rFonts w:asciiTheme="minorHAnsi" w:hAnsiTheme="minorHAnsi"/>
        </w:rPr>
      </w:pPr>
      <w:r w:rsidRPr="00F77465">
        <w:rPr>
          <w:rFonts w:asciiTheme="minorHAnsi" w:hAnsiTheme="minorHAnsi"/>
        </w:rPr>
        <w:t>Since 2016</w:t>
      </w:r>
      <w:r w:rsidR="00672F20" w:rsidRPr="00F77465">
        <w:rPr>
          <w:rFonts w:asciiTheme="minorHAnsi" w:hAnsiTheme="minorHAnsi"/>
        </w:rPr>
        <w:t xml:space="preserve">, there has been a significant shift towards a more </w:t>
      </w:r>
      <w:r w:rsidR="00F17CB4" w:rsidRPr="00F77465">
        <w:rPr>
          <w:rFonts w:asciiTheme="minorHAnsi" w:hAnsiTheme="minorHAnsi"/>
        </w:rPr>
        <w:t>combined</w:t>
      </w:r>
      <w:r w:rsidR="00672F20" w:rsidRPr="00F77465">
        <w:rPr>
          <w:rFonts w:asciiTheme="minorHAnsi" w:hAnsiTheme="minorHAnsi"/>
        </w:rPr>
        <w:t xml:space="preserve"> approach in acute oncology services within district general hospitals</w:t>
      </w:r>
      <w:r w:rsidRPr="00F77465">
        <w:rPr>
          <w:rFonts w:asciiTheme="minorHAnsi" w:hAnsiTheme="minorHAnsi"/>
        </w:rPr>
        <w:t xml:space="preserve"> (National Health Service (NHS) Wales, 2016)</w:t>
      </w:r>
      <w:r w:rsidR="00672F20" w:rsidRPr="00F77465">
        <w:rPr>
          <w:rFonts w:asciiTheme="minorHAnsi" w:hAnsiTheme="minorHAnsi"/>
        </w:rPr>
        <w:t xml:space="preserve">.  The establishment of dedicated Acute Oncology Services (AOS) </w:t>
      </w:r>
      <w:r w:rsidRPr="00F77465">
        <w:rPr>
          <w:rFonts w:asciiTheme="minorHAnsi" w:hAnsiTheme="minorHAnsi"/>
        </w:rPr>
        <w:t xml:space="preserve">in Cardiff and Vale University Health Board (CAVUHB) which launched in 2016 </w:t>
      </w:r>
      <w:r w:rsidR="00672F20" w:rsidRPr="00F77465">
        <w:rPr>
          <w:rFonts w:asciiTheme="minorHAnsi" w:hAnsiTheme="minorHAnsi"/>
        </w:rPr>
        <w:t>has brought together a range of healthcare professionals speciali</w:t>
      </w:r>
      <w:r w:rsidR="00845575" w:rsidRPr="00F77465">
        <w:rPr>
          <w:rFonts w:asciiTheme="minorHAnsi" w:hAnsiTheme="minorHAnsi"/>
        </w:rPr>
        <w:t>s</w:t>
      </w:r>
      <w:r w:rsidR="00672F20" w:rsidRPr="00F77465">
        <w:rPr>
          <w:rFonts w:asciiTheme="minorHAnsi" w:hAnsiTheme="minorHAnsi"/>
        </w:rPr>
        <w:t>ed in various aspects of cancer care (</w:t>
      </w:r>
      <w:r w:rsidRPr="00F77465">
        <w:rPr>
          <w:rFonts w:asciiTheme="minorHAnsi" w:hAnsiTheme="minorHAnsi"/>
        </w:rPr>
        <w:t>Royal College of Physicians, 2023</w:t>
      </w:r>
      <w:r w:rsidR="00672F20" w:rsidRPr="00F77465">
        <w:rPr>
          <w:rFonts w:asciiTheme="minorHAnsi" w:hAnsiTheme="minorHAnsi"/>
        </w:rPr>
        <w:t>).  This multidisciplinary team</w:t>
      </w:r>
      <w:r w:rsidR="00F70ED7" w:rsidRPr="00F77465">
        <w:rPr>
          <w:rFonts w:asciiTheme="minorHAnsi" w:hAnsiTheme="minorHAnsi"/>
        </w:rPr>
        <w:t xml:space="preserve"> (MDT) typically</w:t>
      </w:r>
      <w:r w:rsidR="00672F20" w:rsidRPr="00F77465">
        <w:rPr>
          <w:rFonts w:asciiTheme="minorHAnsi" w:hAnsiTheme="minorHAnsi"/>
        </w:rPr>
        <w:t xml:space="preserve"> includes oncologists, </w:t>
      </w:r>
      <w:r w:rsidR="007A1260" w:rsidRPr="00F77465">
        <w:rPr>
          <w:rFonts w:asciiTheme="minorHAnsi" w:hAnsiTheme="minorHAnsi"/>
        </w:rPr>
        <w:t>clinical nurse specialists</w:t>
      </w:r>
      <w:r w:rsidR="00672F20" w:rsidRPr="00F77465">
        <w:rPr>
          <w:rFonts w:asciiTheme="minorHAnsi" w:hAnsiTheme="minorHAnsi"/>
        </w:rPr>
        <w:t xml:space="preserve">, specialist </w:t>
      </w:r>
      <w:r w:rsidR="007A1260" w:rsidRPr="00F77465">
        <w:rPr>
          <w:rFonts w:asciiTheme="minorHAnsi" w:hAnsiTheme="minorHAnsi"/>
        </w:rPr>
        <w:t>allied health professionals</w:t>
      </w:r>
      <w:r w:rsidR="00DA77A2" w:rsidRPr="00F77465">
        <w:rPr>
          <w:rFonts w:asciiTheme="minorHAnsi" w:hAnsiTheme="minorHAnsi"/>
        </w:rPr>
        <w:t xml:space="preserve"> (AHPs)</w:t>
      </w:r>
      <w:r w:rsidR="00672F20" w:rsidRPr="00F77465">
        <w:rPr>
          <w:rFonts w:asciiTheme="minorHAnsi" w:hAnsiTheme="minorHAnsi"/>
        </w:rPr>
        <w:t>, and Therapy Assistant Practitioner (TAP), all working collaboratively to provide holistic care.  The AOS aims to swiftly identify and manage complications related to cancer treatment, such as infections, side effects, and new diagnoses, ensuring timely and appropriate interventions (</w:t>
      </w:r>
      <w:r w:rsidR="007A1260" w:rsidRPr="00F77465">
        <w:rPr>
          <w:rFonts w:asciiTheme="minorHAnsi" w:hAnsiTheme="minorHAnsi"/>
        </w:rPr>
        <w:t>Pugh et al, 2015; Royal College</w:t>
      </w:r>
      <w:r w:rsidR="001B7829" w:rsidRPr="00F77465">
        <w:rPr>
          <w:rFonts w:asciiTheme="minorHAnsi" w:hAnsiTheme="minorHAnsi"/>
        </w:rPr>
        <w:t xml:space="preserve"> of Physicians, 2023</w:t>
      </w:r>
      <w:r w:rsidR="00672F20" w:rsidRPr="00F77465">
        <w:rPr>
          <w:rFonts w:asciiTheme="minorHAnsi" w:hAnsiTheme="minorHAnsi"/>
        </w:rPr>
        <w:t>).</w:t>
      </w:r>
    </w:p>
    <w:p w14:paraId="7C4BD1C0" w14:textId="77777777" w:rsidR="00F77465" w:rsidRDefault="00F77465" w:rsidP="00F77465">
      <w:pPr>
        <w:spacing w:line="360" w:lineRule="auto"/>
        <w:rPr>
          <w:rFonts w:asciiTheme="minorHAnsi" w:hAnsiTheme="minorHAnsi"/>
        </w:rPr>
      </w:pPr>
    </w:p>
    <w:p w14:paraId="7866DBF9" w14:textId="2A117F42" w:rsidR="001A0C29" w:rsidRPr="00F77465" w:rsidRDefault="00672F20" w:rsidP="00F77465">
      <w:pPr>
        <w:spacing w:line="360" w:lineRule="auto"/>
        <w:rPr>
          <w:rFonts w:asciiTheme="minorHAnsi" w:hAnsiTheme="minorHAnsi"/>
        </w:rPr>
      </w:pPr>
      <w:r w:rsidRPr="00F77465">
        <w:rPr>
          <w:rFonts w:asciiTheme="minorHAnsi" w:hAnsiTheme="minorHAnsi"/>
        </w:rPr>
        <w:t xml:space="preserve">This report will </w:t>
      </w:r>
      <w:r w:rsidR="00F17CB4" w:rsidRPr="00F77465">
        <w:rPr>
          <w:rFonts w:asciiTheme="minorHAnsi" w:hAnsiTheme="minorHAnsi"/>
        </w:rPr>
        <w:t>explore</w:t>
      </w:r>
      <w:r w:rsidRPr="00F77465">
        <w:rPr>
          <w:rFonts w:asciiTheme="minorHAnsi" w:hAnsiTheme="minorHAnsi"/>
        </w:rPr>
        <w:t xml:space="preserve"> the role of the TAP within the AOS at CAVUHB, highlighting how this role has become integral to patient support</w:t>
      </w:r>
      <w:r w:rsidR="001B7829" w:rsidRPr="00F77465">
        <w:rPr>
          <w:rFonts w:asciiTheme="minorHAnsi" w:hAnsiTheme="minorHAnsi"/>
        </w:rPr>
        <w:t xml:space="preserve">.  </w:t>
      </w:r>
      <w:r w:rsidRPr="00F77465">
        <w:rPr>
          <w:rFonts w:asciiTheme="minorHAnsi" w:hAnsiTheme="minorHAnsi"/>
        </w:rPr>
        <w:t xml:space="preserve">Readers can expect a case study </w:t>
      </w:r>
      <w:r w:rsidR="001B7829" w:rsidRPr="00F77465">
        <w:rPr>
          <w:rFonts w:asciiTheme="minorHAnsi" w:hAnsiTheme="minorHAnsi"/>
        </w:rPr>
        <w:t xml:space="preserve">giving an overview of </w:t>
      </w:r>
      <w:r w:rsidR="00F70ED7" w:rsidRPr="00F77465">
        <w:rPr>
          <w:rFonts w:asciiTheme="minorHAnsi" w:hAnsiTheme="minorHAnsi"/>
        </w:rPr>
        <w:t>an</w:t>
      </w:r>
      <w:r w:rsidR="001B7829" w:rsidRPr="00F77465">
        <w:rPr>
          <w:rFonts w:asciiTheme="minorHAnsi" w:hAnsiTheme="minorHAnsi"/>
        </w:rPr>
        <w:t xml:space="preserve"> AOS patient.  </w:t>
      </w:r>
      <w:r w:rsidRPr="00F77465">
        <w:rPr>
          <w:rFonts w:asciiTheme="minorHAnsi" w:hAnsiTheme="minorHAnsi"/>
        </w:rPr>
        <w:t xml:space="preserve">The report will offer insights into </w:t>
      </w:r>
      <w:r w:rsidR="001B7829" w:rsidRPr="00F77465">
        <w:rPr>
          <w:rFonts w:asciiTheme="minorHAnsi" w:hAnsiTheme="minorHAnsi"/>
        </w:rPr>
        <w:t xml:space="preserve">both past and present </w:t>
      </w:r>
      <w:r w:rsidRPr="00F77465">
        <w:rPr>
          <w:rFonts w:asciiTheme="minorHAnsi" w:hAnsiTheme="minorHAnsi"/>
        </w:rPr>
        <w:t xml:space="preserve">practices </w:t>
      </w:r>
      <w:r w:rsidR="001B7829" w:rsidRPr="00F77465">
        <w:rPr>
          <w:rFonts w:asciiTheme="minorHAnsi" w:hAnsiTheme="minorHAnsi"/>
        </w:rPr>
        <w:t>of managing an ‘acute oncology’ patient when they present in an acute setting with either complications from their cancer, complications from their cancer treatment or a new diagnosis of cancer</w:t>
      </w:r>
      <w:r w:rsidRPr="00F77465">
        <w:rPr>
          <w:rFonts w:asciiTheme="minorHAnsi" w:hAnsiTheme="minorHAnsi"/>
        </w:rPr>
        <w:t xml:space="preserve">. </w:t>
      </w:r>
      <w:r w:rsidR="001B7829" w:rsidRPr="00F77465">
        <w:rPr>
          <w:rFonts w:asciiTheme="minorHAnsi" w:hAnsiTheme="minorHAnsi"/>
        </w:rPr>
        <w:t xml:space="preserve"> The report will outline </w:t>
      </w:r>
      <w:r w:rsidRPr="00F77465">
        <w:rPr>
          <w:rFonts w:asciiTheme="minorHAnsi" w:hAnsiTheme="minorHAnsi"/>
        </w:rPr>
        <w:t>the scope and impact of TAPs in delivering effective healthcare, ultimately aiming to enhance patient outcomes and quality of life amidst</w:t>
      </w:r>
      <w:r w:rsidR="001B7829" w:rsidRPr="00F77465">
        <w:rPr>
          <w:rFonts w:asciiTheme="minorHAnsi" w:hAnsiTheme="minorHAnsi"/>
        </w:rPr>
        <w:t xml:space="preserve"> their experience with </w:t>
      </w:r>
      <w:r w:rsidRPr="00F77465">
        <w:rPr>
          <w:rFonts w:asciiTheme="minorHAnsi" w:hAnsiTheme="minorHAnsi"/>
        </w:rPr>
        <w:t>cancer</w:t>
      </w:r>
      <w:r w:rsidR="001B7829" w:rsidRPr="00F77465">
        <w:rPr>
          <w:rFonts w:asciiTheme="minorHAnsi" w:hAnsiTheme="minorHAnsi"/>
        </w:rPr>
        <w:t xml:space="preserve">.  </w:t>
      </w:r>
    </w:p>
    <w:p w14:paraId="51DDC6A5" w14:textId="77777777" w:rsidR="001A0C29" w:rsidRPr="00F77465" w:rsidRDefault="001A0C29" w:rsidP="00F77465">
      <w:pPr>
        <w:spacing w:line="360" w:lineRule="auto"/>
        <w:rPr>
          <w:rFonts w:asciiTheme="minorHAnsi" w:hAnsiTheme="minorHAnsi"/>
          <w:b/>
          <w:bCs/>
        </w:rPr>
      </w:pPr>
    </w:p>
    <w:p w14:paraId="0CCEC6F9" w14:textId="1E534F36" w:rsidR="00264E9C" w:rsidRPr="00F77465" w:rsidRDefault="00E725CB" w:rsidP="00F77465">
      <w:pPr>
        <w:spacing w:line="360" w:lineRule="auto"/>
        <w:rPr>
          <w:rFonts w:asciiTheme="minorHAnsi" w:hAnsiTheme="minorHAnsi"/>
          <w:b/>
          <w:bCs/>
        </w:rPr>
      </w:pPr>
      <w:r w:rsidRPr="00F77465">
        <w:rPr>
          <w:rFonts w:asciiTheme="minorHAnsi" w:hAnsiTheme="minorHAnsi"/>
          <w:b/>
          <w:bCs/>
        </w:rPr>
        <w:t>Case Study</w:t>
      </w:r>
      <w:r w:rsidR="00BA6798" w:rsidRPr="00F77465">
        <w:rPr>
          <w:rFonts w:asciiTheme="minorHAnsi" w:hAnsiTheme="minorHAnsi"/>
          <w:b/>
          <w:bCs/>
        </w:rPr>
        <w:t xml:space="preserve"> </w:t>
      </w:r>
    </w:p>
    <w:p w14:paraId="7B9BA7EB" w14:textId="4DFE331C" w:rsidR="000B2130" w:rsidRPr="00F77465" w:rsidRDefault="00E567A9" w:rsidP="00F77465">
      <w:pPr>
        <w:spacing w:line="360" w:lineRule="auto"/>
        <w:rPr>
          <w:rFonts w:asciiTheme="minorHAnsi" w:hAnsiTheme="minorHAnsi"/>
          <w:b/>
          <w:bCs/>
        </w:rPr>
      </w:pPr>
      <w:r w:rsidRPr="00F77465">
        <w:rPr>
          <w:rFonts w:asciiTheme="minorHAnsi" w:hAnsiTheme="minorHAnsi"/>
        </w:rPr>
        <w:t xml:space="preserve">The </w:t>
      </w:r>
      <w:r w:rsidR="00847CB9" w:rsidRPr="00F77465">
        <w:rPr>
          <w:rFonts w:asciiTheme="minorHAnsi" w:hAnsiTheme="minorHAnsi"/>
        </w:rPr>
        <w:t>AOS</w:t>
      </w:r>
      <w:r w:rsidR="00621E3B" w:rsidRPr="00F77465">
        <w:rPr>
          <w:rFonts w:asciiTheme="minorHAnsi" w:hAnsiTheme="minorHAnsi"/>
        </w:rPr>
        <w:t xml:space="preserve"> sits within the District General Hospital in CAVUHB, </w:t>
      </w:r>
      <w:r w:rsidR="000658EE" w:rsidRPr="00F77465">
        <w:rPr>
          <w:rFonts w:asciiTheme="minorHAnsi" w:hAnsiTheme="minorHAnsi"/>
        </w:rPr>
        <w:t>t</w:t>
      </w:r>
      <w:r w:rsidR="00847CB9" w:rsidRPr="00F77465">
        <w:rPr>
          <w:rFonts w:asciiTheme="minorHAnsi" w:hAnsiTheme="minorHAnsi"/>
        </w:rPr>
        <w:t xml:space="preserve">he AOS patient group can be situated across the hospital including accident and emergency, respiratory, gynaecology, among others.  Patients are discussed </w:t>
      </w:r>
      <w:r w:rsidR="00DA77A2" w:rsidRPr="00F77465">
        <w:rPr>
          <w:rFonts w:asciiTheme="minorHAnsi" w:hAnsiTheme="minorHAnsi"/>
        </w:rPr>
        <w:t xml:space="preserve">collaboratively </w:t>
      </w:r>
      <w:r w:rsidR="00847CB9" w:rsidRPr="00F77465">
        <w:rPr>
          <w:rFonts w:asciiTheme="minorHAnsi" w:hAnsiTheme="minorHAnsi"/>
        </w:rPr>
        <w:t>at board roun</w:t>
      </w:r>
      <w:r w:rsidR="00DA77A2" w:rsidRPr="00F77465">
        <w:rPr>
          <w:rFonts w:asciiTheme="minorHAnsi" w:hAnsiTheme="minorHAnsi"/>
        </w:rPr>
        <w:t>d</w:t>
      </w:r>
      <w:r w:rsidR="00420435" w:rsidRPr="00F77465">
        <w:rPr>
          <w:rFonts w:asciiTheme="minorHAnsi" w:hAnsiTheme="minorHAnsi"/>
        </w:rPr>
        <w:t xml:space="preserve">, </w:t>
      </w:r>
      <w:r w:rsidR="00DA77A2" w:rsidRPr="00F77465">
        <w:rPr>
          <w:rFonts w:asciiTheme="minorHAnsi" w:hAnsiTheme="minorHAnsi"/>
        </w:rPr>
        <w:t xml:space="preserve">AHPs </w:t>
      </w:r>
      <w:r w:rsidR="00420435" w:rsidRPr="00F77465">
        <w:rPr>
          <w:rFonts w:asciiTheme="minorHAnsi" w:hAnsiTheme="minorHAnsi"/>
        </w:rPr>
        <w:t xml:space="preserve">delegate patients to the TAP to screen </w:t>
      </w:r>
      <w:r w:rsidR="00420435" w:rsidRPr="00F77465">
        <w:rPr>
          <w:rFonts w:asciiTheme="minorHAnsi" w:hAnsiTheme="minorHAnsi"/>
        </w:rPr>
        <w:lastRenderedPageBreak/>
        <w:t xml:space="preserve">and identify any AHP needs, the TAP then prioritises their caseload for the </w:t>
      </w:r>
      <w:r w:rsidR="00F17CB4" w:rsidRPr="00F77465">
        <w:rPr>
          <w:rFonts w:asciiTheme="minorHAnsi" w:hAnsiTheme="minorHAnsi"/>
        </w:rPr>
        <w:t>day,</w:t>
      </w:r>
      <w:r w:rsidR="00420435" w:rsidRPr="00F77465">
        <w:rPr>
          <w:rFonts w:asciiTheme="minorHAnsi" w:hAnsiTheme="minorHAnsi"/>
        </w:rPr>
        <w:t xml:space="preserve"> focusing on screening patients in the morning and then carrying out patient optimisation sessions in the afternoon</w:t>
      </w:r>
      <w:r w:rsidR="00F17CB4" w:rsidRPr="00F77465">
        <w:rPr>
          <w:rFonts w:asciiTheme="minorHAnsi" w:hAnsiTheme="minorHAnsi"/>
        </w:rPr>
        <w:t>.</w:t>
      </w:r>
      <w:r w:rsidR="0077553A" w:rsidRPr="00F77465">
        <w:rPr>
          <w:rFonts w:asciiTheme="minorHAnsi" w:hAnsiTheme="minorHAnsi"/>
        </w:rPr>
        <w:t xml:space="preserve"> </w:t>
      </w:r>
      <w:r w:rsidR="00F17CB4" w:rsidRPr="00F77465">
        <w:rPr>
          <w:rFonts w:asciiTheme="minorHAnsi" w:hAnsiTheme="minorHAnsi"/>
        </w:rPr>
        <w:t xml:space="preserve"> T</w:t>
      </w:r>
      <w:r w:rsidR="00420435" w:rsidRPr="00F77465">
        <w:rPr>
          <w:rFonts w:asciiTheme="minorHAnsi" w:hAnsiTheme="minorHAnsi"/>
        </w:rPr>
        <w:t>h</w:t>
      </w:r>
      <w:r w:rsidR="00DA77A2" w:rsidRPr="00F77465">
        <w:rPr>
          <w:rFonts w:asciiTheme="minorHAnsi" w:hAnsiTheme="minorHAnsi"/>
        </w:rPr>
        <w:t>ese</w:t>
      </w:r>
      <w:r w:rsidR="00420435" w:rsidRPr="00F77465">
        <w:rPr>
          <w:rFonts w:asciiTheme="minorHAnsi" w:hAnsiTheme="minorHAnsi"/>
        </w:rPr>
        <w:t xml:space="preserve"> include fatigue management, breathlessness management, mindfulness, sleep hygiene, food first advice and dietetic reviews, deconditioning prevention and so on.</w:t>
      </w:r>
    </w:p>
    <w:p w14:paraId="3A5F24AB" w14:textId="77777777" w:rsidR="00F77465" w:rsidRDefault="00F77465" w:rsidP="00F77465">
      <w:pPr>
        <w:spacing w:line="360" w:lineRule="auto"/>
        <w:rPr>
          <w:rFonts w:asciiTheme="minorHAnsi" w:hAnsiTheme="minorHAnsi"/>
        </w:rPr>
      </w:pPr>
    </w:p>
    <w:p w14:paraId="1A0CFD90" w14:textId="619C0B02" w:rsidR="004D012B" w:rsidRPr="00F77465" w:rsidRDefault="00E725CB" w:rsidP="00F77465">
      <w:pPr>
        <w:spacing w:line="360" w:lineRule="auto"/>
        <w:rPr>
          <w:rFonts w:asciiTheme="minorHAnsi" w:hAnsiTheme="minorHAnsi"/>
        </w:rPr>
      </w:pPr>
      <w:r w:rsidRPr="00F77465">
        <w:rPr>
          <w:rFonts w:asciiTheme="minorHAnsi" w:hAnsiTheme="minorHAnsi"/>
        </w:rPr>
        <w:t xml:space="preserve">This case study will be looking at the role of the TAP working within the </w:t>
      </w:r>
      <w:r w:rsidR="00420435" w:rsidRPr="00F77465">
        <w:rPr>
          <w:rFonts w:asciiTheme="minorHAnsi" w:hAnsiTheme="minorHAnsi"/>
        </w:rPr>
        <w:t>AOS</w:t>
      </w:r>
      <w:r w:rsidRPr="00F77465">
        <w:rPr>
          <w:rFonts w:asciiTheme="minorHAnsi" w:hAnsiTheme="minorHAnsi"/>
        </w:rPr>
        <w:t xml:space="preserve"> based in a District General Hospital.  The case example will be focusing on a man who was admitted to hospital after a fall, left sided weakness</w:t>
      </w:r>
      <w:r w:rsidR="006D2BF8" w:rsidRPr="00F77465">
        <w:rPr>
          <w:rFonts w:asciiTheme="minorHAnsi" w:hAnsiTheme="minorHAnsi"/>
        </w:rPr>
        <w:t>,</w:t>
      </w:r>
      <w:r w:rsidRPr="00F77465">
        <w:rPr>
          <w:rFonts w:asciiTheme="minorHAnsi" w:hAnsiTheme="minorHAnsi"/>
        </w:rPr>
        <w:t xml:space="preserve"> slurred speech</w:t>
      </w:r>
      <w:r w:rsidR="003D210A" w:rsidRPr="00F77465">
        <w:rPr>
          <w:rFonts w:asciiTheme="minorHAnsi" w:hAnsiTheme="minorHAnsi"/>
        </w:rPr>
        <w:t xml:space="preserve"> and fatigue</w:t>
      </w:r>
      <w:r w:rsidRPr="00F77465">
        <w:rPr>
          <w:rFonts w:asciiTheme="minorHAnsi" w:hAnsiTheme="minorHAnsi"/>
        </w:rPr>
        <w:t xml:space="preserve">.  The case example will be given pseudo name of Luke to maintain patient confidentiality.  </w:t>
      </w:r>
    </w:p>
    <w:p w14:paraId="7C0186C4" w14:textId="77777777" w:rsidR="00F77465" w:rsidRDefault="00F77465" w:rsidP="00F77465">
      <w:pPr>
        <w:spacing w:line="360" w:lineRule="auto"/>
        <w:rPr>
          <w:rFonts w:asciiTheme="minorHAnsi" w:hAnsiTheme="minorHAnsi"/>
        </w:rPr>
      </w:pPr>
    </w:p>
    <w:p w14:paraId="49167B04" w14:textId="3E3E6DA7" w:rsidR="004D012B" w:rsidRPr="00F77465" w:rsidRDefault="00E725CB" w:rsidP="00F77465">
      <w:pPr>
        <w:spacing w:line="360" w:lineRule="auto"/>
        <w:rPr>
          <w:rFonts w:asciiTheme="minorHAnsi" w:hAnsiTheme="minorHAnsi"/>
        </w:rPr>
      </w:pPr>
      <w:r w:rsidRPr="00F77465">
        <w:rPr>
          <w:rFonts w:asciiTheme="minorHAnsi" w:hAnsiTheme="minorHAnsi"/>
        </w:rPr>
        <w:t xml:space="preserve">Luke </w:t>
      </w:r>
      <w:r w:rsidR="00BA3E06" w:rsidRPr="00F77465">
        <w:rPr>
          <w:rFonts w:asciiTheme="minorHAnsi" w:hAnsiTheme="minorHAnsi"/>
        </w:rPr>
        <w:t xml:space="preserve">is a </w:t>
      </w:r>
      <w:r w:rsidR="00C826CA" w:rsidRPr="00F77465">
        <w:rPr>
          <w:rFonts w:asciiTheme="minorHAnsi" w:hAnsiTheme="minorHAnsi"/>
        </w:rPr>
        <w:t>42-year-old</w:t>
      </w:r>
      <w:r w:rsidR="003E4A69" w:rsidRPr="00F77465">
        <w:rPr>
          <w:rFonts w:asciiTheme="minorHAnsi" w:hAnsiTheme="minorHAnsi"/>
        </w:rPr>
        <w:t xml:space="preserve"> male, who has a previous diagnosis of a </w:t>
      </w:r>
      <w:r w:rsidR="00AB350C" w:rsidRPr="00F77465">
        <w:rPr>
          <w:rFonts w:asciiTheme="minorHAnsi" w:hAnsiTheme="minorHAnsi"/>
        </w:rPr>
        <w:t xml:space="preserve">Progressive Oligoastrocytoma Grade II/III.  </w:t>
      </w:r>
      <w:r w:rsidR="007E2FB5" w:rsidRPr="00F77465">
        <w:rPr>
          <w:rFonts w:asciiTheme="minorHAnsi" w:hAnsiTheme="minorHAnsi"/>
        </w:rPr>
        <w:t>He</w:t>
      </w:r>
      <w:r w:rsidR="00AB350C" w:rsidRPr="00F77465">
        <w:rPr>
          <w:rFonts w:asciiTheme="minorHAnsi" w:hAnsiTheme="minorHAnsi"/>
        </w:rPr>
        <w:t xml:space="preserve"> has undergone debulking surgery and been treated with radiotherapy and</w:t>
      </w:r>
      <w:r w:rsidR="007E2FB5" w:rsidRPr="00F77465">
        <w:rPr>
          <w:rFonts w:asciiTheme="minorHAnsi" w:hAnsiTheme="minorHAnsi"/>
        </w:rPr>
        <w:t xml:space="preserve"> </w:t>
      </w:r>
      <w:r w:rsidR="00AB350C" w:rsidRPr="00F77465">
        <w:rPr>
          <w:rFonts w:asciiTheme="minorHAnsi" w:hAnsiTheme="minorHAnsi"/>
        </w:rPr>
        <w:t>chemotherapy</w:t>
      </w:r>
      <w:r w:rsidR="003E2592" w:rsidRPr="00F77465">
        <w:rPr>
          <w:rFonts w:asciiTheme="minorHAnsi" w:hAnsiTheme="minorHAnsi"/>
        </w:rPr>
        <w:t xml:space="preserve"> over the last 2-3 years</w:t>
      </w:r>
      <w:r w:rsidR="00AB350C" w:rsidRPr="00F77465">
        <w:rPr>
          <w:rFonts w:asciiTheme="minorHAnsi" w:hAnsiTheme="minorHAnsi"/>
        </w:rPr>
        <w:t xml:space="preserve">. </w:t>
      </w:r>
      <w:r w:rsidR="00F4785B" w:rsidRPr="00F77465">
        <w:rPr>
          <w:rFonts w:asciiTheme="minorHAnsi" w:hAnsiTheme="minorHAnsi"/>
        </w:rPr>
        <w:t xml:space="preserve"> </w:t>
      </w:r>
      <w:r w:rsidR="007E2FB5" w:rsidRPr="00F77465">
        <w:rPr>
          <w:rFonts w:asciiTheme="minorHAnsi" w:hAnsiTheme="minorHAnsi"/>
        </w:rPr>
        <w:t>He</w:t>
      </w:r>
      <w:r w:rsidR="00F4785B" w:rsidRPr="00F77465">
        <w:rPr>
          <w:rFonts w:asciiTheme="minorHAnsi" w:hAnsiTheme="minorHAnsi"/>
        </w:rPr>
        <w:t xml:space="preserve"> ha</w:t>
      </w:r>
      <w:r w:rsidR="000B2130" w:rsidRPr="00F77465">
        <w:rPr>
          <w:rFonts w:asciiTheme="minorHAnsi" w:hAnsiTheme="minorHAnsi"/>
        </w:rPr>
        <w:t>s</w:t>
      </w:r>
      <w:r w:rsidR="00F4785B" w:rsidRPr="00F77465">
        <w:rPr>
          <w:rFonts w:asciiTheme="minorHAnsi" w:hAnsiTheme="minorHAnsi"/>
        </w:rPr>
        <w:t xml:space="preserve"> a history of</w:t>
      </w:r>
      <w:r w:rsidR="00AB350C" w:rsidRPr="00F77465">
        <w:rPr>
          <w:rFonts w:asciiTheme="minorHAnsi" w:hAnsiTheme="minorHAnsi"/>
        </w:rPr>
        <w:t xml:space="preserve"> seizures,</w:t>
      </w:r>
      <w:r w:rsidR="00F4785B" w:rsidRPr="00F77465">
        <w:rPr>
          <w:rFonts w:asciiTheme="minorHAnsi" w:hAnsiTheme="minorHAnsi"/>
        </w:rPr>
        <w:t xml:space="preserve"> hypertension and has recent</w:t>
      </w:r>
      <w:r w:rsidR="007E2FB5" w:rsidRPr="00F77465">
        <w:rPr>
          <w:rFonts w:asciiTheme="minorHAnsi" w:hAnsiTheme="minorHAnsi"/>
        </w:rPr>
        <w:t xml:space="preserve"> worsening symptoms, including left sided weakness, slurred speech, </w:t>
      </w:r>
      <w:r w:rsidR="00F657F8" w:rsidRPr="00F77465">
        <w:rPr>
          <w:rFonts w:asciiTheme="minorHAnsi" w:hAnsiTheme="minorHAnsi"/>
        </w:rPr>
        <w:t xml:space="preserve">fatigue, </w:t>
      </w:r>
      <w:r w:rsidR="007E2FB5" w:rsidRPr="00F77465">
        <w:rPr>
          <w:rFonts w:asciiTheme="minorHAnsi" w:hAnsiTheme="minorHAnsi"/>
        </w:rPr>
        <w:t xml:space="preserve">balance issues and frequent falls.  </w:t>
      </w:r>
    </w:p>
    <w:p w14:paraId="12E1F195" w14:textId="7E7A2FED" w:rsidR="004D012B" w:rsidRPr="00F77465" w:rsidRDefault="007E2FB5" w:rsidP="00F77465">
      <w:pPr>
        <w:spacing w:line="360" w:lineRule="auto"/>
        <w:rPr>
          <w:rFonts w:asciiTheme="minorHAnsi" w:hAnsiTheme="minorHAnsi"/>
        </w:rPr>
      </w:pPr>
      <w:r w:rsidRPr="00F77465">
        <w:rPr>
          <w:rFonts w:asciiTheme="minorHAnsi" w:hAnsiTheme="minorHAnsi"/>
        </w:rPr>
        <w:t>Despite undergoing treatment, it appears his condition is progressing raising safety concerns at home.  Psychologically, Luke exhibits some distress</w:t>
      </w:r>
      <w:r w:rsidR="003E2592" w:rsidRPr="00F77465">
        <w:rPr>
          <w:rFonts w:asciiTheme="minorHAnsi" w:hAnsiTheme="minorHAnsi"/>
        </w:rPr>
        <w:t xml:space="preserve"> and frustration</w:t>
      </w:r>
      <w:r w:rsidRPr="00F77465">
        <w:rPr>
          <w:rFonts w:asciiTheme="minorHAnsi" w:hAnsiTheme="minorHAnsi"/>
        </w:rPr>
        <w:t xml:space="preserve"> due to his declining independence and communication difficulties.  His family is actively involved in supporting </w:t>
      </w:r>
      <w:r w:rsidR="003E2592" w:rsidRPr="00F77465">
        <w:rPr>
          <w:rFonts w:asciiTheme="minorHAnsi" w:hAnsiTheme="minorHAnsi"/>
        </w:rPr>
        <w:t xml:space="preserve">and caring for </w:t>
      </w:r>
      <w:r w:rsidRPr="00F77465">
        <w:rPr>
          <w:rFonts w:asciiTheme="minorHAnsi" w:hAnsiTheme="minorHAnsi"/>
        </w:rPr>
        <w:t xml:space="preserve">Luke; </w:t>
      </w:r>
      <w:r w:rsidR="004E1B86" w:rsidRPr="00F77465">
        <w:rPr>
          <w:rFonts w:asciiTheme="minorHAnsi" w:hAnsiTheme="minorHAnsi"/>
        </w:rPr>
        <w:t>however,</w:t>
      </w:r>
      <w:r w:rsidRPr="00F77465">
        <w:rPr>
          <w:rFonts w:asciiTheme="minorHAnsi" w:hAnsiTheme="minorHAnsi"/>
        </w:rPr>
        <w:t xml:space="preserve"> they are concerned about his mobility, </w:t>
      </w:r>
      <w:r w:rsidR="003E2592" w:rsidRPr="00F77465">
        <w:rPr>
          <w:rFonts w:asciiTheme="minorHAnsi" w:hAnsiTheme="minorHAnsi"/>
        </w:rPr>
        <w:t xml:space="preserve">change in cognition, </w:t>
      </w:r>
      <w:r w:rsidR="00927173" w:rsidRPr="00F77465">
        <w:rPr>
          <w:rFonts w:asciiTheme="minorHAnsi" w:hAnsiTheme="minorHAnsi"/>
        </w:rPr>
        <w:t xml:space="preserve">significant fatigue levels, </w:t>
      </w:r>
      <w:r w:rsidR="003E2592" w:rsidRPr="00F77465">
        <w:rPr>
          <w:rFonts w:asciiTheme="minorHAnsi" w:hAnsiTheme="minorHAnsi"/>
        </w:rPr>
        <w:t xml:space="preserve">and </w:t>
      </w:r>
      <w:r w:rsidRPr="00F77465">
        <w:rPr>
          <w:rFonts w:asciiTheme="minorHAnsi" w:hAnsiTheme="minorHAnsi"/>
        </w:rPr>
        <w:t xml:space="preserve">reduced appetite which indicate a potential overall decline in his health and wellbeing. </w:t>
      </w:r>
    </w:p>
    <w:p w14:paraId="1DB8310C" w14:textId="77777777" w:rsidR="00F77465" w:rsidRDefault="00F77465" w:rsidP="00F77465">
      <w:pPr>
        <w:spacing w:line="360" w:lineRule="auto"/>
        <w:rPr>
          <w:rFonts w:asciiTheme="minorHAnsi" w:hAnsiTheme="minorHAnsi"/>
        </w:rPr>
      </w:pPr>
    </w:p>
    <w:p w14:paraId="60C7E1E5" w14:textId="786A3675" w:rsidR="0024533E" w:rsidRPr="00F77465" w:rsidRDefault="008E50F2" w:rsidP="00F77465">
      <w:pPr>
        <w:spacing w:line="360" w:lineRule="auto"/>
        <w:rPr>
          <w:rFonts w:asciiTheme="minorHAnsi" w:hAnsiTheme="minorHAnsi"/>
        </w:rPr>
      </w:pPr>
      <w:r w:rsidRPr="00F77465">
        <w:rPr>
          <w:rFonts w:asciiTheme="minorHAnsi" w:hAnsiTheme="minorHAnsi"/>
        </w:rPr>
        <w:t xml:space="preserve">As noted above, a diagnosis of oligoastrocytoma can have a profound impact on a </w:t>
      </w:r>
      <w:r w:rsidR="003E2592" w:rsidRPr="00F77465">
        <w:rPr>
          <w:rFonts w:asciiTheme="minorHAnsi" w:hAnsiTheme="minorHAnsi"/>
        </w:rPr>
        <w:t>patient</w:t>
      </w:r>
      <w:r w:rsidR="00FF54E9" w:rsidRPr="00F77465">
        <w:rPr>
          <w:rFonts w:asciiTheme="minorHAnsi" w:hAnsiTheme="minorHAnsi"/>
        </w:rPr>
        <w:t xml:space="preserve">’s </w:t>
      </w:r>
      <w:r w:rsidR="003E2592" w:rsidRPr="00F77465">
        <w:rPr>
          <w:rFonts w:asciiTheme="minorHAnsi" w:hAnsiTheme="minorHAnsi"/>
        </w:rPr>
        <w:t xml:space="preserve">life.  As the cancer progresses, it </w:t>
      </w:r>
      <w:r w:rsidR="003E2592" w:rsidRPr="00623470">
        <w:rPr>
          <w:rFonts w:asciiTheme="minorHAnsi" w:hAnsiTheme="minorHAnsi"/>
        </w:rPr>
        <w:t>can</w:t>
      </w:r>
      <w:r w:rsidR="003E2592" w:rsidRPr="00F77465">
        <w:rPr>
          <w:rFonts w:asciiTheme="minorHAnsi" w:hAnsiTheme="minorHAnsi"/>
        </w:rPr>
        <w:t xml:space="preserve"> impair cognitive and motor functions, depending on its location in the brain.  Luke has received treatment which have produced their own side effects such as fatigue, cognitive decline, and emotional distress all of which Luke and his family have disclosed over time have exacerbated the symptoms of the disease.  </w:t>
      </w:r>
      <w:r w:rsidR="006C5554" w:rsidRPr="00F77465">
        <w:rPr>
          <w:rFonts w:asciiTheme="minorHAnsi" w:hAnsiTheme="minorHAnsi"/>
        </w:rPr>
        <w:t>Fatigue has been identified as a core symptom for patients experiencing cancer</w:t>
      </w:r>
      <w:r w:rsidR="00DC11DC" w:rsidRPr="00F77465">
        <w:rPr>
          <w:rFonts w:asciiTheme="minorHAnsi" w:hAnsiTheme="minorHAnsi"/>
        </w:rPr>
        <w:t xml:space="preserve"> (Campbell </w:t>
      </w:r>
      <w:r w:rsidR="00DC11DC" w:rsidRPr="00F77465">
        <w:rPr>
          <w:rFonts w:asciiTheme="minorHAnsi" w:hAnsiTheme="minorHAnsi"/>
          <w:i/>
          <w:iCs/>
        </w:rPr>
        <w:t>et al</w:t>
      </w:r>
      <w:r w:rsidR="00DC11DC" w:rsidRPr="00F77465">
        <w:rPr>
          <w:rFonts w:asciiTheme="minorHAnsi" w:hAnsiTheme="minorHAnsi"/>
        </w:rPr>
        <w:t>, 2024)</w:t>
      </w:r>
      <w:r w:rsidR="006C5554" w:rsidRPr="00F77465">
        <w:rPr>
          <w:rFonts w:asciiTheme="minorHAnsi" w:hAnsiTheme="minorHAnsi"/>
        </w:rPr>
        <w:t xml:space="preserve"> with it being the most prevalent </w:t>
      </w:r>
      <w:r w:rsidR="00DC11DC" w:rsidRPr="00F77465">
        <w:rPr>
          <w:rFonts w:asciiTheme="minorHAnsi" w:hAnsiTheme="minorHAnsi"/>
        </w:rPr>
        <w:t xml:space="preserve">and distressing </w:t>
      </w:r>
      <w:r w:rsidR="006C5554" w:rsidRPr="00F77465">
        <w:rPr>
          <w:rFonts w:asciiTheme="minorHAnsi" w:hAnsiTheme="minorHAnsi"/>
        </w:rPr>
        <w:t xml:space="preserve">symptom amongst patients in research conducted by Fox </w:t>
      </w:r>
      <w:r w:rsidR="006C5554" w:rsidRPr="00F77465">
        <w:rPr>
          <w:rFonts w:asciiTheme="minorHAnsi" w:hAnsiTheme="minorHAnsi"/>
          <w:i/>
          <w:iCs/>
        </w:rPr>
        <w:t>et al,</w:t>
      </w:r>
      <w:r w:rsidR="006C5554" w:rsidRPr="00F77465">
        <w:rPr>
          <w:rFonts w:asciiTheme="minorHAnsi" w:hAnsiTheme="minorHAnsi"/>
        </w:rPr>
        <w:t xml:space="preserve"> (2024) regardless of treatment status.</w:t>
      </w:r>
    </w:p>
    <w:p w14:paraId="55855DBE" w14:textId="77777777" w:rsidR="00F77465" w:rsidRDefault="00F77465" w:rsidP="00F77465">
      <w:pPr>
        <w:spacing w:line="360" w:lineRule="auto"/>
        <w:rPr>
          <w:rFonts w:asciiTheme="minorHAnsi" w:hAnsiTheme="minorHAnsi"/>
        </w:rPr>
      </w:pPr>
    </w:p>
    <w:p w14:paraId="1F5CFD34" w14:textId="0E40583A" w:rsidR="004D012B" w:rsidRPr="00F77465" w:rsidRDefault="00855169" w:rsidP="00F77465">
      <w:pPr>
        <w:spacing w:line="360" w:lineRule="auto"/>
        <w:rPr>
          <w:rFonts w:asciiTheme="minorHAnsi" w:hAnsiTheme="minorHAnsi"/>
        </w:rPr>
      </w:pPr>
      <w:r w:rsidRPr="00F77465">
        <w:rPr>
          <w:rFonts w:asciiTheme="minorHAnsi" w:hAnsiTheme="minorHAnsi"/>
        </w:rPr>
        <w:t>Oligoa</w:t>
      </w:r>
      <w:r w:rsidR="00F334C5" w:rsidRPr="00F77465">
        <w:rPr>
          <w:rFonts w:asciiTheme="minorHAnsi" w:hAnsiTheme="minorHAnsi"/>
        </w:rPr>
        <w:t xml:space="preserve">strocytoma is a type of </w:t>
      </w:r>
      <w:r w:rsidRPr="00F77465">
        <w:rPr>
          <w:rFonts w:asciiTheme="minorHAnsi" w:hAnsiTheme="minorHAnsi"/>
        </w:rPr>
        <w:t xml:space="preserve">brain tumour which has the features of both </w:t>
      </w:r>
      <w:r w:rsidR="006D5574" w:rsidRPr="00F77465">
        <w:rPr>
          <w:rFonts w:asciiTheme="minorHAnsi" w:hAnsiTheme="minorHAnsi"/>
        </w:rPr>
        <w:t>oligodendrogliomas,</w:t>
      </w:r>
      <w:r w:rsidRPr="00F77465">
        <w:rPr>
          <w:rFonts w:asciiTheme="minorHAnsi" w:hAnsiTheme="minorHAnsi"/>
        </w:rPr>
        <w:t xml:space="preserve"> </w:t>
      </w:r>
      <w:r w:rsidR="006D5574" w:rsidRPr="00F77465">
        <w:rPr>
          <w:rFonts w:asciiTheme="minorHAnsi" w:hAnsiTheme="minorHAnsi"/>
        </w:rPr>
        <w:t>and astrocytoma otherwise known as an unspecified or unknown glioma (Brain Tumour Charity, 2025</w:t>
      </w:r>
      <w:r w:rsidR="00AF2731" w:rsidRPr="00F77465">
        <w:rPr>
          <w:rFonts w:asciiTheme="minorHAnsi" w:hAnsiTheme="minorHAnsi"/>
        </w:rPr>
        <w:t>a</w:t>
      </w:r>
      <w:r w:rsidR="006D5574" w:rsidRPr="00F77465">
        <w:rPr>
          <w:rFonts w:asciiTheme="minorHAnsi" w:hAnsiTheme="minorHAnsi"/>
        </w:rPr>
        <w:t xml:space="preserve">).  </w:t>
      </w:r>
    </w:p>
    <w:p w14:paraId="4ADFF99B" w14:textId="2BFB9FE6" w:rsidR="004D012B" w:rsidRPr="00F77465" w:rsidRDefault="006D5574" w:rsidP="00F77465">
      <w:pPr>
        <w:spacing w:line="360" w:lineRule="auto"/>
        <w:rPr>
          <w:rFonts w:asciiTheme="minorHAnsi" w:hAnsiTheme="minorHAnsi"/>
        </w:rPr>
      </w:pPr>
      <w:r w:rsidRPr="00F77465">
        <w:rPr>
          <w:rFonts w:asciiTheme="minorHAnsi" w:hAnsiTheme="minorHAnsi"/>
        </w:rPr>
        <w:t>According to Cancer Research UK (2023) it d</w:t>
      </w:r>
      <w:r w:rsidR="003C7DE0" w:rsidRPr="00F77465">
        <w:rPr>
          <w:rFonts w:asciiTheme="minorHAnsi" w:hAnsiTheme="minorHAnsi"/>
        </w:rPr>
        <w:t>epend</w:t>
      </w:r>
      <w:r w:rsidRPr="00F77465">
        <w:rPr>
          <w:rFonts w:asciiTheme="minorHAnsi" w:hAnsiTheme="minorHAnsi"/>
        </w:rPr>
        <w:t>s</w:t>
      </w:r>
      <w:r w:rsidR="003C7DE0" w:rsidRPr="00F77465">
        <w:rPr>
          <w:rFonts w:asciiTheme="minorHAnsi" w:hAnsiTheme="minorHAnsi"/>
        </w:rPr>
        <w:t xml:space="preserve"> on the type of glioma</w:t>
      </w:r>
      <w:r w:rsidRPr="00F77465">
        <w:rPr>
          <w:rFonts w:asciiTheme="minorHAnsi" w:hAnsiTheme="minorHAnsi"/>
        </w:rPr>
        <w:t xml:space="preserve"> which</w:t>
      </w:r>
      <w:r w:rsidR="003C7DE0" w:rsidRPr="00F77465">
        <w:rPr>
          <w:rFonts w:asciiTheme="minorHAnsi" w:hAnsiTheme="minorHAnsi"/>
        </w:rPr>
        <w:t xml:space="preserve"> can determine how fast it can grow</w:t>
      </w:r>
      <w:r w:rsidRPr="00F77465">
        <w:rPr>
          <w:rFonts w:asciiTheme="minorHAnsi" w:hAnsiTheme="minorHAnsi"/>
        </w:rPr>
        <w:t xml:space="preserve">. </w:t>
      </w:r>
      <w:r w:rsidR="00855169" w:rsidRPr="00F77465">
        <w:rPr>
          <w:rFonts w:asciiTheme="minorHAnsi" w:hAnsiTheme="minorHAnsi"/>
        </w:rPr>
        <w:t xml:space="preserve"> </w:t>
      </w:r>
      <w:r w:rsidR="00BE40C8" w:rsidRPr="00F77465">
        <w:rPr>
          <w:rFonts w:asciiTheme="minorHAnsi" w:hAnsiTheme="minorHAnsi"/>
        </w:rPr>
        <w:t>It is typical of patients with a malignant glioma to be highly symptomatic</w:t>
      </w:r>
      <w:r w:rsidR="00353D2A" w:rsidRPr="00F77465">
        <w:rPr>
          <w:rFonts w:asciiTheme="minorHAnsi" w:hAnsiTheme="minorHAnsi"/>
        </w:rPr>
        <w:t xml:space="preserve"> and</w:t>
      </w:r>
      <w:r w:rsidR="00BE40C8" w:rsidRPr="00F77465">
        <w:rPr>
          <w:rFonts w:asciiTheme="minorHAnsi" w:hAnsiTheme="minorHAnsi"/>
        </w:rPr>
        <w:t xml:space="preserve"> can have significant impact </w:t>
      </w:r>
      <w:r w:rsidR="00DF5ABB" w:rsidRPr="00F77465">
        <w:rPr>
          <w:rFonts w:asciiTheme="minorHAnsi" w:hAnsiTheme="minorHAnsi"/>
        </w:rPr>
        <w:t xml:space="preserve">a </w:t>
      </w:r>
      <w:r w:rsidR="000623B1" w:rsidRPr="00F77465">
        <w:rPr>
          <w:rFonts w:asciiTheme="minorHAnsi" w:hAnsiTheme="minorHAnsi"/>
        </w:rPr>
        <w:t>patient’s</w:t>
      </w:r>
      <w:r w:rsidR="00DF5ABB" w:rsidRPr="00F77465">
        <w:rPr>
          <w:rFonts w:asciiTheme="minorHAnsi" w:hAnsiTheme="minorHAnsi"/>
        </w:rPr>
        <w:t xml:space="preserve"> functional limitations and these can frequently worsen as the disease progresses</w:t>
      </w:r>
      <w:r w:rsidR="00353D2A" w:rsidRPr="00F77465">
        <w:rPr>
          <w:rFonts w:asciiTheme="minorHAnsi" w:hAnsiTheme="minorHAnsi"/>
        </w:rPr>
        <w:t xml:space="preserve">, in turn </w:t>
      </w:r>
      <w:r w:rsidR="000623B1" w:rsidRPr="00F77465">
        <w:rPr>
          <w:rFonts w:asciiTheme="minorHAnsi" w:hAnsiTheme="minorHAnsi"/>
        </w:rPr>
        <w:t xml:space="preserve">have a considerable impact on quality of life (Armstrong </w:t>
      </w:r>
      <w:r w:rsidR="000623B1" w:rsidRPr="00F77465">
        <w:rPr>
          <w:rFonts w:asciiTheme="minorHAnsi" w:hAnsiTheme="minorHAnsi"/>
          <w:i/>
          <w:iCs/>
        </w:rPr>
        <w:t>et al,</w:t>
      </w:r>
      <w:r w:rsidR="000623B1" w:rsidRPr="00F77465">
        <w:rPr>
          <w:rFonts w:asciiTheme="minorHAnsi" w:hAnsiTheme="minorHAnsi"/>
        </w:rPr>
        <w:t xml:space="preserve"> 2016).</w:t>
      </w:r>
      <w:r w:rsidR="0064244C" w:rsidRPr="00F77465">
        <w:rPr>
          <w:rFonts w:asciiTheme="minorHAnsi" w:hAnsiTheme="minorHAnsi"/>
        </w:rPr>
        <w:t xml:space="preserve">  This </w:t>
      </w:r>
      <w:r w:rsidR="0064244C" w:rsidRPr="00F77465">
        <w:rPr>
          <w:rFonts w:asciiTheme="minorHAnsi" w:hAnsiTheme="minorHAnsi"/>
        </w:rPr>
        <w:lastRenderedPageBreak/>
        <w:t xml:space="preserve">is further supported by Frances </w:t>
      </w:r>
      <w:r w:rsidR="0064244C" w:rsidRPr="00F77465">
        <w:rPr>
          <w:rFonts w:asciiTheme="minorHAnsi" w:hAnsiTheme="minorHAnsi"/>
          <w:i/>
          <w:iCs/>
        </w:rPr>
        <w:t>et al</w:t>
      </w:r>
      <w:r w:rsidR="0064244C" w:rsidRPr="00F77465">
        <w:rPr>
          <w:rFonts w:asciiTheme="minorHAnsi" w:hAnsiTheme="minorHAnsi"/>
        </w:rPr>
        <w:t xml:space="preserve">, (2022) who highlighted that the diagnosis and treatment of glioma can have implications for the long-term quality of life for patient. </w:t>
      </w:r>
    </w:p>
    <w:p w14:paraId="65385A85" w14:textId="77777777" w:rsidR="0077553A" w:rsidRPr="00F77465" w:rsidRDefault="0077553A" w:rsidP="00F77465">
      <w:pPr>
        <w:spacing w:line="360" w:lineRule="auto"/>
        <w:rPr>
          <w:rFonts w:asciiTheme="minorHAnsi" w:hAnsiTheme="minorHAnsi"/>
        </w:rPr>
      </w:pPr>
    </w:p>
    <w:p w14:paraId="4360B94E" w14:textId="0FF3FD91" w:rsidR="004D012B" w:rsidRPr="00F77465" w:rsidRDefault="003353FA" w:rsidP="00F77465">
      <w:pPr>
        <w:spacing w:line="360" w:lineRule="auto"/>
        <w:rPr>
          <w:rFonts w:asciiTheme="minorHAnsi" w:eastAsia="Calibri" w:hAnsiTheme="minorHAnsi"/>
          <w:b/>
          <w:bCs/>
        </w:rPr>
      </w:pPr>
      <w:r w:rsidRPr="00F77465">
        <w:rPr>
          <w:rFonts w:asciiTheme="minorHAnsi" w:eastAsia="Calibri" w:hAnsiTheme="minorHAnsi"/>
          <w:b/>
          <w:bCs/>
        </w:rPr>
        <w:t xml:space="preserve">Overview of Condition </w:t>
      </w:r>
    </w:p>
    <w:p w14:paraId="76513438" w14:textId="272BB969" w:rsidR="00F005E6" w:rsidRPr="00F77465" w:rsidRDefault="00F005E6" w:rsidP="00F77465">
      <w:pPr>
        <w:spacing w:line="360" w:lineRule="auto"/>
        <w:rPr>
          <w:rFonts w:asciiTheme="minorHAnsi" w:hAnsiTheme="minorHAnsi"/>
        </w:rPr>
      </w:pPr>
      <w:r w:rsidRPr="00F77465">
        <w:rPr>
          <w:rFonts w:asciiTheme="minorHAnsi" w:hAnsiTheme="minorHAnsi"/>
        </w:rPr>
        <w:t xml:space="preserve">Between 2017 and 2019, there were 12,746 new cases of brain, </w:t>
      </w:r>
      <w:r w:rsidR="00F17CB4" w:rsidRPr="00F77465">
        <w:rPr>
          <w:rFonts w:asciiTheme="minorHAnsi" w:hAnsiTheme="minorHAnsi"/>
        </w:rPr>
        <w:t>central nervous system</w:t>
      </w:r>
      <w:r w:rsidRPr="00F77465">
        <w:rPr>
          <w:rFonts w:asciiTheme="minorHAnsi" w:hAnsiTheme="minorHAnsi"/>
        </w:rPr>
        <w:t xml:space="preserve"> and intracranial tumours in the UK, making it the 11</w:t>
      </w:r>
      <w:r w:rsidRPr="00F77465">
        <w:rPr>
          <w:rFonts w:asciiTheme="minorHAnsi" w:hAnsiTheme="minorHAnsi"/>
          <w:vertAlign w:val="superscript"/>
        </w:rPr>
        <w:t>th</w:t>
      </w:r>
      <w:r w:rsidRPr="00F77465">
        <w:rPr>
          <w:rFonts w:asciiTheme="minorHAnsi" w:hAnsiTheme="minorHAnsi"/>
        </w:rPr>
        <w:t xml:space="preserve"> most common cancer in males, with around 6100 cases annually – 335 in Wales.  Incidence rates have risen by 24% since the early 2000s.  Survival remains low, with only 12% of adults living beyond five years post-diagnosis (Cancer Research UK, 2024; The Brain Tumour Charity, 2025b).</w:t>
      </w:r>
    </w:p>
    <w:p w14:paraId="39FF327A" w14:textId="77777777" w:rsidR="00F77465" w:rsidRDefault="00F77465" w:rsidP="00F77465">
      <w:pPr>
        <w:spacing w:line="360" w:lineRule="auto"/>
        <w:rPr>
          <w:rFonts w:asciiTheme="minorHAnsi" w:hAnsiTheme="minorHAnsi"/>
        </w:rPr>
      </w:pPr>
    </w:p>
    <w:p w14:paraId="1D6D0782" w14:textId="2AF2A70C" w:rsidR="00930250" w:rsidRPr="00F77465" w:rsidRDefault="00930250" w:rsidP="00F77465">
      <w:pPr>
        <w:spacing w:line="360" w:lineRule="auto"/>
        <w:rPr>
          <w:rFonts w:asciiTheme="minorHAnsi" w:hAnsiTheme="minorHAnsi"/>
        </w:rPr>
      </w:pPr>
      <w:r w:rsidRPr="00F77465">
        <w:rPr>
          <w:rFonts w:asciiTheme="minorHAnsi" w:hAnsiTheme="minorHAnsi"/>
        </w:rPr>
        <w:t xml:space="preserve">A brain tumour diagnosis significantly affects both patients and caregivers, impacting quality of life due to disease progression, treatment side effects, and high morbidity and mortality (Lerner </w:t>
      </w:r>
      <w:r w:rsidRPr="00F77465">
        <w:rPr>
          <w:rFonts w:asciiTheme="minorHAnsi" w:hAnsiTheme="minorHAnsi"/>
          <w:i/>
          <w:iCs/>
        </w:rPr>
        <w:t>et al</w:t>
      </w:r>
      <w:r w:rsidRPr="00F77465">
        <w:rPr>
          <w:rFonts w:asciiTheme="minorHAnsi" w:hAnsiTheme="minorHAnsi"/>
        </w:rPr>
        <w:t xml:space="preserve">, 2024; Sage </w:t>
      </w:r>
      <w:r w:rsidRPr="00F77465">
        <w:rPr>
          <w:rFonts w:asciiTheme="minorHAnsi" w:hAnsiTheme="minorHAnsi"/>
          <w:i/>
          <w:iCs/>
        </w:rPr>
        <w:t>et al,</w:t>
      </w:r>
      <w:r w:rsidRPr="00F77465">
        <w:rPr>
          <w:rFonts w:asciiTheme="minorHAnsi" w:hAnsiTheme="minorHAnsi"/>
        </w:rPr>
        <w:t xml:space="preserve"> 2019).  Neurological deficits, such as speech, vision, and cognitive issues can be accompanied by emotional and financial stress which can cause uncertainty (Sage </w:t>
      </w:r>
      <w:r w:rsidRPr="00F77465">
        <w:rPr>
          <w:rFonts w:asciiTheme="minorHAnsi" w:hAnsiTheme="minorHAnsi"/>
          <w:i/>
          <w:iCs/>
        </w:rPr>
        <w:t>et al,</w:t>
      </w:r>
      <w:r w:rsidRPr="00F77465">
        <w:rPr>
          <w:rFonts w:asciiTheme="minorHAnsi" w:hAnsiTheme="minorHAnsi"/>
        </w:rPr>
        <w:t xml:space="preserve"> 2019).  Patients often report poor support from general practice, including delays in referrals and lack of inclusion of family members (Fr</w:t>
      </w:r>
      <w:r w:rsidR="008E1896" w:rsidRPr="00F77465">
        <w:rPr>
          <w:rFonts w:asciiTheme="minorHAnsi" w:hAnsiTheme="minorHAnsi"/>
        </w:rPr>
        <w:t>o</w:t>
      </w:r>
      <w:r w:rsidRPr="00F77465">
        <w:rPr>
          <w:rFonts w:asciiTheme="minorHAnsi" w:hAnsiTheme="minorHAnsi"/>
        </w:rPr>
        <w:t>ulob and Davis, 20</w:t>
      </w:r>
      <w:r w:rsidR="00E76FD7" w:rsidRPr="00F77465">
        <w:rPr>
          <w:rFonts w:asciiTheme="minorHAnsi" w:hAnsiTheme="minorHAnsi"/>
        </w:rPr>
        <w:t>20</w:t>
      </w:r>
      <w:r w:rsidRPr="00F77465">
        <w:rPr>
          <w:rFonts w:asciiTheme="minorHAnsi" w:hAnsiTheme="minorHAnsi"/>
        </w:rPr>
        <w:t>).  Within Wales, the Rapid Diagnostic C</w:t>
      </w:r>
      <w:r w:rsidR="00E40457" w:rsidRPr="00F77465">
        <w:rPr>
          <w:rFonts w:asciiTheme="minorHAnsi" w:hAnsiTheme="minorHAnsi"/>
        </w:rPr>
        <w:t>linics</w:t>
      </w:r>
      <w:r w:rsidRPr="00F77465">
        <w:rPr>
          <w:rFonts w:asciiTheme="minorHAnsi" w:hAnsiTheme="minorHAnsi"/>
        </w:rPr>
        <w:t xml:space="preserve"> (RDCs) were introduced in 2020, following successful trials in two health boards from 2017 (Wales Cancer Network 2023).  These centres enable general practitioners (GPs) to refer patients with vague cancer symptoms quickly and patient feedback acknowledged positive and effective communication, respect and emotional support (Wales Cancer Network, 2023, see Appendix </w:t>
      </w:r>
      <w:r w:rsidR="00BD2261" w:rsidRPr="00F77465">
        <w:rPr>
          <w:rFonts w:asciiTheme="minorHAnsi" w:hAnsiTheme="minorHAnsi"/>
        </w:rPr>
        <w:t>A</w:t>
      </w:r>
      <w:r w:rsidRPr="00F77465">
        <w:rPr>
          <w:rFonts w:asciiTheme="minorHAnsi" w:hAnsiTheme="minorHAnsi"/>
        </w:rPr>
        <w:t>).</w:t>
      </w:r>
    </w:p>
    <w:p w14:paraId="4B58DBBC" w14:textId="77777777" w:rsidR="00F77465" w:rsidRDefault="00F77465" w:rsidP="00F77465">
      <w:pPr>
        <w:spacing w:line="360" w:lineRule="auto"/>
        <w:rPr>
          <w:rFonts w:asciiTheme="minorHAnsi" w:hAnsiTheme="minorHAnsi"/>
        </w:rPr>
      </w:pPr>
    </w:p>
    <w:p w14:paraId="3E392652" w14:textId="0CA90606" w:rsidR="00525639" w:rsidRPr="00F77465" w:rsidRDefault="00525639" w:rsidP="00F77465">
      <w:pPr>
        <w:spacing w:line="360" w:lineRule="auto"/>
        <w:rPr>
          <w:rFonts w:asciiTheme="minorHAnsi" w:hAnsiTheme="minorHAnsi"/>
        </w:rPr>
      </w:pPr>
      <w:r w:rsidRPr="00F77465">
        <w:rPr>
          <w:rFonts w:asciiTheme="minorHAnsi" w:hAnsiTheme="minorHAnsi"/>
        </w:rPr>
        <w:t xml:space="preserve">Gliomas can have a significant impact on cognition, leading to various functional limitations.  As the disease progresses, patients can often experience a cognitive decline which can manifest as difficulty concentrating, memory loss and impaired decision making, mobility issues as well as such coordination, balance and spatial awareness (Tariq, Hussain and Baqai 2023).  Consequently, the risk of falls and injuries increases, further exacerbating mobility issues (Lamba, </w:t>
      </w:r>
      <w:r w:rsidRPr="00F77465">
        <w:rPr>
          <w:rFonts w:asciiTheme="minorHAnsi" w:hAnsiTheme="minorHAnsi"/>
          <w:i/>
          <w:iCs/>
        </w:rPr>
        <w:t>et al</w:t>
      </w:r>
      <w:r w:rsidRPr="00F77465">
        <w:rPr>
          <w:rFonts w:asciiTheme="minorHAnsi" w:hAnsiTheme="minorHAnsi"/>
        </w:rPr>
        <w:t>, 2022; Stone et al, 2012).</w:t>
      </w:r>
      <w:r w:rsidRPr="00F77465">
        <w:rPr>
          <w:rFonts w:asciiTheme="minorHAnsi" w:hAnsiTheme="minorHAnsi"/>
          <w:b/>
          <w:bCs/>
        </w:rPr>
        <w:t xml:space="preserve">  </w:t>
      </w:r>
      <w:r w:rsidRPr="00F77465">
        <w:rPr>
          <w:rFonts w:asciiTheme="minorHAnsi" w:hAnsiTheme="minorHAnsi"/>
        </w:rPr>
        <w:t xml:space="preserve">Additionally, the decline can lead to frailty, this combination of cognitive decline, impaired mobility, and increased frailty can severely impact quality of life (Heinzel </w:t>
      </w:r>
      <w:r w:rsidRPr="00F77465">
        <w:rPr>
          <w:rFonts w:asciiTheme="minorHAnsi" w:hAnsiTheme="minorHAnsi"/>
          <w:i/>
          <w:iCs/>
        </w:rPr>
        <w:t>et al</w:t>
      </w:r>
      <w:r w:rsidRPr="00F77465">
        <w:rPr>
          <w:rFonts w:asciiTheme="minorHAnsi" w:hAnsiTheme="minorHAnsi"/>
        </w:rPr>
        <w:t xml:space="preserve">, 2023).  However, as highlighted by research conducted by Piil, Juhler, Jakobsen, and Jardin, (2016) found evidence that patients with high grade gliomas alongside their caregivers benefit from cognitive, physical and psychosocial support.  </w:t>
      </w:r>
    </w:p>
    <w:p w14:paraId="70A1DD05" w14:textId="77777777" w:rsidR="00F77465" w:rsidRDefault="00F77465" w:rsidP="00F77465">
      <w:pPr>
        <w:spacing w:line="360" w:lineRule="auto"/>
        <w:rPr>
          <w:rFonts w:asciiTheme="minorHAnsi" w:hAnsiTheme="minorHAnsi"/>
        </w:rPr>
      </w:pPr>
    </w:p>
    <w:p w14:paraId="2BD02780" w14:textId="0EF88F65" w:rsidR="00D36501" w:rsidRPr="00F77465" w:rsidRDefault="00B725B3" w:rsidP="00F77465">
      <w:pPr>
        <w:spacing w:line="360" w:lineRule="auto"/>
        <w:rPr>
          <w:rFonts w:asciiTheme="minorHAnsi" w:hAnsiTheme="minorHAnsi"/>
        </w:rPr>
      </w:pPr>
      <w:r w:rsidRPr="00F77465">
        <w:rPr>
          <w:rFonts w:asciiTheme="minorHAnsi" w:hAnsiTheme="minorHAnsi"/>
        </w:rPr>
        <w:t>In addition, c</w:t>
      </w:r>
      <w:r w:rsidR="00D36501" w:rsidRPr="00F77465">
        <w:rPr>
          <w:rFonts w:asciiTheme="minorHAnsi" w:hAnsiTheme="minorHAnsi"/>
        </w:rPr>
        <w:t xml:space="preserve">ancer related fatigue </w:t>
      </w:r>
      <w:r w:rsidR="0023624D" w:rsidRPr="00F77465">
        <w:rPr>
          <w:rFonts w:asciiTheme="minorHAnsi" w:hAnsiTheme="minorHAnsi"/>
        </w:rPr>
        <w:t xml:space="preserve">(CRF) </w:t>
      </w:r>
      <w:r w:rsidR="00D36501" w:rsidRPr="00F77465">
        <w:rPr>
          <w:rFonts w:asciiTheme="minorHAnsi" w:hAnsiTheme="minorHAnsi"/>
        </w:rPr>
        <w:t xml:space="preserve">has been shown to significantly impair patients’ quality of life and functional abilities, leading to substantial distress for both individuals affected and their caregivers (Singh </w:t>
      </w:r>
      <w:r w:rsidR="00D36501" w:rsidRPr="00F77465">
        <w:rPr>
          <w:rFonts w:asciiTheme="minorHAnsi" w:hAnsiTheme="minorHAnsi"/>
          <w:i/>
          <w:iCs/>
        </w:rPr>
        <w:t>et al,</w:t>
      </w:r>
      <w:r w:rsidR="00D36501" w:rsidRPr="00F77465">
        <w:rPr>
          <w:rFonts w:asciiTheme="minorHAnsi" w:hAnsiTheme="minorHAnsi"/>
        </w:rPr>
        <w:t xml:space="preserve"> 2021).  Moreover, evidence indicates that both patients and caregivers are </w:t>
      </w:r>
      <w:r w:rsidR="00D36501" w:rsidRPr="00F77465">
        <w:rPr>
          <w:rFonts w:asciiTheme="minorHAnsi" w:hAnsiTheme="minorHAnsi"/>
        </w:rPr>
        <w:lastRenderedPageBreak/>
        <w:t xml:space="preserve">often unprepared for the prolonged nature of post treatment fatigue, which may persist well beyond the end of treatment (Campbell, </w:t>
      </w:r>
      <w:r w:rsidR="00D36501" w:rsidRPr="00F77465">
        <w:rPr>
          <w:rFonts w:asciiTheme="minorHAnsi" w:hAnsiTheme="minorHAnsi"/>
          <w:i/>
          <w:iCs/>
        </w:rPr>
        <w:t>et al,</w:t>
      </w:r>
      <w:r w:rsidR="00D36501" w:rsidRPr="00F77465">
        <w:rPr>
          <w:rFonts w:asciiTheme="minorHAnsi" w:hAnsiTheme="minorHAnsi"/>
        </w:rPr>
        <w:t xml:space="preserve"> 2024).  </w:t>
      </w:r>
    </w:p>
    <w:p w14:paraId="4FF019B9" w14:textId="77777777" w:rsidR="0077553A" w:rsidRPr="00F77465" w:rsidRDefault="0077553A" w:rsidP="00F77465">
      <w:pPr>
        <w:spacing w:line="360" w:lineRule="auto"/>
        <w:rPr>
          <w:rFonts w:asciiTheme="minorHAnsi" w:eastAsia="Calibri" w:hAnsiTheme="minorHAnsi"/>
          <w:b/>
          <w:bCs/>
        </w:rPr>
      </w:pPr>
    </w:p>
    <w:p w14:paraId="58AE4843" w14:textId="3522B7DA" w:rsidR="00626366" w:rsidRPr="00F77465" w:rsidRDefault="00BD2261" w:rsidP="00F77465">
      <w:pPr>
        <w:spacing w:line="360" w:lineRule="auto"/>
        <w:rPr>
          <w:rFonts w:asciiTheme="minorHAnsi" w:eastAsia="Calibri" w:hAnsiTheme="minorHAnsi"/>
        </w:rPr>
      </w:pPr>
      <w:r w:rsidRPr="00F77465">
        <w:rPr>
          <w:rFonts w:asciiTheme="minorHAnsi" w:eastAsia="Calibri" w:hAnsiTheme="minorHAnsi"/>
          <w:b/>
          <w:bCs/>
        </w:rPr>
        <w:t xml:space="preserve">Previous Approaches to the Condition </w:t>
      </w:r>
      <w:r w:rsidRPr="00F77465">
        <w:rPr>
          <w:rFonts w:asciiTheme="minorHAnsi" w:eastAsia="Calibri" w:hAnsiTheme="minorHAnsi"/>
        </w:rPr>
        <w:t xml:space="preserve"> </w:t>
      </w:r>
    </w:p>
    <w:p w14:paraId="1A6697B5" w14:textId="2288D3AC" w:rsidR="001134FF" w:rsidRPr="00F77465" w:rsidRDefault="0077553A" w:rsidP="00F77465">
      <w:pPr>
        <w:spacing w:line="360" w:lineRule="auto"/>
        <w:rPr>
          <w:rFonts w:asciiTheme="minorHAnsi" w:hAnsiTheme="minorHAnsi"/>
          <w:color w:val="000000"/>
        </w:rPr>
      </w:pPr>
      <w:r w:rsidRPr="00F77465">
        <w:rPr>
          <w:rFonts w:asciiTheme="minorHAnsi" w:hAnsiTheme="minorHAnsi"/>
          <w:color w:val="000000"/>
        </w:rPr>
        <w:t>Before</w:t>
      </w:r>
      <w:r w:rsidR="00626366" w:rsidRPr="00F77465">
        <w:rPr>
          <w:rFonts w:asciiTheme="minorHAnsi" w:hAnsiTheme="minorHAnsi"/>
          <w:color w:val="000000"/>
        </w:rPr>
        <w:t xml:space="preserve"> the introduction of AOS, 20–25% of cancer diagnoses in the UK were made following presentation at emergency departments, which was associated with poorer survival rates, fragmented care, and negative patient experiences (Young </w:t>
      </w:r>
      <w:r w:rsidR="00626366" w:rsidRPr="00F77465">
        <w:rPr>
          <w:rFonts w:asciiTheme="minorHAnsi" w:hAnsiTheme="minorHAnsi"/>
          <w:i/>
          <w:iCs/>
          <w:color w:val="000000"/>
        </w:rPr>
        <w:t>et al,</w:t>
      </w:r>
      <w:r w:rsidR="00626366" w:rsidRPr="00F77465">
        <w:rPr>
          <w:rFonts w:asciiTheme="minorHAnsi" w:hAnsiTheme="minorHAnsi"/>
          <w:color w:val="000000"/>
        </w:rPr>
        <w:t xml:space="preserve"> 2016).  Navani, (2014) highlighted patients presenting with cancer-related complications often experienced worse outcomes due to general medical teams’ limited experience in managing anti-cancer treatment side effects, lack of onsite oncologists, and inadequate inter-team communication.  Similarly, Berger, Cooksley, and Holland, (2013) noted that emergency admissions frequently led to poor symptom control and longer hospital stays, reinforcing the need for streamlined patient pathways.  Pugh </w:t>
      </w:r>
      <w:r w:rsidR="00626366" w:rsidRPr="00F77465">
        <w:rPr>
          <w:rFonts w:asciiTheme="minorHAnsi" w:hAnsiTheme="minorHAnsi"/>
          <w:i/>
          <w:iCs/>
          <w:color w:val="000000"/>
        </w:rPr>
        <w:t>et al,</w:t>
      </w:r>
      <w:r w:rsidR="00626366" w:rsidRPr="00F77465">
        <w:rPr>
          <w:rFonts w:asciiTheme="minorHAnsi" w:hAnsiTheme="minorHAnsi"/>
          <w:color w:val="000000"/>
        </w:rPr>
        <w:t xml:space="preserve"> (2015) further emphasised that admissions away from specialist cancer centres, without oncology input, often resulted in unnecessary investigations, extended hospital stays, and suboptimal </w:t>
      </w:r>
      <w:r w:rsidR="001A0C29" w:rsidRPr="00F77465">
        <w:rPr>
          <w:rFonts w:asciiTheme="minorHAnsi" w:hAnsiTheme="minorHAnsi"/>
          <w:color w:val="000000"/>
        </w:rPr>
        <w:t xml:space="preserve">outcomes.  </w:t>
      </w:r>
    </w:p>
    <w:p w14:paraId="13827614" w14:textId="77777777" w:rsidR="00F77465" w:rsidRDefault="00F77465" w:rsidP="00F77465">
      <w:pPr>
        <w:spacing w:line="360" w:lineRule="auto"/>
        <w:rPr>
          <w:rFonts w:asciiTheme="minorHAnsi" w:hAnsiTheme="minorHAnsi"/>
          <w:color w:val="000000"/>
        </w:rPr>
      </w:pPr>
    </w:p>
    <w:p w14:paraId="26449F0E" w14:textId="1512F660" w:rsidR="00F70ED7" w:rsidRPr="00F77465" w:rsidRDefault="001A0C29" w:rsidP="00F77465">
      <w:pPr>
        <w:spacing w:line="360" w:lineRule="auto"/>
        <w:rPr>
          <w:rFonts w:asciiTheme="minorHAnsi" w:eastAsia="Calibri" w:hAnsiTheme="minorHAnsi"/>
        </w:rPr>
      </w:pPr>
      <w:r w:rsidRPr="00F77465">
        <w:rPr>
          <w:rFonts w:asciiTheme="minorHAnsi" w:hAnsiTheme="minorHAnsi"/>
          <w:color w:val="000000"/>
        </w:rPr>
        <w:t>Emergency</w:t>
      </w:r>
      <w:r w:rsidR="00626366" w:rsidRPr="00F77465">
        <w:rPr>
          <w:rFonts w:asciiTheme="minorHAnsi" w:hAnsiTheme="minorHAnsi"/>
          <w:color w:val="000000"/>
        </w:rPr>
        <w:t xml:space="preserve"> diagnosis is particularly common in primary malignant brain tumours, which correlates with significantly worse prognoses compared to diagnoses made through GP referral (Walter et al., 2019).  Swann </w:t>
      </w:r>
      <w:r w:rsidR="00626366" w:rsidRPr="00F77465">
        <w:rPr>
          <w:rFonts w:asciiTheme="minorHAnsi" w:hAnsiTheme="minorHAnsi"/>
          <w:i/>
          <w:iCs/>
          <w:color w:val="000000"/>
        </w:rPr>
        <w:t>et al</w:t>
      </w:r>
      <w:r w:rsidR="00626366" w:rsidRPr="00F77465">
        <w:rPr>
          <w:rFonts w:asciiTheme="minorHAnsi" w:hAnsiTheme="minorHAnsi"/>
          <w:color w:val="000000"/>
        </w:rPr>
        <w:t xml:space="preserve">, (2024) support this, noting that emergency presentations are linked to adverse outcomes.  According to the National Cancer Intelligence Network, 53% of brain tumours were diagnosed through emergency care routes (Brain Tumour Charity, 2025c).  Walter </w:t>
      </w:r>
      <w:r w:rsidR="00626366" w:rsidRPr="00F77465">
        <w:rPr>
          <w:rFonts w:asciiTheme="minorHAnsi" w:hAnsiTheme="minorHAnsi"/>
          <w:i/>
          <w:iCs/>
          <w:color w:val="000000"/>
        </w:rPr>
        <w:t>et al</w:t>
      </w:r>
      <w:r w:rsidR="00626366" w:rsidRPr="00F77465">
        <w:rPr>
          <w:rFonts w:asciiTheme="minorHAnsi" w:hAnsiTheme="minorHAnsi"/>
          <w:color w:val="000000"/>
        </w:rPr>
        <w:t>, (2019) highlight the need for greater symptom awareness and improved diagnostic pathways in primary care to facilitate earlier identification.</w:t>
      </w:r>
    </w:p>
    <w:p w14:paraId="5BA2F161" w14:textId="77777777" w:rsidR="00F77465" w:rsidRDefault="00F77465" w:rsidP="00F77465">
      <w:pPr>
        <w:spacing w:line="360" w:lineRule="auto"/>
        <w:rPr>
          <w:rFonts w:asciiTheme="minorHAnsi" w:hAnsiTheme="minorHAnsi"/>
          <w:color w:val="000000"/>
        </w:rPr>
      </w:pPr>
    </w:p>
    <w:p w14:paraId="022CF762" w14:textId="52DF4D3D" w:rsidR="00A841D0" w:rsidRPr="00F77465" w:rsidRDefault="00626366" w:rsidP="00F77465">
      <w:pPr>
        <w:spacing w:line="360" w:lineRule="auto"/>
        <w:rPr>
          <w:rFonts w:asciiTheme="minorHAnsi" w:eastAsia="Calibri" w:hAnsiTheme="minorHAnsi"/>
        </w:rPr>
      </w:pPr>
      <w:r w:rsidRPr="00F77465">
        <w:rPr>
          <w:rFonts w:asciiTheme="minorHAnsi" w:hAnsiTheme="minorHAnsi"/>
          <w:color w:val="000000"/>
        </w:rPr>
        <w:t xml:space="preserve">AHPs play a vital role in addressing the biopsychosocial needs of cancer patients through practical, person-centred care (Welsh Government, 2020).  Despite this, AHPs have historically lacked recognition as equal healthcare partners, limiting their potential contribution.  Rubbo </w:t>
      </w:r>
      <w:r w:rsidRPr="00F77465">
        <w:rPr>
          <w:rFonts w:asciiTheme="minorHAnsi" w:hAnsiTheme="minorHAnsi"/>
          <w:i/>
          <w:iCs/>
          <w:color w:val="000000"/>
        </w:rPr>
        <w:t>et al</w:t>
      </w:r>
      <w:r w:rsidRPr="00F77465">
        <w:rPr>
          <w:rFonts w:asciiTheme="minorHAnsi" w:hAnsiTheme="minorHAnsi"/>
          <w:color w:val="000000"/>
        </w:rPr>
        <w:t xml:space="preserve">, (2023) found that hospitals with fewer AHPs had higher mortality rates, underscoring their impact on patient outcomes.  AHPs are </w:t>
      </w:r>
      <w:r w:rsidR="004F770D" w:rsidRPr="00F77465">
        <w:rPr>
          <w:rFonts w:asciiTheme="minorHAnsi" w:hAnsiTheme="minorHAnsi"/>
          <w:color w:val="000000"/>
        </w:rPr>
        <w:t xml:space="preserve">often </w:t>
      </w:r>
      <w:r w:rsidRPr="00F77465">
        <w:rPr>
          <w:rFonts w:asciiTheme="minorHAnsi" w:hAnsiTheme="minorHAnsi"/>
          <w:color w:val="000000"/>
        </w:rPr>
        <w:t xml:space="preserve">supported by Health Care Support Workers (HCSWs), who assist with essential care tasks such as hygiene, mobility, and observations (Welsh Assembly Government, 2025; NHS Professionals, 2025).  However, patients are not routinely screened for AHP input, and therapy-specific HCSWs often operate under general medicine teams rather than specialist oncology services (Sarre </w:t>
      </w:r>
      <w:r w:rsidRPr="00F77465">
        <w:rPr>
          <w:rFonts w:asciiTheme="minorHAnsi" w:hAnsiTheme="minorHAnsi"/>
          <w:i/>
          <w:iCs/>
          <w:color w:val="000000"/>
        </w:rPr>
        <w:t>et al</w:t>
      </w:r>
      <w:r w:rsidRPr="00F77465">
        <w:rPr>
          <w:rFonts w:asciiTheme="minorHAnsi" w:hAnsiTheme="minorHAnsi"/>
          <w:color w:val="000000"/>
        </w:rPr>
        <w:t>, 2018).</w:t>
      </w:r>
    </w:p>
    <w:p w14:paraId="6C67264B" w14:textId="77777777" w:rsidR="00462B4F" w:rsidRDefault="00462B4F" w:rsidP="00F77465">
      <w:pPr>
        <w:spacing w:line="360" w:lineRule="auto"/>
        <w:rPr>
          <w:rFonts w:asciiTheme="minorHAnsi" w:eastAsia="Calibri" w:hAnsiTheme="minorHAnsi"/>
          <w:b/>
          <w:bCs/>
        </w:rPr>
      </w:pPr>
    </w:p>
    <w:p w14:paraId="4E73CC50" w14:textId="77777777" w:rsidR="00623470" w:rsidRDefault="00623470" w:rsidP="00F77465">
      <w:pPr>
        <w:spacing w:line="360" w:lineRule="auto"/>
        <w:rPr>
          <w:rFonts w:asciiTheme="minorHAnsi" w:eastAsia="Calibri" w:hAnsiTheme="minorHAnsi"/>
          <w:b/>
          <w:bCs/>
        </w:rPr>
      </w:pPr>
    </w:p>
    <w:p w14:paraId="70D3334F" w14:textId="77777777" w:rsidR="00623470" w:rsidRDefault="00623470" w:rsidP="00F77465">
      <w:pPr>
        <w:spacing w:line="360" w:lineRule="auto"/>
        <w:rPr>
          <w:rFonts w:asciiTheme="minorHAnsi" w:eastAsia="Calibri" w:hAnsiTheme="minorHAnsi"/>
          <w:b/>
          <w:bCs/>
        </w:rPr>
      </w:pPr>
    </w:p>
    <w:p w14:paraId="3CB78FB4" w14:textId="49C02C0F" w:rsidR="004D012B" w:rsidRPr="00F77465" w:rsidRDefault="00A90B50" w:rsidP="00F77465">
      <w:pPr>
        <w:spacing w:line="360" w:lineRule="auto"/>
        <w:rPr>
          <w:rFonts w:asciiTheme="minorHAnsi" w:eastAsia="Calibri" w:hAnsiTheme="minorHAnsi"/>
          <w:b/>
          <w:bCs/>
        </w:rPr>
      </w:pPr>
      <w:r w:rsidRPr="00F77465">
        <w:rPr>
          <w:rFonts w:asciiTheme="minorHAnsi" w:eastAsia="Calibri" w:hAnsiTheme="minorHAnsi"/>
          <w:b/>
          <w:bCs/>
        </w:rPr>
        <w:lastRenderedPageBreak/>
        <w:t xml:space="preserve">Current Approaches to the Condition </w:t>
      </w:r>
    </w:p>
    <w:p w14:paraId="75408114" w14:textId="443F7E5B" w:rsidR="006F4DF5" w:rsidRPr="00F77465" w:rsidRDefault="00D611A1" w:rsidP="00F77465">
      <w:pPr>
        <w:spacing w:line="360" w:lineRule="auto"/>
        <w:contextualSpacing/>
        <w:rPr>
          <w:rFonts w:asciiTheme="minorHAnsi" w:eastAsia="Calibri" w:hAnsiTheme="minorHAnsi"/>
        </w:rPr>
      </w:pPr>
      <w:r w:rsidRPr="00F77465">
        <w:rPr>
          <w:rFonts w:asciiTheme="minorHAnsi" w:eastAsia="Calibri" w:hAnsiTheme="minorHAnsi"/>
        </w:rPr>
        <w:t>A major benefit of AOS is the improved patient experience and safety it enables (</w:t>
      </w:r>
      <w:r w:rsidR="00A42FD3" w:rsidRPr="00F77465">
        <w:rPr>
          <w:rFonts w:asciiTheme="minorHAnsi" w:eastAsia="Calibri" w:hAnsiTheme="minorHAnsi"/>
        </w:rPr>
        <w:t xml:space="preserve">Viggars </w:t>
      </w:r>
      <w:r w:rsidR="00A42FD3" w:rsidRPr="00F77465">
        <w:rPr>
          <w:rFonts w:asciiTheme="minorHAnsi" w:eastAsia="Calibri" w:hAnsiTheme="minorHAnsi"/>
          <w:i/>
          <w:iCs/>
        </w:rPr>
        <w:t>et al</w:t>
      </w:r>
      <w:r w:rsidR="00A42FD3" w:rsidRPr="00F77465">
        <w:rPr>
          <w:rFonts w:asciiTheme="minorHAnsi" w:eastAsia="Calibri" w:hAnsiTheme="minorHAnsi"/>
        </w:rPr>
        <w:t>, 2022</w:t>
      </w:r>
      <w:r w:rsidRPr="00F77465">
        <w:rPr>
          <w:rFonts w:asciiTheme="minorHAnsi" w:eastAsia="Calibri" w:hAnsiTheme="minorHAnsi"/>
        </w:rPr>
        <w:t>).  Patients presenting with complications</w:t>
      </w:r>
      <w:r w:rsidR="002908F5" w:rsidRPr="00F77465">
        <w:rPr>
          <w:rFonts w:asciiTheme="minorHAnsi" w:eastAsia="Calibri" w:hAnsiTheme="minorHAnsi"/>
        </w:rPr>
        <w:t xml:space="preserve">, </w:t>
      </w:r>
      <w:r w:rsidRPr="00F77465">
        <w:rPr>
          <w:rFonts w:asciiTheme="minorHAnsi" w:eastAsia="Calibri" w:hAnsiTheme="minorHAnsi"/>
        </w:rPr>
        <w:t>or treatment side effects receive faster, specialist led guidance and support (</w:t>
      </w:r>
      <w:r w:rsidR="00A42FD3" w:rsidRPr="00F77465">
        <w:rPr>
          <w:rFonts w:asciiTheme="minorHAnsi" w:eastAsia="Calibri" w:hAnsiTheme="minorHAnsi"/>
        </w:rPr>
        <w:t>Neville-Webb, Wong, and Marshall, 2016</w:t>
      </w:r>
      <w:r w:rsidRPr="00F77465">
        <w:rPr>
          <w:rFonts w:asciiTheme="minorHAnsi" w:eastAsia="Calibri" w:hAnsiTheme="minorHAnsi"/>
        </w:rPr>
        <w:t>).  This not only shortens hospital stays but reduces unnecessary investigations and readmissions (</w:t>
      </w:r>
      <w:r w:rsidR="0002675E" w:rsidRPr="00F77465">
        <w:rPr>
          <w:rFonts w:asciiTheme="minorHAnsi" w:eastAsia="Calibri" w:hAnsiTheme="minorHAnsi"/>
        </w:rPr>
        <w:t>Bruce, Smith and Price, 2017</w:t>
      </w:r>
      <w:r w:rsidRPr="00F77465">
        <w:rPr>
          <w:rFonts w:asciiTheme="minorHAnsi" w:eastAsia="Calibri" w:hAnsiTheme="minorHAnsi"/>
        </w:rPr>
        <w:t>).</w:t>
      </w:r>
      <w:r w:rsidR="00F77465">
        <w:rPr>
          <w:rFonts w:asciiTheme="minorHAnsi" w:eastAsia="Calibri" w:hAnsiTheme="minorHAnsi"/>
        </w:rPr>
        <w:t xml:space="preserve">  </w:t>
      </w:r>
      <w:r w:rsidRPr="00F77465">
        <w:rPr>
          <w:rFonts w:asciiTheme="minorHAnsi" w:eastAsia="Calibri" w:hAnsiTheme="minorHAnsi"/>
        </w:rPr>
        <w:t>Moreover, early oncology input enhances symptom control and facilities appropriate escalation or palliative care planning</w:t>
      </w:r>
      <w:r w:rsidR="002908F5" w:rsidRPr="00F77465">
        <w:rPr>
          <w:rFonts w:asciiTheme="minorHAnsi" w:eastAsia="Calibri" w:hAnsiTheme="minorHAnsi"/>
        </w:rPr>
        <w:t xml:space="preserve"> (</w:t>
      </w:r>
      <w:r w:rsidR="0002675E" w:rsidRPr="00F77465">
        <w:rPr>
          <w:rFonts w:asciiTheme="minorHAnsi" w:eastAsia="Calibri" w:hAnsiTheme="minorHAnsi"/>
        </w:rPr>
        <w:t>O’Doherty, Quinn and Gibson, 201</w:t>
      </w:r>
      <w:r w:rsidR="00BA3EBC" w:rsidRPr="00F77465">
        <w:rPr>
          <w:rFonts w:asciiTheme="minorHAnsi" w:eastAsia="Calibri" w:hAnsiTheme="minorHAnsi"/>
        </w:rPr>
        <w:t>2</w:t>
      </w:r>
      <w:r w:rsidRPr="00F77465">
        <w:rPr>
          <w:rFonts w:asciiTheme="minorHAnsi" w:eastAsia="Calibri" w:hAnsiTheme="minorHAnsi"/>
        </w:rPr>
        <w:t>).</w:t>
      </w:r>
    </w:p>
    <w:p w14:paraId="6733DEE0" w14:textId="77777777" w:rsidR="00F77465" w:rsidRDefault="00F77465" w:rsidP="00F77465">
      <w:pPr>
        <w:spacing w:line="360" w:lineRule="auto"/>
        <w:rPr>
          <w:rFonts w:asciiTheme="minorHAnsi" w:eastAsia="Calibri" w:hAnsiTheme="minorHAnsi"/>
        </w:rPr>
      </w:pPr>
    </w:p>
    <w:p w14:paraId="6E732A8D" w14:textId="642B2B95" w:rsidR="004D012B" w:rsidRPr="00F77465" w:rsidRDefault="002D15CF" w:rsidP="00F77465">
      <w:pPr>
        <w:spacing w:line="360" w:lineRule="auto"/>
        <w:rPr>
          <w:rFonts w:asciiTheme="minorHAnsi" w:hAnsiTheme="minorHAnsi"/>
        </w:rPr>
      </w:pPr>
      <w:r w:rsidRPr="00F77465">
        <w:rPr>
          <w:rFonts w:asciiTheme="minorHAnsi" w:eastAsia="Calibri" w:hAnsiTheme="minorHAnsi"/>
        </w:rPr>
        <w:t xml:space="preserve">Although AOS has a had a significant impact on the quality of acute cancer care, challenges remain, </w:t>
      </w:r>
      <w:r w:rsidRPr="00F77465">
        <w:rPr>
          <w:rFonts w:asciiTheme="minorHAnsi" w:hAnsiTheme="minorHAnsi"/>
        </w:rPr>
        <w:t xml:space="preserve">there are still a significant number presenting with new cancers in emergency setting (Savage </w:t>
      </w:r>
      <w:r w:rsidRPr="00F77465">
        <w:rPr>
          <w:rFonts w:asciiTheme="minorHAnsi" w:hAnsiTheme="minorHAnsi"/>
          <w:i/>
          <w:iCs/>
        </w:rPr>
        <w:t>et al,</w:t>
      </w:r>
      <w:r w:rsidRPr="00F77465">
        <w:rPr>
          <w:rFonts w:asciiTheme="minorHAnsi" w:hAnsiTheme="minorHAnsi"/>
        </w:rPr>
        <w:t xml:space="preserve"> 2015).  </w:t>
      </w:r>
      <w:r w:rsidR="00ED7B9A" w:rsidRPr="00F77465">
        <w:rPr>
          <w:rFonts w:asciiTheme="minorHAnsi" w:hAnsiTheme="minorHAnsi"/>
        </w:rPr>
        <w:t xml:space="preserve">Emergency cancer diagnoses, especially in primary tumours, continue to account for a large proportion of cases and are associated with worse outcomes </w:t>
      </w:r>
      <w:r w:rsidR="00EB4785" w:rsidRPr="00F77465">
        <w:rPr>
          <w:rFonts w:asciiTheme="minorHAnsi" w:hAnsiTheme="minorHAnsi"/>
        </w:rPr>
        <w:t xml:space="preserve">(Walter </w:t>
      </w:r>
      <w:r w:rsidR="00EB4785" w:rsidRPr="00F77465">
        <w:rPr>
          <w:rFonts w:asciiTheme="minorHAnsi" w:hAnsiTheme="minorHAnsi"/>
          <w:i/>
          <w:iCs/>
        </w:rPr>
        <w:t>et al,</w:t>
      </w:r>
      <w:r w:rsidR="00EB4785" w:rsidRPr="00F77465">
        <w:rPr>
          <w:rFonts w:asciiTheme="minorHAnsi" w:hAnsiTheme="minorHAnsi"/>
        </w:rPr>
        <w:t xml:space="preserve"> 2019).  While AOS helps mitigate some of these risks through rapid intervention, Chen </w:t>
      </w:r>
      <w:r w:rsidR="00EB4785" w:rsidRPr="00F77465">
        <w:rPr>
          <w:rFonts w:asciiTheme="minorHAnsi" w:hAnsiTheme="minorHAnsi"/>
          <w:i/>
          <w:iCs/>
        </w:rPr>
        <w:t>et al,</w:t>
      </w:r>
      <w:r w:rsidR="00EB4785" w:rsidRPr="00F77465">
        <w:rPr>
          <w:rFonts w:asciiTheme="minorHAnsi" w:hAnsiTheme="minorHAnsi"/>
        </w:rPr>
        <w:t xml:space="preserve"> (2018) notably report that not all emergency presentations are avoidable and</w:t>
      </w:r>
      <w:r w:rsidR="00BE19D1" w:rsidRPr="00F77465">
        <w:rPr>
          <w:rFonts w:asciiTheme="minorHAnsi" w:hAnsiTheme="minorHAnsi"/>
        </w:rPr>
        <w:t xml:space="preserve"> are</w:t>
      </w:r>
      <w:r w:rsidR="00EB4785" w:rsidRPr="00F77465">
        <w:rPr>
          <w:rFonts w:asciiTheme="minorHAnsi" w:hAnsiTheme="minorHAnsi"/>
        </w:rPr>
        <w:t xml:space="preserve"> necessary for some patients.  Some cancers present with vague or rapidly progressing symptoms, making early identification in primary care difficult despite efforts to improve diagnostic pathways </w:t>
      </w:r>
      <w:r w:rsidR="00D611A1" w:rsidRPr="00F77465">
        <w:rPr>
          <w:rFonts w:asciiTheme="minorHAnsi" w:hAnsiTheme="minorHAnsi"/>
        </w:rPr>
        <w:t xml:space="preserve">(Walter </w:t>
      </w:r>
      <w:r w:rsidR="00D611A1" w:rsidRPr="00F77465">
        <w:rPr>
          <w:rFonts w:asciiTheme="minorHAnsi" w:hAnsiTheme="minorHAnsi"/>
          <w:i/>
          <w:iCs/>
        </w:rPr>
        <w:t>et al,</w:t>
      </w:r>
      <w:r w:rsidR="00D611A1" w:rsidRPr="00F77465">
        <w:rPr>
          <w:rFonts w:asciiTheme="minorHAnsi" w:hAnsiTheme="minorHAnsi"/>
        </w:rPr>
        <w:t xml:space="preserve"> 2019).</w:t>
      </w:r>
    </w:p>
    <w:p w14:paraId="6596C5B2" w14:textId="77777777" w:rsidR="00F77465" w:rsidRDefault="00F77465" w:rsidP="00F77465">
      <w:pPr>
        <w:spacing w:line="360" w:lineRule="auto"/>
        <w:rPr>
          <w:rFonts w:asciiTheme="minorHAnsi" w:hAnsiTheme="minorHAnsi"/>
        </w:rPr>
      </w:pPr>
    </w:p>
    <w:p w14:paraId="2CC1E525" w14:textId="7BD99785" w:rsidR="00F77465" w:rsidRDefault="0023624D" w:rsidP="00F77465">
      <w:pPr>
        <w:spacing w:line="360" w:lineRule="auto"/>
        <w:rPr>
          <w:rFonts w:asciiTheme="minorHAnsi" w:hAnsiTheme="minorHAnsi"/>
        </w:rPr>
      </w:pPr>
      <w:r w:rsidRPr="00F77465">
        <w:rPr>
          <w:rFonts w:asciiTheme="minorHAnsi" w:hAnsiTheme="minorHAnsi"/>
        </w:rPr>
        <w:t xml:space="preserve">CRF is a significant and persistent symptom that impairs a patients’ quality of life and functional capacity, often leading to considerable distress for both patients and caregivers (Singh </w:t>
      </w:r>
      <w:r w:rsidRPr="00F77465">
        <w:rPr>
          <w:rFonts w:asciiTheme="minorHAnsi" w:hAnsiTheme="minorHAnsi"/>
          <w:i/>
          <w:iCs/>
        </w:rPr>
        <w:t>et al,</w:t>
      </w:r>
      <w:r w:rsidRPr="00F77465">
        <w:rPr>
          <w:rFonts w:asciiTheme="minorHAnsi" w:hAnsiTheme="minorHAnsi"/>
        </w:rPr>
        <w:t xml:space="preserve"> 2021).  </w:t>
      </w:r>
    </w:p>
    <w:p w14:paraId="1A3930F8" w14:textId="2580887F" w:rsidR="004D012B" w:rsidRPr="00F77465" w:rsidRDefault="0023624D" w:rsidP="00F77465">
      <w:pPr>
        <w:spacing w:line="360" w:lineRule="auto"/>
        <w:rPr>
          <w:rFonts w:asciiTheme="minorHAnsi" w:hAnsiTheme="minorHAnsi"/>
        </w:rPr>
      </w:pPr>
      <w:r w:rsidRPr="00F77465">
        <w:rPr>
          <w:rFonts w:asciiTheme="minorHAnsi" w:hAnsiTheme="minorHAnsi"/>
        </w:rPr>
        <w:t xml:space="preserve">Many individuals are unprepared for CRF, which may extend well beyond the conclusion of active treatment (Campbell </w:t>
      </w:r>
      <w:r w:rsidRPr="00F77465">
        <w:rPr>
          <w:rFonts w:asciiTheme="minorHAnsi" w:hAnsiTheme="minorHAnsi"/>
          <w:i/>
          <w:iCs/>
        </w:rPr>
        <w:t>et al,</w:t>
      </w:r>
      <w:r w:rsidRPr="00F77465">
        <w:rPr>
          <w:rFonts w:asciiTheme="minorHAnsi" w:hAnsiTheme="minorHAnsi"/>
        </w:rPr>
        <w:t xml:space="preserve"> 2024).  Although CRF is highly prevalent in patients with cancer</w:t>
      </w:r>
      <w:r w:rsidR="002908F5" w:rsidRPr="00F77465">
        <w:rPr>
          <w:rFonts w:asciiTheme="minorHAnsi" w:hAnsiTheme="minorHAnsi"/>
        </w:rPr>
        <w:t xml:space="preserve"> </w:t>
      </w:r>
      <w:r w:rsidRPr="00F77465">
        <w:rPr>
          <w:rFonts w:asciiTheme="minorHAnsi" w:hAnsiTheme="minorHAnsi"/>
        </w:rPr>
        <w:t xml:space="preserve">it remains under recognised and undertreated in clinical practice, partly due to clinicians </w:t>
      </w:r>
      <w:r w:rsidR="00FF0CCE" w:rsidRPr="00F77465">
        <w:rPr>
          <w:rFonts w:asciiTheme="minorHAnsi" w:hAnsiTheme="minorHAnsi"/>
        </w:rPr>
        <w:t>prioritising acute and potentially life-threatening conditions over symptom management due to time pressures and competing demands (</w:t>
      </w:r>
      <w:r w:rsidR="00300386" w:rsidRPr="00F77465">
        <w:rPr>
          <w:rFonts w:asciiTheme="minorHAnsi" w:hAnsiTheme="minorHAnsi"/>
        </w:rPr>
        <w:t xml:space="preserve">Berger </w:t>
      </w:r>
      <w:r w:rsidR="00300386" w:rsidRPr="00F77465">
        <w:rPr>
          <w:rFonts w:asciiTheme="minorHAnsi" w:hAnsiTheme="minorHAnsi"/>
          <w:i/>
          <w:iCs/>
        </w:rPr>
        <w:t>et al</w:t>
      </w:r>
      <w:r w:rsidR="00C55F60" w:rsidRPr="00F77465">
        <w:rPr>
          <w:rFonts w:asciiTheme="minorHAnsi" w:hAnsiTheme="minorHAnsi"/>
        </w:rPr>
        <w:t xml:space="preserve">, 2015; </w:t>
      </w:r>
      <w:r w:rsidR="002908F5" w:rsidRPr="00F77465">
        <w:rPr>
          <w:rFonts w:asciiTheme="minorHAnsi" w:hAnsiTheme="minorHAnsi"/>
        </w:rPr>
        <w:t>Miller and Kearney, 2002</w:t>
      </w:r>
      <w:r w:rsidR="00FF0CCE" w:rsidRPr="00F77465">
        <w:rPr>
          <w:rFonts w:asciiTheme="minorHAnsi" w:hAnsiTheme="minorHAnsi"/>
        </w:rPr>
        <w:t xml:space="preserve">).  Within the AOS, the TAP plays a crucial role in improving CRF management.  As the first TAP role within the tertiary hospital setting in Wales, it offers more specialised support tailored to oncology patients (National Health Service Jobs, 2023), including managing CRF and implementing mobility practices to reduce the risk of deconditioning, which is essential for AHPs to meet the demands of the service (Snowden </w:t>
      </w:r>
      <w:r w:rsidR="00FF0CCE" w:rsidRPr="00F77465">
        <w:rPr>
          <w:rFonts w:asciiTheme="minorHAnsi" w:hAnsiTheme="minorHAnsi"/>
          <w:i/>
          <w:iCs/>
        </w:rPr>
        <w:t>et al</w:t>
      </w:r>
      <w:r w:rsidR="00FF0CCE" w:rsidRPr="00F77465">
        <w:rPr>
          <w:rFonts w:asciiTheme="minorHAnsi" w:hAnsiTheme="minorHAnsi"/>
        </w:rPr>
        <w:t>, 2020, Kin</w:t>
      </w:r>
      <w:r w:rsidR="000F44C6" w:rsidRPr="00F77465">
        <w:rPr>
          <w:rFonts w:asciiTheme="minorHAnsi" w:hAnsiTheme="minorHAnsi"/>
        </w:rPr>
        <w:t>g</w:t>
      </w:r>
      <w:r w:rsidR="00FF0CCE" w:rsidRPr="00F77465">
        <w:rPr>
          <w:rFonts w:asciiTheme="minorHAnsi" w:hAnsiTheme="minorHAnsi"/>
        </w:rPr>
        <w:t xml:space="preserve"> </w:t>
      </w:r>
      <w:r w:rsidR="00FF0CCE" w:rsidRPr="00F77465">
        <w:rPr>
          <w:rFonts w:asciiTheme="minorHAnsi" w:hAnsiTheme="minorHAnsi"/>
          <w:i/>
          <w:iCs/>
        </w:rPr>
        <w:t>et al,</w:t>
      </w:r>
      <w:r w:rsidR="00FF0CCE" w:rsidRPr="00F77465">
        <w:rPr>
          <w:rFonts w:asciiTheme="minorHAnsi" w:hAnsiTheme="minorHAnsi"/>
        </w:rPr>
        <w:t xml:space="preserve"> 2022).  </w:t>
      </w:r>
    </w:p>
    <w:p w14:paraId="3A494E38" w14:textId="77777777" w:rsidR="00F77465" w:rsidRDefault="00F77465" w:rsidP="00F77465">
      <w:pPr>
        <w:spacing w:line="360" w:lineRule="auto"/>
        <w:rPr>
          <w:rFonts w:asciiTheme="minorHAnsi" w:hAnsiTheme="minorHAnsi"/>
        </w:rPr>
      </w:pPr>
    </w:p>
    <w:p w14:paraId="0610A16D" w14:textId="7BB3C2E9" w:rsidR="004D012B" w:rsidRPr="00F77465" w:rsidRDefault="00123CE4" w:rsidP="00F77465">
      <w:pPr>
        <w:spacing w:line="360" w:lineRule="auto"/>
        <w:rPr>
          <w:rFonts w:asciiTheme="minorHAnsi" w:hAnsiTheme="minorHAnsi"/>
        </w:rPr>
      </w:pPr>
      <w:r w:rsidRPr="00F77465">
        <w:rPr>
          <w:rFonts w:asciiTheme="minorHAnsi" w:hAnsiTheme="minorHAnsi"/>
        </w:rPr>
        <w:t>When it comes to a TAP making clinical decisions, they are formed by a combination of factors, including scope of practice, training and supervision.  Decisions are often influenced by patients in relation to their condition or preference.  In addition, collaboration with other healthcare professionals, effective communication and adherence to scope of practice and safety guidelines play a key role (</w:t>
      </w:r>
      <w:r w:rsidR="000019A7" w:rsidRPr="00F77465">
        <w:rPr>
          <w:rFonts w:asciiTheme="minorHAnsi" w:hAnsiTheme="minorHAnsi"/>
        </w:rPr>
        <w:t>NHS Wales, 2024</w:t>
      </w:r>
      <w:r w:rsidRPr="00F77465">
        <w:rPr>
          <w:rFonts w:asciiTheme="minorHAnsi" w:hAnsiTheme="minorHAnsi"/>
        </w:rPr>
        <w:t xml:space="preserve">).  It is important to reflect on their practice and respond to feedback </w:t>
      </w:r>
      <w:r w:rsidRPr="00F77465">
        <w:rPr>
          <w:rFonts w:asciiTheme="minorHAnsi" w:hAnsiTheme="minorHAnsi"/>
        </w:rPr>
        <w:lastRenderedPageBreak/>
        <w:t xml:space="preserve">is essential for ongoing professional development and effective clinical decision making </w:t>
      </w:r>
      <w:r w:rsidR="00907A6A" w:rsidRPr="00F77465">
        <w:rPr>
          <w:rFonts w:asciiTheme="minorHAnsi" w:hAnsiTheme="minorHAnsi"/>
        </w:rPr>
        <w:t>(</w:t>
      </w:r>
      <w:r w:rsidR="00907A6A" w:rsidRPr="00F77465">
        <w:rPr>
          <w:rFonts w:asciiTheme="minorHAnsi" w:hAnsiTheme="minorHAnsi" w:cs="Al Tarikh"/>
        </w:rPr>
        <w:t>Edgar, Moroney, and Wilson, 2022).</w:t>
      </w:r>
    </w:p>
    <w:p w14:paraId="73DCE114" w14:textId="77777777" w:rsidR="00F77465" w:rsidRDefault="00F77465" w:rsidP="00F77465">
      <w:pPr>
        <w:spacing w:line="360" w:lineRule="auto"/>
        <w:rPr>
          <w:rFonts w:asciiTheme="minorHAnsi" w:hAnsiTheme="minorHAnsi"/>
        </w:rPr>
      </w:pPr>
    </w:p>
    <w:p w14:paraId="50FAB7F2" w14:textId="55C7FA5F" w:rsidR="004D012B" w:rsidRPr="00F77465" w:rsidRDefault="008956AB" w:rsidP="00F77465">
      <w:pPr>
        <w:spacing w:line="360" w:lineRule="auto"/>
        <w:rPr>
          <w:rFonts w:asciiTheme="minorHAnsi" w:hAnsiTheme="minorHAnsi"/>
        </w:rPr>
      </w:pPr>
      <w:r w:rsidRPr="00F77465">
        <w:rPr>
          <w:rFonts w:asciiTheme="minorHAnsi" w:hAnsiTheme="minorHAnsi"/>
        </w:rPr>
        <w:t>It is vital for AOS patients the TAP provides a person-centred approach by tailoring interventions to individual patient needs, preferences, and goals, ensuring that the patients voice is central to the therapy process (</w:t>
      </w:r>
      <w:r w:rsidR="00907A6A" w:rsidRPr="00F77465">
        <w:rPr>
          <w:rFonts w:asciiTheme="minorHAnsi" w:hAnsiTheme="minorHAnsi" w:cs="Al Tarikh"/>
        </w:rPr>
        <w:t>Social Care Wales, 2022</w:t>
      </w:r>
      <w:r w:rsidRPr="00F77465">
        <w:rPr>
          <w:rFonts w:asciiTheme="minorHAnsi" w:hAnsiTheme="minorHAnsi"/>
        </w:rPr>
        <w:t>).  This approach can contrast with a more standardised treatment, it is a more flexible approach which aims to foster engagement and empower patients</w:t>
      </w:r>
      <w:r w:rsidR="00AA39CE" w:rsidRPr="00F77465">
        <w:rPr>
          <w:rFonts w:asciiTheme="minorHAnsi" w:hAnsiTheme="minorHAnsi"/>
        </w:rPr>
        <w:t xml:space="preserve">.  </w:t>
      </w:r>
      <w:r w:rsidRPr="00F77465">
        <w:rPr>
          <w:rFonts w:asciiTheme="minorHAnsi" w:hAnsiTheme="minorHAnsi"/>
        </w:rPr>
        <w:t xml:space="preserve">However, it is important to note challenges faced in delivering a </w:t>
      </w:r>
      <w:r w:rsidR="00AA007D" w:rsidRPr="00F77465">
        <w:rPr>
          <w:rFonts w:asciiTheme="minorHAnsi" w:hAnsiTheme="minorHAnsi"/>
        </w:rPr>
        <w:t>person-centred</w:t>
      </w:r>
      <w:r w:rsidRPr="00F77465">
        <w:rPr>
          <w:rFonts w:asciiTheme="minorHAnsi" w:hAnsiTheme="minorHAnsi"/>
        </w:rPr>
        <w:t xml:space="preserve"> approach</w:t>
      </w:r>
      <w:r w:rsidR="00AA007D" w:rsidRPr="00F77465">
        <w:rPr>
          <w:rFonts w:asciiTheme="minorHAnsi" w:hAnsiTheme="minorHAnsi"/>
        </w:rPr>
        <w:t xml:space="preserve"> such as balancing demand, the complexities of diverse patient population and ensuring consistent communication across </w:t>
      </w:r>
      <w:r w:rsidR="00F70ED7" w:rsidRPr="00F77465">
        <w:rPr>
          <w:rFonts w:asciiTheme="minorHAnsi" w:hAnsiTheme="minorHAnsi"/>
        </w:rPr>
        <w:t>MDT</w:t>
      </w:r>
      <w:r w:rsidR="00AA39CE" w:rsidRPr="00F77465">
        <w:rPr>
          <w:rFonts w:asciiTheme="minorHAnsi" w:hAnsiTheme="minorHAnsi"/>
        </w:rPr>
        <w:t xml:space="preserve"> (</w:t>
      </w:r>
      <w:r w:rsidR="00AA39CE" w:rsidRPr="00F77465">
        <w:rPr>
          <w:rFonts w:asciiTheme="minorHAnsi" w:hAnsiTheme="minorHAnsi" w:cs="Al Tarikh"/>
        </w:rPr>
        <w:t>Social Care Wales, 2022).</w:t>
      </w:r>
    </w:p>
    <w:p w14:paraId="0F2EA433" w14:textId="77777777" w:rsidR="00F77465" w:rsidRPr="00F77465" w:rsidRDefault="00F77465" w:rsidP="00F77465">
      <w:pPr>
        <w:spacing w:line="360" w:lineRule="auto"/>
        <w:rPr>
          <w:rFonts w:asciiTheme="minorHAnsi" w:eastAsia="Calibri" w:hAnsiTheme="minorHAnsi"/>
          <w:b/>
          <w:bCs/>
        </w:rPr>
      </w:pPr>
    </w:p>
    <w:p w14:paraId="7FF01701" w14:textId="27D7719F" w:rsidR="004D012B" w:rsidRPr="00F77465" w:rsidRDefault="00AA007D" w:rsidP="00F77465">
      <w:pPr>
        <w:spacing w:line="360" w:lineRule="auto"/>
        <w:rPr>
          <w:rFonts w:asciiTheme="minorHAnsi" w:eastAsia="Calibri" w:hAnsiTheme="minorHAnsi"/>
          <w:b/>
          <w:bCs/>
        </w:rPr>
      </w:pPr>
      <w:r w:rsidRPr="00F77465">
        <w:rPr>
          <w:rFonts w:asciiTheme="minorHAnsi" w:eastAsia="Calibri" w:hAnsiTheme="minorHAnsi"/>
          <w:b/>
          <w:bCs/>
        </w:rPr>
        <w:t xml:space="preserve">Co-Production </w:t>
      </w:r>
    </w:p>
    <w:p w14:paraId="73D29489" w14:textId="24E10A0E" w:rsidR="00A25B0E" w:rsidRPr="00F77465" w:rsidRDefault="00A25B0E" w:rsidP="00F77465">
      <w:pPr>
        <w:spacing w:line="360" w:lineRule="auto"/>
        <w:rPr>
          <w:rFonts w:asciiTheme="minorHAnsi" w:hAnsiTheme="minorHAnsi"/>
        </w:rPr>
      </w:pPr>
      <w:r w:rsidRPr="00F77465">
        <w:rPr>
          <w:rFonts w:asciiTheme="minorHAnsi" w:hAnsiTheme="minorHAnsi"/>
        </w:rPr>
        <w:t xml:space="preserve">Coproduction in healthcare involves collaboration between healthcare professionals, patients, caregivers, and external services to deliver coordinated and person-centred care (Clarke, Jones, Harris and Robert, 2017).  Within an acute oncology service, the TAP can play a vital role in facilitating coproduction through engagement with the MDT, patients, and external agencies such as Maggie’s, City Hospice, and local authority services.  </w:t>
      </w:r>
    </w:p>
    <w:p w14:paraId="6A5EE6C5" w14:textId="77777777" w:rsidR="00F77465" w:rsidRDefault="00F77465" w:rsidP="00F77465">
      <w:pPr>
        <w:spacing w:line="360" w:lineRule="auto"/>
        <w:rPr>
          <w:rFonts w:asciiTheme="minorHAnsi" w:hAnsiTheme="minorHAnsi"/>
        </w:rPr>
      </w:pPr>
    </w:p>
    <w:p w14:paraId="2BD1AAB7" w14:textId="02113D07" w:rsidR="00B75015" w:rsidRPr="00F77465" w:rsidRDefault="00B75015" w:rsidP="00F77465">
      <w:pPr>
        <w:spacing w:line="360" w:lineRule="auto"/>
        <w:rPr>
          <w:rFonts w:asciiTheme="minorHAnsi" w:hAnsiTheme="minorHAnsi"/>
        </w:rPr>
      </w:pPr>
      <w:r w:rsidRPr="00F77465">
        <w:rPr>
          <w:rFonts w:asciiTheme="minorHAnsi" w:hAnsiTheme="minorHAnsi"/>
        </w:rPr>
        <w:t xml:space="preserve">TAPs support acute oncology patients who quite often have complex and rapidly changing needs.  Working under the supervision of registered therapists, they can contribute to care by </w:t>
      </w:r>
      <w:r w:rsidR="009D5316" w:rsidRPr="00F77465">
        <w:rPr>
          <w:rFonts w:asciiTheme="minorHAnsi" w:hAnsiTheme="minorHAnsi"/>
        </w:rPr>
        <w:t>screening, delivering delegated interventions and feeding back patient progress.  A key element of the role is participation in ward board rounds, where TAPs share observations on mobility, fatigue or emotional wellbeing, and gather updates from the wider team.  This two-way flow of information enhances care, supports task prioritisation and ensure timely responses to patient needs (</w:t>
      </w:r>
      <w:r w:rsidR="00E13EB6" w:rsidRPr="00F77465">
        <w:rPr>
          <w:rFonts w:asciiTheme="minorHAnsi" w:hAnsiTheme="minorHAnsi"/>
        </w:rPr>
        <w:t>Kornhaber, Walsh, Duff, and Walker, 2016</w:t>
      </w:r>
      <w:r w:rsidR="009D5316" w:rsidRPr="00F77465">
        <w:rPr>
          <w:rFonts w:asciiTheme="minorHAnsi" w:hAnsiTheme="minorHAnsi"/>
        </w:rPr>
        <w:t>).</w:t>
      </w:r>
    </w:p>
    <w:p w14:paraId="2412D8BB" w14:textId="77777777" w:rsidR="00F77465" w:rsidRDefault="00F77465" w:rsidP="00F77465">
      <w:pPr>
        <w:spacing w:line="360" w:lineRule="auto"/>
        <w:rPr>
          <w:rFonts w:asciiTheme="minorHAnsi" w:hAnsiTheme="minorHAnsi"/>
        </w:rPr>
      </w:pPr>
    </w:p>
    <w:p w14:paraId="33671E05" w14:textId="318A5CB2" w:rsidR="004D012B" w:rsidRPr="00F77465" w:rsidRDefault="009D5316" w:rsidP="00F77465">
      <w:pPr>
        <w:spacing w:line="360" w:lineRule="auto"/>
        <w:rPr>
          <w:rFonts w:asciiTheme="minorHAnsi" w:hAnsiTheme="minorHAnsi"/>
        </w:rPr>
      </w:pPr>
      <w:r w:rsidRPr="00F77465">
        <w:rPr>
          <w:rFonts w:asciiTheme="minorHAnsi" w:hAnsiTheme="minorHAnsi"/>
        </w:rPr>
        <w:t>TAPs can often liaise with external agencies, including Maggie’s Centres, which provide emotional, psychological and practical support for people with cancer and their families</w:t>
      </w:r>
      <w:r w:rsidR="00E13EB6" w:rsidRPr="00F77465">
        <w:rPr>
          <w:rFonts w:asciiTheme="minorHAnsi" w:hAnsiTheme="minorHAnsi"/>
        </w:rPr>
        <w:t xml:space="preserve">.  </w:t>
      </w:r>
      <w:r w:rsidRPr="00F77465">
        <w:rPr>
          <w:rFonts w:asciiTheme="minorHAnsi" w:hAnsiTheme="minorHAnsi"/>
        </w:rPr>
        <w:t>By signposting, TAPs contribute to holistic care that extends beyond the acute setting.  Co-production can also involve engaging with community teams</w:t>
      </w:r>
      <w:r w:rsidR="00F77465" w:rsidRPr="00F77465">
        <w:rPr>
          <w:rFonts w:asciiTheme="minorHAnsi" w:hAnsiTheme="minorHAnsi"/>
        </w:rPr>
        <w:t xml:space="preserve"> </w:t>
      </w:r>
      <w:r w:rsidRPr="00F77465">
        <w:rPr>
          <w:rFonts w:asciiTheme="minorHAnsi" w:hAnsiTheme="minorHAnsi"/>
        </w:rPr>
        <w:t>to support safe and timely discharges.  While this integrated approach can have a positive impact on patients, challenges still remain.  High caseloads, time constraints and a variation in awareness of the TAP role can limit opportunities for full involvement in decision making (</w:t>
      </w:r>
      <w:r w:rsidR="00E13EB6" w:rsidRPr="00F77465">
        <w:rPr>
          <w:rFonts w:asciiTheme="minorHAnsi" w:hAnsiTheme="minorHAnsi"/>
        </w:rPr>
        <w:t>Kornhaber, Walsh, Duff, and Walker, 2016) as well as limited rigorous evaluation into how coproduction can be beneficial within the acute hospital setting (Clarke, Jones, Harris, and Robert, 2017).</w:t>
      </w:r>
    </w:p>
    <w:p w14:paraId="45D2E5EB" w14:textId="77777777" w:rsidR="00F70ED7" w:rsidRPr="00F77465" w:rsidRDefault="00F70ED7" w:rsidP="00F77465">
      <w:pPr>
        <w:spacing w:line="360" w:lineRule="auto"/>
        <w:rPr>
          <w:rFonts w:asciiTheme="minorHAnsi" w:eastAsia="Calibri" w:hAnsiTheme="minorHAnsi"/>
          <w:b/>
          <w:bCs/>
        </w:rPr>
      </w:pPr>
    </w:p>
    <w:p w14:paraId="0DCF4B03" w14:textId="2189FD9B" w:rsidR="003B60D4" w:rsidRPr="00F77465" w:rsidRDefault="003B60D4" w:rsidP="00F77465">
      <w:pPr>
        <w:spacing w:line="360" w:lineRule="auto"/>
        <w:rPr>
          <w:rFonts w:asciiTheme="minorHAnsi" w:eastAsia="Calibri" w:hAnsiTheme="minorHAnsi"/>
          <w:b/>
          <w:bCs/>
        </w:rPr>
      </w:pPr>
      <w:r w:rsidRPr="00F77465">
        <w:rPr>
          <w:rFonts w:asciiTheme="minorHAnsi" w:eastAsia="Calibri" w:hAnsiTheme="minorHAnsi"/>
          <w:b/>
          <w:bCs/>
        </w:rPr>
        <w:t xml:space="preserve">Clinical governance and supervision framework </w:t>
      </w:r>
    </w:p>
    <w:p w14:paraId="21C21833" w14:textId="43723A32" w:rsidR="009F6498" w:rsidRPr="00F77465" w:rsidRDefault="003F2A34" w:rsidP="00F77465">
      <w:pPr>
        <w:spacing w:line="360" w:lineRule="auto"/>
        <w:rPr>
          <w:rFonts w:asciiTheme="minorHAnsi" w:eastAsiaTheme="minorHAnsi" w:hAnsiTheme="minorHAnsi"/>
        </w:rPr>
      </w:pPr>
      <w:r w:rsidRPr="00F77465">
        <w:rPr>
          <w:rFonts w:asciiTheme="minorHAnsi" w:eastAsiaTheme="minorHAnsi" w:hAnsiTheme="minorHAnsi"/>
        </w:rPr>
        <w:t>Clinical governance and supervision frameworks are integral in maintaining and enhancing care quality</w:t>
      </w:r>
      <w:r w:rsidR="009F6498" w:rsidRPr="00F77465">
        <w:rPr>
          <w:rFonts w:asciiTheme="minorHAnsi" w:eastAsiaTheme="minorHAnsi" w:hAnsiTheme="minorHAnsi"/>
        </w:rPr>
        <w:t xml:space="preserve"> in healthcare, particularly for TAPs (</w:t>
      </w:r>
      <w:r w:rsidR="009E3ED3" w:rsidRPr="00F77465">
        <w:rPr>
          <w:rFonts w:asciiTheme="minorHAnsi" w:eastAsiaTheme="minorHAnsi" w:hAnsiTheme="minorHAnsi"/>
        </w:rPr>
        <w:t>Public Health Wales, 2023</w:t>
      </w:r>
      <w:r w:rsidR="009F6498" w:rsidRPr="00F77465">
        <w:rPr>
          <w:rFonts w:asciiTheme="minorHAnsi" w:eastAsiaTheme="minorHAnsi" w:hAnsiTheme="minorHAnsi"/>
        </w:rPr>
        <w:t>).  Both support TAPs in difference but complementary ways, ensuring patient safety and professional growth (</w:t>
      </w:r>
      <w:r w:rsidR="00174005" w:rsidRPr="00F77465">
        <w:rPr>
          <w:rFonts w:asciiTheme="minorHAnsi" w:eastAsiaTheme="minorHAnsi" w:hAnsiTheme="minorHAnsi"/>
        </w:rPr>
        <w:t>Tomlinson, 2015</w:t>
      </w:r>
      <w:r w:rsidR="009F6498" w:rsidRPr="00F77465">
        <w:rPr>
          <w:rFonts w:asciiTheme="minorHAnsi" w:eastAsiaTheme="minorHAnsi" w:hAnsiTheme="minorHAnsi"/>
        </w:rPr>
        <w:t>).</w:t>
      </w:r>
      <w:r w:rsidR="00502B1E" w:rsidRPr="00F77465">
        <w:rPr>
          <w:rFonts w:asciiTheme="minorHAnsi" w:eastAsiaTheme="minorHAnsi" w:hAnsiTheme="minorHAnsi"/>
        </w:rPr>
        <w:t xml:space="preserve">  However, both present challenges and potential negative impacts that need to be highlighted.</w:t>
      </w:r>
    </w:p>
    <w:p w14:paraId="1C101F38" w14:textId="77777777" w:rsidR="00F77465" w:rsidRDefault="00F77465" w:rsidP="00F77465">
      <w:pPr>
        <w:spacing w:line="360" w:lineRule="auto"/>
        <w:rPr>
          <w:rFonts w:asciiTheme="minorHAnsi" w:eastAsiaTheme="minorHAnsi" w:hAnsiTheme="minorHAnsi"/>
        </w:rPr>
      </w:pPr>
    </w:p>
    <w:p w14:paraId="2D55C3E7" w14:textId="4C5961F7" w:rsidR="00502B1E" w:rsidRPr="00F77465" w:rsidRDefault="009F6498" w:rsidP="00F77465">
      <w:pPr>
        <w:spacing w:line="360" w:lineRule="auto"/>
        <w:rPr>
          <w:rFonts w:asciiTheme="minorHAnsi" w:eastAsiaTheme="minorHAnsi" w:hAnsiTheme="minorHAnsi"/>
        </w:rPr>
      </w:pPr>
      <w:r w:rsidRPr="00F77465">
        <w:rPr>
          <w:rFonts w:asciiTheme="minorHAnsi" w:eastAsiaTheme="minorHAnsi" w:hAnsiTheme="minorHAnsi"/>
        </w:rPr>
        <w:t>Clinical governance provides a systematic structure aimed at maintaining high standards of care, promoting accountability, and managing risks within healthcare (</w:t>
      </w:r>
      <w:r w:rsidR="001C4CFA" w:rsidRPr="00F77465">
        <w:rPr>
          <w:rFonts w:asciiTheme="minorHAnsi" w:eastAsiaTheme="minorHAnsi" w:hAnsiTheme="minorHAnsi"/>
        </w:rPr>
        <w:t>Public Health Wales, 2023</w:t>
      </w:r>
      <w:r w:rsidRPr="00F77465">
        <w:rPr>
          <w:rFonts w:asciiTheme="minorHAnsi" w:eastAsiaTheme="minorHAnsi" w:hAnsiTheme="minorHAnsi"/>
        </w:rPr>
        <w:t>).  For TAPs clinical governance outlines safe practice and ensures compliance with NHS policies and promotes a culture of continuous improvement and patient safety (</w:t>
      </w:r>
      <w:r w:rsidR="001C4CFA" w:rsidRPr="00F77465">
        <w:rPr>
          <w:rFonts w:asciiTheme="minorHAnsi" w:eastAsiaTheme="minorHAnsi" w:hAnsiTheme="minorHAnsi"/>
        </w:rPr>
        <w:t>Welsh Assembly Government, 2025</w:t>
      </w:r>
      <w:r w:rsidRPr="00F77465">
        <w:rPr>
          <w:rFonts w:asciiTheme="minorHAnsi" w:eastAsiaTheme="minorHAnsi" w:hAnsiTheme="minorHAnsi"/>
        </w:rPr>
        <w:t>).  It creates</w:t>
      </w:r>
      <w:r w:rsidR="00502B1E" w:rsidRPr="00F77465">
        <w:rPr>
          <w:rFonts w:asciiTheme="minorHAnsi" w:eastAsiaTheme="minorHAnsi" w:hAnsiTheme="minorHAnsi"/>
        </w:rPr>
        <w:t xml:space="preserve"> clear guidelines and procedures that help TAPs</w:t>
      </w:r>
      <w:r w:rsidR="00610A6B" w:rsidRPr="00F77465">
        <w:rPr>
          <w:rFonts w:asciiTheme="minorHAnsi" w:eastAsiaTheme="minorHAnsi" w:hAnsiTheme="minorHAnsi"/>
        </w:rPr>
        <w:t xml:space="preserve"> to work</w:t>
      </w:r>
      <w:r w:rsidR="00502B1E" w:rsidRPr="00F77465">
        <w:rPr>
          <w:rFonts w:asciiTheme="minorHAnsi" w:eastAsiaTheme="minorHAnsi" w:hAnsiTheme="minorHAnsi"/>
        </w:rPr>
        <w:t xml:space="preserve"> confidently in their roles (</w:t>
      </w:r>
      <w:r w:rsidR="001C4CFA" w:rsidRPr="00F77465">
        <w:rPr>
          <w:rFonts w:asciiTheme="minorHAnsi" w:eastAsiaTheme="minorHAnsi" w:hAnsiTheme="minorHAnsi"/>
        </w:rPr>
        <w:t>Welsh Assembly Government, 2025</w:t>
      </w:r>
      <w:r w:rsidR="00502B1E" w:rsidRPr="00F77465">
        <w:rPr>
          <w:rFonts w:asciiTheme="minorHAnsi" w:eastAsiaTheme="minorHAnsi" w:hAnsiTheme="minorHAnsi"/>
        </w:rPr>
        <w:t xml:space="preserve">).  Nevertheless, </w:t>
      </w:r>
      <w:r w:rsidR="001C4CFA" w:rsidRPr="00F77465">
        <w:rPr>
          <w:rFonts w:asciiTheme="minorHAnsi" w:eastAsiaTheme="minorHAnsi" w:hAnsiTheme="minorHAnsi"/>
        </w:rPr>
        <w:t xml:space="preserve">Vostry </w:t>
      </w:r>
      <w:r w:rsidR="001C4CFA" w:rsidRPr="00F77465">
        <w:rPr>
          <w:rFonts w:asciiTheme="minorHAnsi" w:eastAsiaTheme="minorHAnsi" w:hAnsiTheme="minorHAnsi"/>
          <w:i/>
          <w:iCs/>
        </w:rPr>
        <w:t>et al</w:t>
      </w:r>
      <w:r w:rsidR="001C4CFA" w:rsidRPr="00F77465">
        <w:rPr>
          <w:rFonts w:asciiTheme="minorHAnsi" w:eastAsiaTheme="minorHAnsi" w:hAnsiTheme="minorHAnsi"/>
        </w:rPr>
        <w:t xml:space="preserve">, (2024) </w:t>
      </w:r>
      <w:r w:rsidR="00502B1E" w:rsidRPr="00F77465">
        <w:rPr>
          <w:rFonts w:asciiTheme="minorHAnsi" w:eastAsiaTheme="minorHAnsi" w:hAnsiTheme="minorHAnsi"/>
        </w:rPr>
        <w:t xml:space="preserve">note that overly rigid processes can sometimes lead to a ‘tick-box’ mentality where staff focus on meeting documentation requirements than on genuine patient centred care.  This can </w:t>
      </w:r>
      <w:r w:rsidR="00F576B1" w:rsidRPr="00F77465">
        <w:rPr>
          <w:rFonts w:asciiTheme="minorHAnsi" w:eastAsiaTheme="minorHAnsi" w:hAnsiTheme="minorHAnsi"/>
        </w:rPr>
        <w:t>increase</w:t>
      </w:r>
      <w:r w:rsidR="00502B1E" w:rsidRPr="00F77465">
        <w:rPr>
          <w:rFonts w:asciiTheme="minorHAnsi" w:eastAsiaTheme="minorHAnsi" w:hAnsiTheme="minorHAnsi"/>
        </w:rPr>
        <w:t xml:space="preserve"> stress amongst staff, which could potentially detract from learning and flexibility in practice.</w:t>
      </w:r>
    </w:p>
    <w:p w14:paraId="40E5D641" w14:textId="77777777" w:rsidR="00F77465" w:rsidRDefault="00F77465" w:rsidP="00F77465">
      <w:pPr>
        <w:spacing w:line="360" w:lineRule="auto"/>
        <w:rPr>
          <w:rFonts w:asciiTheme="minorHAnsi" w:eastAsiaTheme="minorHAnsi" w:hAnsiTheme="minorHAnsi"/>
        </w:rPr>
      </w:pPr>
    </w:p>
    <w:p w14:paraId="6868B34F" w14:textId="2AF2D518" w:rsidR="00502B1E" w:rsidRPr="00F77465" w:rsidRDefault="00F576B1" w:rsidP="00F77465">
      <w:pPr>
        <w:spacing w:line="360" w:lineRule="auto"/>
        <w:rPr>
          <w:rFonts w:asciiTheme="minorHAnsi" w:eastAsiaTheme="minorHAnsi" w:hAnsiTheme="minorHAnsi"/>
        </w:rPr>
      </w:pPr>
      <w:r w:rsidRPr="00F77465">
        <w:rPr>
          <w:rFonts w:asciiTheme="minorHAnsi" w:eastAsiaTheme="minorHAnsi" w:hAnsiTheme="minorHAnsi"/>
        </w:rPr>
        <w:t xml:space="preserve">In contrast, supervision frameworks encourage healthcare professionals to focus on developmental and reflective aspects of their professional practice.  </w:t>
      </w:r>
      <w:r w:rsidR="001C4CFA" w:rsidRPr="00F77465">
        <w:rPr>
          <w:rFonts w:asciiTheme="minorHAnsi" w:eastAsiaTheme="minorHAnsi" w:hAnsiTheme="minorHAnsi"/>
        </w:rPr>
        <w:t>Tomlinson, (2015</w:t>
      </w:r>
      <w:r w:rsidRPr="00F77465">
        <w:rPr>
          <w:rFonts w:asciiTheme="minorHAnsi" w:eastAsiaTheme="minorHAnsi" w:hAnsiTheme="minorHAnsi"/>
        </w:rPr>
        <w:t>) highlight supervision as a key mechanism in supporting with professional growth and improving care quality by providing structured support and feedback.  For TAPs, supervision offers guidance and mentorship that can help with the challenges of work, enabling reflective learning and skill enhance</w:t>
      </w:r>
      <w:r w:rsidR="007629CB" w:rsidRPr="00F77465">
        <w:rPr>
          <w:rFonts w:asciiTheme="minorHAnsi" w:eastAsiaTheme="minorHAnsi" w:hAnsiTheme="minorHAnsi"/>
        </w:rPr>
        <w:t>ment (</w:t>
      </w:r>
      <w:r w:rsidR="001C4CFA" w:rsidRPr="00F77465">
        <w:rPr>
          <w:rFonts w:asciiTheme="minorHAnsi" w:eastAsiaTheme="minorHAnsi" w:hAnsiTheme="minorHAnsi"/>
        </w:rPr>
        <w:t>Tu, Huang, Sitar, and Wang, 2023</w:t>
      </w:r>
      <w:r w:rsidR="007629CB" w:rsidRPr="00F77465">
        <w:rPr>
          <w:rFonts w:asciiTheme="minorHAnsi" w:eastAsiaTheme="minorHAnsi" w:hAnsiTheme="minorHAnsi"/>
        </w:rPr>
        <w:t>).  However, (</w:t>
      </w:r>
      <w:r w:rsidR="00E87126" w:rsidRPr="00F77465">
        <w:rPr>
          <w:rFonts w:asciiTheme="minorHAnsi" w:eastAsiaTheme="minorHAnsi" w:hAnsiTheme="minorHAnsi"/>
        </w:rPr>
        <w:t xml:space="preserve">Vostry </w:t>
      </w:r>
      <w:r w:rsidR="00E87126" w:rsidRPr="00F77465">
        <w:rPr>
          <w:rFonts w:asciiTheme="minorHAnsi" w:eastAsiaTheme="minorHAnsi" w:hAnsiTheme="minorHAnsi"/>
          <w:i/>
          <w:iCs/>
        </w:rPr>
        <w:t>et al</w:t>
      </w:r>
      <w:r w:rsidR="00E87126" w:rsidRPr="00F77465">
        <w:rPr>
          <w:rFonts w:asciiTheme="minorHAnsi" w:eastAsiaTheme="minorHAnsi" w:hAnsiTheme="minorHAnsi"/>
        </w:rPr>
        <w:t>, 2024</w:t>
      </w:r>
      <w:r w:rsidR="007629CB" w:rsidRPr="00F77465">
        <w:rPr>
          <w:rFonts w:asciiTheme="minorHAnsi" w:eastAsiaTheme="minorHAnsi" w:hAnsiTheme="minorHAnsi"/>
        </w:rPr>
        <w:t xml:space="preserve">) discuss the possible negative aspects, which include inconsistent quality of supervision and the risk of </w:t>
      </w:r>
      <w:r w:rsidR="00373C4A" w:rsidRPr="00F77465">
        <w:rPr>
          <w:rFonts w:asciiTheme="minorHAnsi" w:eastAsiaTheme="minorHAnsi" w:hAnsiTheme="minorHAnsi"/>
        </w:rPr>
        <w:t>staff overly depending on supervisors which can undermine a TAPs autonomy.  In addition, structured supervision session may limit the benefits causing frustration or reduce staff motivation (</w:t>
      </w:r>
      <w:r w:rsidR="00BB0070" w:rsidRPr="00F77465">
        <w:rPr>
          <w:rFonts w:asciiTheme="minorHAnsi" w:eastAsiaTheme="minorHAnsi" w:hAnsiTheme="minorHAnsi"/>
        </w:rPr>
        <w:t>Tu, Huang, Sitar and Wang, 2023</w:t>
      </w:r>
      <w:r w:rsidR="00373C4A" w:rsidRPr="00F77465">
        <w:rPr>
          <w:rFonts w:asciiTheme="minorHAnsi" w:eastAsiaTheme="minorHAnsi" w:hAnsiTheme="minorHAnsi"/>
        </w:rPr>
        <w:t>).</w:t>
      </w:r>
    </w:p>
    <w:p w14:paraId="12E30992" w14:textId="77777777" w:rsidR="00F77465" w:rsidRDefault="00F77465" w:rsidP="00F77465">
      <w:pPr>
        <w:spacing w:line="360" w:lineRule="auto"/>
        <w:rPr>
          <w:rFonts w:asciiTheme="minorHAnsi" w:eastAsiaTheme="minorHAnsi" w:hAnsiTheme="minorHAnsi"/>
        </w:rPr>
      </w:pPr>
    </w:p>
    <w:p w14:paraId="1B6DBFB7" w14:textId="35DA4DAF" w:rsidR="00373C4A" w:rsidRPr="00F77465" w:rsidRDefault="00373C4A" w:rsidP="00F77465">
      <w:pPr>
        <w:spacing w:line="360" w:lineRule="auto"/>
        <w:rPr>
          <w:rFonts w:asciiTheme="minorHAnsi" w:eastAsiaTheme="minorHAnsi" w:hAnsiTheme="minorHAnsi"/>
        </w:rPr>
      </w:pPr>
      <w:r w:rsidRPr="00F77465">
        <w:rPr>
          <w:rFonts w:asciiTheme="minorHAnsi" w:eastAsiaTheme="minorHAnsi" w:hAnsiTheme="minorHAnsi"/>
        </w:rPr>
        <w:t xml:space="preserve">A supervision framework facilitates peer support and professional identity, which is important for </w:t>
      </w:r>
      <w:r w:rsidR="00E87126" w:rsidRPr="00F77465">
        <w:rPr>
          <w:rFonts w:asciiTheme="minorHAnsi" w:eastAsiaTheme="minorHAnsi" w:hAnsiTheme="minorHAnsi"/>
        </w:rPr>
        <w:t>staff</w:t>
      </w:r>
      <w:r w:rsidRPr="00F77465">
        <w:rPr>
          <w:rFonts w:asciiTheme="minorHAnsi" w:eastAsiaTheme="minorHAnsi" w:hAnsiTheme="minorHAnsi"/>
        </w:rPr>
        <w:t xml:space="preserve"> developing in their role and becoming more independent in their practice (</w:t>
      </w:r>
      <w:r w:rsidR="00E87126" w:rsidRPr="00F77465">
        <w:rPr>
          <w:rFonts w:asciiTheme="minorHAnsi" w:eastAsiaTheme="minorHAnsi" w:hAnsiTheme="minorHAnsi"/>
        </w:rPr>
        <w:t>Martin, Lizarondo, Kumar, and Snowdon, 2021</w:t>
      </w:r>
      <w:r w:rsidRPr="00F77465">
        <w:rPr>
          <w:rFonts w:asciiTheme="minorHAnsi" w:eastAsiaTheme="minorHAnsi" w:hAnsiTheme="minorHAnsi"/>
        </w:rPr>
        <w:t>).</w:t>
      </w:r>
      <w:r w:rsidR="002F36B0" w:rsidRPr="00F77465">
        <w:rPr>
          <w:rFonts w:asciiTheme="minorHAnsi" w:eastAsiaTheme="minorHAnsi" w:hAnsiTheme="minorHAnsi"/>
        </w:rPr>
        <w:t xml:space="preserve">  This aligns with clinical governance broader aims of sustaining a competent workforce to deliver safe care (</w:t>
      </w:r>
      <w:r w:rsidR="00E87126" w:rsidRPr="00F77465">
        <w:rPr>
          <w:rFonts w:asciiTheme="minorHAnsi" w:eastAsiaTheme="minorHAnsi" w:hAnsiTheme="minorHAnsi"/>
        </w:rPr>
        <w:t>Public Health Wales, 2023</w:t>
      </w:r>
      <w:r w:rsidR="002F36B0" w:rsidRPr="00F77465">
        <w:rPr>
          <w:rFonts w:asciiTheme="minorHAnsi" w:eastAsiaTheme="minorHAnsi" w:hAnsiTheme="minorHAnsi"/>
        </w:rPr>
        <w:t xml:space="preserve">).  </w:t>
      </w:r>
      <w:r w:rsidR="00E87126" w:rsidRPr="00F77465">
        <w:rPr>
          <w:rFonts w:asciiTheme="minorHAnsi" w:eastAsiaTheme="minorHAnsi" w:hAnsiTheme="minorHAnsi"/>
        </w:rPr>
        <w:t>Tomlinson, (2015</w:t>
      </w:r>
      <w:r w:rsidR="002F36B0" w:rsidRPr="00F77465">
        <w:rPr>
          <w:rFonts w:asciiTheme="minorHAnsi" w:eastAsiaTheme="minorHAnsi" w:hAnsiTheme="minorHAnsi"/>
        </w:rPr>
        <w:t xml:space="preserve">) highlight that effective clinical supervision reduces practitioner stress and burnout.  </w:t>
      </w:r>
    </w:p>
    <w:p w14:paraId="1D1B2800" w14:textId="77777777" w:rsidR="00F77465" w:rsidRDefault="00F77465" w:rsidP="00F77465">
      <w:pPr>
        <w:spacing w:line="360" w:lineRule="auto"/>
        <w:rPr>
          <w:rFonts w:asciiTheme="minorHAnsi" w:eastAsiaTheme="minorHAnsi" w:hAnsiTheme="minorHAnsi"/>
        </w:rPr>
      </w:pPr>
    </w:p>
    <w:p w14:paraId="14A67B5D" w14:textId="53FC9CE0" w:rsidR="002F36B0" w:rsidRPr="00F77465" w:rsidRDefault="002F36B0" w:rsidP="00F77465">
      <w:pPr>
        <w:spacing w:line="360" w:lineRule="auto"/>
        <w:rPr>
          <w:rFonts w:asciiTheme="minorHAnsi" w:hAnsiTheme="minorHAnsi"/>
        </w:rPr>
      </w:pPr>
      <w:r w:rsidRPr="00F77465">
        <w:rPr>
          <w:rFonts w:asciiTheme="minorHAnsi" w:eastAsiaTheme="minorHAnsi" w:hAnsiTheme="minorHAnsi"/>
        </w:rPr>
        <w:t xml:space="preserve">In </w:t>
      </w:r>
      <w:r w:rsidR="001A0C29" w:rsidRPr="00F77465">
        <w:rPr>
          <w:rFonts w:asciiTheme="minorHAnsi" w:eastAsiaTheme="minorHAnsi" w:hAnsiTheme="minorHAnsi"/>
        </w:rPr>
        <w:t>conclusion</w:t>
      </w:r>
      <w:r w:rsidRPr="00F77465">
        <w:rPr>
          <w:rFonts w:asciiTheme="minorHAnsi" w:eastAsiaTheme="minorHAnsi" w:hAnsiTheme="minorHAnsi"/>
        </w:rPr>
        <w:t xml:space="preserve">, clinical governance and supervision frameworks </w:t>
      </w:r>
      <w:r w:rsidR="00610A6B" w:rsidRPr="00F77465">
        <w:rPr>
          <w:rFonts w:asciiTheme="minorHAnsi" w:eastAsiaTheme="minorHAnsi" w:hAnsiTheme="minorHAnsi"/>
        </w:rPr>
        <w:t>balance</w:t>
      </w:r>
      <w:r w:rsidRPr="00F77465">
        <w:rPr>
          <w:rFonts w:asciiTheme="minorHAnsi" w:eastAsiaTheme="minorHAnsi" w:hAnsiTheme="minorHAnsi"/>
        </w:rPr>
        <w:t xml:space="preserve"> each other in supporting TAPs</w:t>
      </w:r>
      <w:r w:rsidR="001A0C29" w:rsidRPr="00F77465">
        <w:rPr>
          <w:rFonts w:asciiTheme="minorHAnsi" w:eastAsiaTheme="minorHAnsi" w:hAnsiTheme="minorHAnsi"/>
        </w:rPr>
        <w:t xml:space="preserve">, yet each have potential </w:t>
      </w:r>
      <w:r w:rsidR="00610A6B" w:rsidRPr="00F77465">
        <w:rPr>
          <w:rFonts w:asciiTheme="minorHAnsi" w:eastAsiaTheme="minorHAnsi" w:hAnsiTheme="minorHAnsi"/>
        </w:rPr>
        <w:t>negatives</w:t>
      </w:r>
      <w:r w:rsidR="001A0C29" w:rsidRPr="00F77465">
        <w:rPr>
          <w:rFonts w:asciiTheme="minorHAnsi" w:eastAsiaTheme="minorHAnsi" w:hAnsiTheme="minorHAnsi"/>
        </w:rPr>
        <w:t xml:space="preserve"> which could lead to increased workload, reduced flexibility.  </w:t>
      </w:r>
      <w:r w:rsidR="001A0C29" w:rsidRPr="00F77465">
        <w:rPr>
          <w:rFonts w:asciiTheme="minorHAnsi" w:eastAsiaTheme="minorHAnsi" w:hAnsiTheme="minorHAnsi"/>
        </w:rPr>
        <w:lastRenderedPageBreak/>
        <w:t>Supervision can be impacted by over-dependence and variability in support.  It is important to understand and address these challenges to ensure TAPs can provide high quality care within a supportive and accountable environment.</w:t>
      </w:r>
    </w:p>
    <w:p w14:paraId="2C1B0F04" w14:textId="77777777" w:rsidR="00F77465" w:rsidRPr="00F77465" w:rsidRDefault="00F77465" w:rsidP="00F77465">
      <w:pPr>
        <w:spacing w:line="360" w:lineRule="auto"/>
        <w:rPr>
          <w:rFonts w:asciiTheme="minorHAnsi" w:eastAsia="Calibri" w:hAnsiTheme="minorHAnsi"/>
          <w:b/>
          <w:bCs/>
        </w:rPr>
      </w:pPr>
    </w:p>
    <w:p w14:paraId="1A20A20D" w14:textId="70F597E0" w:rsidR="00F77465" w:rsidRPr="00F77465" w:rsidRDefault="002A6C93" w:rsidP="00F77465">
      <w:pPr>
        <w:spacing w:line="360" w:lineRule="auto"/>
        <w:rPr>
          <w:rFonts w:asciiTheme="minorHAnsi" w:eastAsia="Calibri" w:hAnsiTheme="minorHAnsi"/>
        </w:rPr>
      </w:pPr>
      <w:r w:rsidRPr="00F77465">
        <w:rPr>
          <w:rFonts w:asciiTheme="minorHAnsi" w:eastAsia="Calibri" w:hAnsiTheme="minorHAnsi"/>
          <w:b/>
          <w:bCs/>
        </w:rPr>
        <w:t>Conclusion and recommendations</w:t>
      </w:r>
    </w:p>
    <w:p w14:paraId="31009F05" w14:textId="67EF7240" w:rsidR="008B621F" w:rsidRPr="00F77465" w:rsidRDefault="008B621F" w:rsidP="00F77465">
      <w:pPr>
        <w:spacing w:line="360" w:lineRule="auto"/>
        <w:rPr>
          <w:rFonts w:asciiTheme="minorHAnsi" w:eastAsia="Calibri" w:hAnsiTheme="minorHAnsi"/>
        </w:rPr>
      </w:pPr>
      <w:r w:rsidRPr="00F77465">
        <w:rPr>
          <w:rFonts w:asciiTheme="minorHAnsi" w:eastAsia="Calibri" w:hAnsiTheme="minorHAnsi"/>
        </w:rPr>
        <w:t xml:space="preserve">The role of the TAP within the AOS at CAVUHB has emerged as an essential factor of patient-centred cancer care.  This report has demonstrated how the TAP contributes to the MDT approach to help support and manage complex patient needs in an acute setting.  Through screening, early interventions, and collaboration with wider healthcare teas, the TAP support holistic care that addresses physical, psychological, and emotional challenges that patients by Luke experience (Campbell </w:t>
      </w:r>
      <w:r w:rsidRPr="00F77465">
        <w:rPr>
          <w:rFonts w:asciiTheme="minorHAnsi" w:eastAsia="Calibri" w:hAnsiTheme="minorHAnsi"/>
          <w:i/>
          <w:iCs/>
        </w:rPr>
        <w:t>et al</w:t>
      </w:r>
      <w:r w:rsidRPr="00F77465">
        <w:rPr>
          <w:rFonts w:asciiTheme="minorHAnsi" w:eastAsia="Calibri" w:hAnsiTheme="minorHAnsi"/>
        </w:rPr>
        <w:t xml:space="preserve">, 2024; Singh </w:t>
      </w:r>
      <w:r w:rsidRPr="00F77465">
        <w:rPr>
          <w:rFonts w:asciiTheme="minorHAnsi" w:eastAsia="Calibri" w:hAnsiTheme="minorHAnsi"/>
          <w:i/>
          <w:iCs/>
        </w:rPr>
        <w:t>et al</w:t>
      </w:r>
      <w:r w:rsidRPr="00F77465">
        <w:rPr>
          <w:rFonts w:asciiTheme="minorHAnsi" w:eastAsia="Calibri" w:hAnsiTheme="minorHAnsi"/>
        </w:rPr>
        <w:t xml:space="preserve">, 2021).  </w:t>
      </w:r>
    </w:p>
    <w:p w14:paraId="54A2E506" w14:textId="77777777" w:rsidR="00226062" w:rsidRDefault="00226062" w:rsidP="00F77465">
      <w:pPr>
        <w:spacing w:line="360" w:lineRule="auto"/>
        <w:rPr>
          <w:rFonts w:asciiTheme="minorHAnsi" w:eastAsia="Calibri" w:hAnsiTheme="minorHAnsi"/>
        </w:rPr>
      </w:pPr>
    </w:p>
    <w:p w14:paraId="5E236559" w14:textId="0C54F50D" w:rsidR="00181829" w:rsidRPr="00F77465" w:rsidRDefault="008B621F" w:rsidP="00F77465">
      <w:pPr>
        <w:spacing w:line="360" w:lineRule="auto"/>
        <w:rPr>
          <w:rFonts w:asciiTheme="minorHAnsi" w:eastAsia="Calibri" w:hAnsiTheme="minorHAnsi"/>
        </w:rPr>
      </w:pPr>
      <w:r w:rsidRPr="00F77465">
        <w:rPr>
          <w:rFonts w:asciiTheme="minorHAnsi" w:eastAsia="Calibri" w:hAnsiTheme="minorHAnsi"/>
        </w:rPr>
        <w:t>Historically, acutely unwell cancer patients presenting in emergency departments often receive fragmented care which can result in delayed discharges</w:t>
      </w:r>
      <w:r w:rsidR="00181829" w:rsidRPr="00F77465">
        <w:rPr>
          <w:rFonts w:asciiTheme="minorHAnsi" w:eastAsia="Calibri" w:hAnsiTheme="minorHAnsi"/>
        </w:rPr>
        <w:t xml:space="preserve"> and poorer outcomes (Pugh </w:t>
      </w:r>
      <w:r w:rsidR="00181829" w:rsidRPr="00F77465">
        <w:rPr>
          <w:rFonts w:asciiTheme="minorHAnsi" w:eastAsia="Calibri" w:hAnsiTheme="minorHAnsi"/>
          <w:i/>
          <w:iCs/>
        </w:rPr>
        <w:t>et al,</w:t>
      </w:r>
      <w:r w:rsidR="00181829" w:rsidRPr="00F77465">
        <w:rPr>
          <w:rFonts w:asciiTheme="minorHAnsi" w:eastAsia="Calibri" w:hAnsiTheme="minorHAnsi"/>
        </w:rPr>
        <w:t xml:space="preserve"> 2015; Young </w:t>
      </w:r>
      <w:r w:rsidR="00181829" w:rsidRPr="00F77465">
        <w:rPr>
          <w:rFonts w:asciiTheme="minorHAnsi" w:eastAsia="Calibri" w:hAnsiTheme="minorHAnsi"/>
          <w:i/>
          <w:iCs/>
        </w:rPr>
        <w:t>et al</w:t>
      </w:r>
      <w:r w:rsidR="00181829" w:rsidRPr="00F77465">
        <w:rPr>
          <w:rFonts w:asciiTheme="minorHAnsi" w:eastAsia="Calibri" w:hAnsiTheme="minorHAnsi"/>
        </w:rPr>
        <w:t xml:space="preserve">, 2016).  With the introduction of AOS into district general hospitals, supported by specialist roles such as CNS, AHPs and TAPs, patient outcomes and experiences have improved (Viggars </w:t>
      </w:r>
      <w:r w:rsidR="00181829" w:rsidRPr="00F77465">
        <w:rPr>
          <w:rFonts w:asciiTheme="minorHAnsi" w:eastAsia="Calibri" w:hAnsiTheme="minorHAnsi"/>
          <w:i/>
          <w:iCs/>
        </w:rPr>
        <w:t>et al,</w:t>
      </w:r>
      <w:r w:rsidR="00181829" w:rsidRPr="00F77465">
        <w:rPr>
          <w:rFonts w:asciiTheme="minorHAnsi" w:eastAsia="Calibri" w:hAnsiTheme="minorHAnsi"/>
        </w:rPr>
        <w:t xml:space="preserve"> 2022).  A TAPs ability to deliver timely interventions, reduce the risk of deconditioning, manage CRF, and liaise with external agencies reflects the potential for broader service improvement and discharge planning (Snowden et al, 2020; Bruce, Smith, and Price, 2017).</w:t>
      </w:r>
    </w:p>
    <w:p w14:paraId="75CACEAE" w14:textId="77777777" w:rsidR="00F77465" w:rsidRDefault="00F77465" w:rsidP="00F77465">
      <w:pPr>
        <w:spacing w:line="360" w:lineRule="auto"/>
        <w:rPr>
          <w:rFonts w:asciiTheme="minorHAnsi" w:eastAsia="Calibri" w:hAnsiTheme="minorHAnsi"/>
        </w:rPr>
      </w:pPr>
    </w:p>
    <w:p w14:paraId="7BE62B14" w14:textId="1C048E10" w:rsidR="002D7915" w:rsidRPr="00F77465" w:rsidRDefault="003D000E" w:rsidP="00F77465">
      <w:pPr>
        <w:spacing w:line="360" w:lineRule="auto"/>
        <w:rPr>
          <w:rFonts w:asciiTheme="minorHAnsi" w:eastAsia="Calibri" w:hAnsiTheme="minorHAnsi"/>
        </w:rPr>
      </w:pPr>
      <w:r w:rsidRPr="00F77465">
        <w:rPr>
          <w:rFonts w:asciiTheme="minorHAnsi" w:eastAsia="Calibri" w:hAnsiTheme="minorHAnsi"/>
        </w:rPr>
        <w:t xml:space="preserve">Despite the positive impact of AOS, challenges remain.  </w:t>
      </w:r>
      <w:r w:rsidR="002D7915" w:rsidRPr="00F77465">
        <w:rPr>
          <w:rFonts w:asciiTheme="minorHAnsi" w:eastAsia="Calibri" w:hAnsiTheme="minorHAnsi"/>
        </w:rPr>
        <w:t xml:space="preserve">Initially AOS lacked standardised structures and was inconsistently implemented across hospitals, leading to variable levels of service provision and patient outcomes (Pugh </w:t>
      </w:r>
      <w:r w:rsidR="002D7915" w:rsidRPr="00F77465">
        <w:rPr>
          <w:rFonts w:asciiTheme="minorHAnsi" w:eastAsia="Calibri" w:hAnsiTheme="minorHAnsi"/>
          <w:i/>
          <w:iCs/>
        </w:rPr>
        <w:t>et al</w:t>
      </w:r>
      <w:r w:rsidR="002D7915" w:rsidRPr="00F77465">
        <w:rPr>
          <w:rFonts w:asciiTheme="minorHAnsi" w:eastAsia="Calibri" w:hAnsiTheme="minorHAnsi"/>
        </w:rPr>
        <w:t xml:space="preserve">, 2015; Young </w:t>
      </w:r>
      <w:r w:rsidR="002D7915" w:rsidRPr="00F77465">
        <w:rPr>
          <w:rFonts w:asciiTheme="minorHAnsi" w:eastAsia="Calibri" w:hAnsiTheme="minorHAnsi"/>
          <w:i/>
          <w:iCs/>
        </w:rPr>
        <w:t>et al,</w:t>
      </w:r>
      <w:r w:rsidR="002D7915" w:rsidRPr="00F77465">
        <w:rPr>
          <w:rFonts w:asciiTheme="minorHAnsi" w:eastAsia="Calibri" w:hAnsiTheme="minorHAnsi"/>
        </w:rPr>
        <w:t xml:space="preserve"> 2016).  Establishing clear roles within these evolving services, such as a TAP, require significant investment in workforce and education (Viggars </w:t>
      </w:r>
      <w:r w:rsidR="002D7915" w:rsidRPr="00F77465">
        <w:rPr>
          <w:rFonts w:asciiTheme="minorHAnsi" w:eastAsia="Calibri" w:hAnsiTheme="minorHAnsi"/>
          <w:i/>
          <w:iCs/>
        </w:rPr>
        <w:t>et al,</w:t>
      </w:r>
      <w:r w:rsidR="002D7915" w:rsidRPr="00F77465">
        <w:rPr>
          <w:rFonts w:asciiTheme="minorHAnsi" w:eastAsia="Calibri" w:hAnsiTheme="minorHAnsi"/>
        </w:rPr>
        <w:t xml:space="preserve"> 2022).  Despite these obstacles, evidence suggest</w:t>
      </w:r>
      <w:r w:rsidR="00F70ED7" w:rsidRPr="00F77465">
        <w:rPr>
          <w:rFonts w:asciiTheme="minorHAnsi" w:eastAsia="Calibri" w:hAnsiTheme="minorHAnsi"/>
        </w:rPr>
        <w:t xml:space="preserve">s </w:t>
      </w:r>
      <w:r w:rsidR="002D7915" w:rsidRPr="00F77465">
        <w:rPr>
          <w:rFonts w:asciiTheme="minorHAnsi" w:eastAsia="Calibri" w:hAnsiTheme="minorHAnsi"/>
        </w:rPr>
        <w:t xml:space="preserve">AOS – when supported by roles such as TAP can improve patient flow, reduces unnecessary admissions, and enhance quality of care.  Clinical governance and supervision provide TAPs a clear scope of practice to work within but still allows </w:t>
      </w:r>
      <w:r w:rsidR="00F77465" w:rsidRPr="00F77465">
        <w:rPr>
          <w:rFonts w:asciiTheme="minorHAnsi" w:eastAsia="Calibri" w:hAnsiTheme="minorHAnsi"/>
        </w:rPr>
        <w:t>for</w:t>
      </w:r>
      <w:r w:rsidR="002D7915" w:rsidRPr="00F77465">
        <w:rPr>
          <w:rFonts w:asciiTheme="minorHAnsi" w:eastAsia="Calibri" w:hAnsiTheme="minorHAnsi"/>
        </w:rPr>
        <w:t xml:space="preserve"> autonomy and opportunity to discuss clinical caseload </w:t>
      </w:r>
      <w:r w:rsidR="00F77465" w:rsidRPr="00F77465">
        <w:rPr>
          <w:rFonts w:asciiTheme="minorHAnsi" w:eastAsia="Calibri" w:hAnsiTheme="minorHAnsi"/>
        </w:rPr>
        <w:t>allows for the</w:t>
      </w:r>
      <w:r w:rsidR="002D7915" w:rsidRPr="00F77465">
        <w:rPr>
          <w:rFonts w:asciiTheme="minorHAnsi" w:eastAsia="Calibri" w:hAnsiTheme="minorHAnsi"/>
        </w:rPr>
        <w:t xml:space="preserve"> support and guidance of a qualified practitioner (Public Health Wales, 2023; Welsh Assembly Government, 2025</w:t>
      </w:r>
      <w:r w:rsidR="00F17CB4" w:rsidRPr="00F77465">
        <w:rPr>
          <w:rFonts w:asciiTheme="minorHAnsi" w:eastAsiaTheme="minorHAnsi" w:hAnsiTheme="minorHAnsi"/>
        </w:rPr>
        <w:t xml:space="preserve">).   </w:t>
      </w:r>
    </w:p>
    <w:p w14:paraId="2CD7203D" w14:textId="77777777" w:rsidR="00F77465" w:rsidRDefault="00F77465" w:rsidP="00F77465">
      <w:pPr>
        <w:spacing w:line="360" w:lineRule="auto"/>
        <w:rPr>
          <w:rStyle w:val="Strong"/>
          <w:rFonts w:asciiTheme="minorHAnsi" w:eastAsiaTheme="majorEastAsia" w:hAnsiTheme="minorHAnsi"/>
          <w:color w:val="000000"/>
        </w:rPr>
      </w:pPr>
    </w:p>
    <w:p w14:paraId="2F57D7BA" w14:textId="0067E55F" w:rsidR="002D7915" w:rsidRPr="00F77465" w:rsidRDefault="008B621F" w:rsidP="00F77465">
      <w:pPr>
        <w:spacing w:line="360" w:lineRule="auto"/>
        <w:rPr>
          <w:rFonts w:asciiTheme="minorHAnsi" w:eastAsiaTheme="majorEastAsia" w:hAnsiTheme="minorHAnsi"/>
          <w:b/>
          <w:bCs/>
          <w:color w:val="000000"/>
        </w:rPr>
      </w:pPr>
      <w:r w:rsidRPr="00F77465">
        <w:rPr>
          <w:rStyle w:val="Strong"/>
          <w:rFonts w:asciiTheme="minorHAnsi" w:eastAsiaTheme="majorEastAsia" w:hAnsiTheme="minorHAnsi"/>
          <w:color w:val="000000"/>
        </w:rPr>
        <w:t>Recommendations:</w:t>
      </w:r>
    </w:p>
    <w:p w14:paraId="2E221886" w14:textId="6C7AC497" w:rsidR="008B621F" w:rsidRPr="00F77465" w:rsidRDefault="008B621F" w:rsidP="00F77465">
      <w:pPr>
        <w:numPr>
          <w:ilvl w:val="0"/>
          <w:numId w:val="11"/>
        </w:numPr>
        <w:spacing w:line="360" w:lineRule="auto"/>
        <w:rPr>
          <w:rFonts w:asciiTheme="minorHAnsi" w:hAnsiTheme="minorHAnsi"/>
          <w:color w:val="000000"/>
        </w:rPr>
      </w:pPr>
      <w:r w:rsidRPr="00F77465">
        <w:rPr>
          <w:rStyle w:val="Strong"/>
          <w:rFonts w:asciiTheme="minorHAnsi" w:eastAsiaTheme="majorEastAsia" w:hAnsiTheme="minorHAnsi"/>
          <w:color w:val="000000"/>
        </w:rPr>
        <w:t>Standardised AHP Screening</w:t>
      </w:r>
      <w:r w:rsidRPr="00F77465">
        <w:rPr>
          <w:rFonts w:asciiTheme="minorHAnsi" w:hAnsiTheme="minorHAnsi"/>
          <w:color w:val="000000"/>
        </w:rPr>
        <w:t>: Implement routine screening by TAPs across relevant hospital wards to ensure timely identification of patients requiring AHP input</w:t>
      </w:r>
      <w:r w:rsidR="00610A6B" w:rsidRPr="00F77465">
        <w:rPr>
          <w:rFonts w:asciiTheme="minorHAnsi" w:hAnsiTheme="minorHAnsi"/>
          <w:color w:val="000000"/>
        </w:rPr>
        <w:t xml:space="preserve"> (</w:t>
      </w:r>
      <w:r w:rsidRPr="00F77465">
        <w:rPr>
          <w:rFonts w:asciiTheme="minorHAnsi" w:hAnsiTheme="minorHAnsi"/>
          <w:color w:val="000000"/>
        </w:rPr>
        <w:t xml:space="preserve">Sarre </w:t>
      </w:r>
      <w:r w:rsidRPr="00F77465">
        <w:rPr>
          <w:rFonts w:asciiTheme="minorHAnsi" w:hAnsiTheme="minorHAnsi"/>
          <w:i/>
          <w:iCs/>
          <w:color w:val="000000"/>
        </w:rPr>
        <w:t>et al</w:t>
      </w:r>
      <w:r w:rsidR="00610A6B" w:rsidRPr="00F77465">
        <w:rPr>
          <w:rFonts w:asciiTheme="minorHAnsi" w:hAnsiTheme="minorHAnsi"/>
          <w:i/>
          <w:iCs/>
          <w:color w:val="000000"/>
        </w:rPr>
        <w:t>,</w:t>
      </w:r>
      <w:r w:rsidR="00610A6B" w:rsidRPr="00F77465">
        <w:rPr>
          <w:rFonts w:asciiTheme="minorHAnsi" w:hAnsiTheme="minorHAnsi"/>
          <w:color w:val="000000"/>
        </w:rPr>
        <w:t xml:space="preserve"> </w:t>
      </w:r>
      <w:r w:rsidRPr="00F77465">
        <w:rPr>
          <w:rFonts w:asciiTheme="minorHAnsi" w:hAnsiTheme="minorHAnsi"/>
          <w:color w:val="000000"/>
        </w:rPr>
        <w:t>2018).</w:t>
      </w:r>
    </w:p>
    <w:p w14:paraId="6D13A910" w14:textId="3E478B8A" w:rsidR="008B621F" w:rsidRPr="00F77465" w:rsidRDefault="008B621F" w:rsidP="00F77465">
      <w:pPr>
        <w:numPr>
          <w:ilvl w:val="0"/>
          <w:numId w:val="11"/>
        </w:numPr>
        <w:spacing w:line="360" w:lineRule="auto"/>
        <w:rPr>
          <w:rFonts w:asciiTheme="minorHAnsi" w:hAnsiTheme="minorHAnsi"/>
          <w:color w:val="000000"/>
        </w:rPr>
      </w:pPr>
      <w:r w:rsidRPr="00F77465">
        <w:rPr>
          <w:rStyle w:val="Strong"/>
          <w:rFonts w:asciiTheme="minorHAnsi" w:eastAsiaTheme="majorEastAsia" w:hAnsiTheme="minorHAnsi"/>
          <w:color w:val="000000"/>
        </w:rPr>
        <w:lastRenderedPageBreak/>
        <w:t>Enhanced Supervision and Governance</w:t>
      </w:r>
      <w:r w:rsidRPr="00F77465">
        <w:rPr>
          <w:rFonts w:asciiTheme="minorHAnsi" w:hAnsiTheme="minorHAnsi"/>
          <w:color w:val="000000"/>
        </w:rPr>
        <w:t>: Establish consistent, high-quality supervision frameworks to support reflective practice and reduce burnout, while ensuring governance remains person-centred (</w:t>
      </w:r>
      <w:r w:rsidR="00610A6B" w:rsidRPr="00F77465">
        <w:rPr>
          <w:rFonts w:asciiTheme="minorHAnsi" w:eastAsiaTheme="minorHAnsi" w:hAnsiTheme="minorHAnsi"/>
        </w:rPr>
        <w:t>Martin, Lizarondo, Kumar, and Snowdon, 2021</w:t>
      </w:r>
      <w:r w:rsidRPr="00F77465">
        <w:rPr>
          <w:rFonts w:asciiTheme="minorHAnsi" w:hAnsiTheme="minorHAnsi"/>
          <w:color w:val="000000"/>
        </w:rPr>
        <w:t xml:space="preserve">; Vostry </w:t>
      </w:r>
      <w:r w:rsidRPr="00F77465">
        <w:rPr>
          <w:rFonts w:asciiTheme="minorHAnsi" w:hAnsiTheme="minorHAnsi"/>
          <w:i/>
          <w:iCs/>
          <w:color w:val="000000"/>
        </w:rPr>
        <w:t xml:space="preserve">et al, </w:t>
      </w:r>
      <w:r w:rsidRPr="00F77465">
        <w:rPr>
          <w:rFonts w:asciiTheme="minorHAnsi" w:hAnsiTheme="minorHAnsi"/>
          <w:color w:val="000000"/>
        </w:rPr>
        <w:t>2024).</w:t>
      </w:r>
    </w:p>
    <w:p w14:paraId="2649C998" w14:textId="48FDC152" w:rsidR="008B621F" w:rsidRPr="00F77465" w:rsidRDefault="008B621F" w:rsidP="00F77465">
      <w:pPr>
        <w:numPr>
          <w:ilvl w:val="0"/>
          <w:numId w:val="11"/>
        </w:numPr>
        <w:spacing w:line="360" w:lineRule="auto"/>
        <w:rPr>
          <w:rFonts w:asciiTheme="minorHAnsi" w:hAnsiTheme="minorHAnsi"/>
          <w:color w:val="000000"/>
        </w:rPr>
      </w:pPr>
      <w:r w:rsidRPr="00F77465">
        <w:rPr>
          <w:rStyle w:val="Strong"/>
          <w:rFonts w:asciiTheme="minorHAnsi" w:eastAsiaTheme="majorEastAsia" w:hAnsiTheme="minorHAnsi"/>
          <w:color w:val="000000"/>
        </w:rPr>
        <w:t>Recognition and Role Development</w:t>
      </w:r>
      <w:r w:rsidRPr="00F77465">
        <w:rPr>
          <w:rFonts w:asciiTheme="minorHAnsi" w:hAnsiTheme="minorHAnsi"/>
          <w:color w:val="000000"/>
        </w:rPr>
        <w:t xml:space="preserve">: Raise awareness of the TAP role within </w:t>
      </w:r>
      <w:r w:rsidR="00610A6B" w:rsidRPr="00F77465">
        <w:rPr>
          <w:rFonts w:asciiTheme="minorHAnsi" w:hAnsiTheme="minorHAnsi"/>
          <w:color w:val="000000"/>
        </w:rPr>
        <w:t>MDTs to</w:t>
      </w:r>
      <w:r w:rsidRPr="00F77465">
        <w:rPr>
          <w:rFonts w:asciiTheme="minorHAnsi" w:hAnsiTheme="minorHAnsi"/>
          <w:color w:val="000000"/>
        </w:rPr>
        <w:t xml:space="preserve"> enhance collaborative care planning and task prioritisation (Kornhaber </w:t>
      </w:r>
      <w:r w:rsidRPr="00F77465">
        <w:rPr>
          <w:rFonts w:asciiTheme="minorHAnsi" w:hAnsiTheme="minorHAnsi"/>
          <w:i/>
          <w:iCs/>
          <w:color w:val="000000"/>
        </w:rPr>
        <w:t>et al,</w:t>
      </w:r>
      <w:r w:rsidRPr="00F77465">
        <w:rPr>
          <w:rFonts w:asciiTheme="minorHAnsi" w:hAnsiTheme="minorHAnsi"/>
          <w:color w:val="000000"/>
        </w:rPr>
        <w:t xml:space="preserve"> 2016).</w:t>
      </w:r>
    </w:p>
    <w:p w14:paraId="051BC4BB" w14:textId="77777777" w:rsidR="00F77465" w:rsidRPr="00F77465" w:rsidRDefault="008B621F" w:rsidP="00F77465">
      <w:pPr>
        <w:numPr>
          <w:ilvl w:val="0"/>
          <w:numId w:val="11"/>
        </w:numPr>
        <w:spacing w:line="360" w:lineRule="auto"/>
        <w:rPr>
          <w:rFonts w:asciiTheme="minorHAnsi" w:hAnsiTheme="minorHAnsi"/>
          <w:color w:val="000000"/>
        </w:rPr>
      </w:pPr>
      <w:r w:rsidRPr="00F77465">
        <w:rPr>
          <w:rStyle w:val="Strong"/>
          <w:rFonts w:asciiTheme="minorHAnsi" w:eastAsiaTheme="majorEastAsia" w:hAnsiTheme="minorHAnsi"/>
          <w:color w:val="000000"/>
        </w:rPr>
        <w:t>Expand Co-Production Practices</w:t>
      </w:r>
      <w:r w:rsidRPr="00F77465">
        <w:rPr>
          <w:rFonts w:asciiTheme="minorHAnsi" w:hAnsiTheme="minorHAnsi"/>
          <w:color w:val="000000"/>
        </w:rPr>
        <w:t>: Strengthen partnerships with external organisations like Maggie’s and community services to extend support beyond the acute setting (Clarke et al, 2017).</w:t>
      </w:r>
    </w:p>
    <w:p w14:paraId="3D690B18" w14:textId="1556E253" w:rsidR="008B621F" w:rsidRPr="00F77465" w:rsidRDefault="008B621F" w:rsidP="00F77465">
      <w:pPr>
        <w:spacing w:line="360" w:lineRule="auto"/>
        <w:rPr>
          <w:rFonts w:asciiTheme="minorHAnsi" w:hAnsiTheme="minorHAnsi"/>
          <w:color w:val="000000"/>
        </w:rPr>
      </w:pPr>
      <w:r w:rsidRPr="00F77465">
        <w:rPr>
          <w:rFonts w:asciiTheme="minorHAnsi" w:hAnsiTheme="minorHAnsi"/>
          <w:color w:val="000000"/>
        </w:rPr>
        <w:t xml:space="preserve">In conclusion, the TAP role is vital to delivering effective, person-centred oncology care. </w:t>
      </w:r>
      <w:r w:rsidR="00610A6B" w:rsidRPr="00F77465">
        <w:rPr>
          <w:rFonts w:asciiTheme="minorHAnsi" w:hAnsiTheme="minorHAnsi"/>
          <w:color w:val="000000"/>
        </w:rPr>
        <w:t xml:space="preserve"> </w:t>
      </w:r>
      <w:r w:rsidRPr="00F77465">
        <w:rPr>
          <w:rFonts w:asciiTheme="minorHAnsi" w:hAnsiTheme="minorHAnsi"/>
          <w:color w:val="000000"/>
        </w:rPr>
        <w:t xml:space="preserve">With investment in training, supervision, and </w:t>
      </w:r>
      <w:r w:rsidR="00F17CB4" w:rsidRPr="00F77465">
        <w:rPr>
          <w:rFonts w:asciiTheme="minorHAnsi" w:hAnsiTheme="minorHAnsi"/>
          <w:color w:val="000000"/>
        </w:rPr>
        <w:t>service development</w:t>
      </w:r>
      <w:r w:rsidRPr="00F77465">
        <w:rPr>
          <w:rFonts w:asciiTheme="minorHAnsi" w:hAnsiTheme="minorHAnsi"/>
          <w:color w:val="000000"/>
        </w:rPr>
        <w:t>, TAPs can continue to enhance the quality of life and clinical outcomes for acutely unwell cancer patients.</w:t>
      </w:r>
    </w:p>
    <w:p w14:paraId="21919424" w14:textId="77777777" w:rsidR="002C1E57" w:rsidRPr="00F77465" w:rsidRDefault="002C1E57" w:rsidP="00F77465">
      <w:pPr>
        <w:spacing w:line="360" w:lineRule="auto"/>
        <w:rPr>
          <w:rFonts w:asciiTheme="minorHAnsi" w:hAnsiTheme="minorHAnsi"/>
          <w:b/>
          <w:bCs/>
        </w:rPr>
      </w:pPr>
    </w:p>
    <w:p w14:paraId="645FA807" w14:textId="77777777" w:rsidR="002C1E57" w:rsidRDefault="002C1E57" w:rsidP="00626366">
      <w:pPr>
        <w:spacing w:line="360" w:lineRule="auto"/>
        <w:rPr>
          <w:b/>
          <w:bCs/>
        </w:rPr>
      </w:pPr>
    </w:p>
    <w:p w14:paraId="49854833" w14:textId="77777777" w:rsidR="002C1E57" w:rsidRDefault="002C1E57" w:rsidP="00626366">
      <w:pPr>
        <w:spacing w:line="360" w:lineRule="auto"/>
        <w:rPr>
          <w:b/>
          <w:bCs/>
        </w:rPr>
      </w:pPr>
    </w:p>
    <w:p w14:paraId="73DBED55" w14:textId="77777777" w:rsidR="00DC35AB" w:rsidRDefault="00DC35AB" w:rsidP="00626366">
      <w:pPr>
        <w:spacing w:line="360" w:lineRule="auto"/>
        <w:rPr>
          <w:b/>
          <w:bCs/>
        </w:rPr>
      </w:pPr>
    </w:p>
    <w:p w14:paraId="6D1B0103" w14:textId="77777777" w:rsidR="00DC35AB" w:rsidRDefault="00DC35AB" w:rsidP="00626366">
      <w:pPr>
        <w:spacing w:line="360" w:lineRule="auto"/>
        <w:rPr>
          <w:b/>
          <w:bCs/>
        </w:rPr>
      </w:pPr>
    </w:p>
    <w:p w14:paraId="460F09A7" w14:textId="77777777" w:rsidR="00DC35AB" w:rsidRDefault="00DC35AB" w:rsidP="00626366">
      <w:pPr>
        <w:spacing w:line="360" w:lineRule="auto"/>
        <w:rPr>
          <w:b/>
          <w:bCs/>
        </w:rPr>
      </w:pPr>
    </w:p>
    <w:p w14:paraId="6908E43C" w14:textId="77777777" w:rsidR="00DC35AB" w:rsidRDefault="00DC35AB" w:rsidP="00626366">
      <w:pPr>
        <w:spacing w:line="360" w:lineRule="auto"/>
        <w:rPr>
          <w:b/>
          <w:bCs/>
        </w:rPr>
      </w:pPr>
    </w:p>
    <w:p w14:paraId="55C02D34" w14:textId="77777777" w:rsidR="00DC35AB" w:rsidRDefault="00DC35AB" w:rsidP="00626366">
      <w:pPr>
        <w:spacing w:line="360" w:lineRule="auto"/>
        <w:rPr>
          <w:b/>
          <w:bCs/>
        </w:rPr>
      </w:pPr>
    </w:p>
    <w:p w14:paraId="4ADD57F1" w14:textId="77777777" w:rsidR="00DC35AB" w:rsidRDefault="00DC35AB" w:rsidP="00626366">
      <w:pPr>
        <w:spacing w:line="360" w:lineRule="auto"/>
        <w:rPr>
          <w:b/>
          <w:bCs/>
        </w:rPr>
      </w:pPr>
    </w:p>
    <w:p w14:paraId="596045D6" w14:textId="77777777" w:rsidR="00DC35AB" w:rsidRDefault="00DC35AB" w:rsidP="00626366">
      <w:pPr>
        <w:spacing w:line="360" w:lineRule="auto"/>
        <w:rPr>
          <w:b/>
          <w:bCs/>
        </w:rPr>
      </w:pPr>
    </w:p>
    <w:p w14:paraId="62A3B1DB" w14:textId="77777777" w:rsidR="00DC35AB" w:rsidRDefault="00DC35AB" w:rsidP="00626366">
      <w:pPr>
        <w:spacing w:line="360" w:lineRule="auto"/>
        <w:rPr>
          <w:b/>
          <w:bCs/>
        </w:rPr>
      </w:pPr>
    </w:p>
    <w:p w14:paraId="1FE5F499" w14:textId="77777777" w:rsidR="00DC35AB" w:rsidRDefault="00DC35AB" w:rsidP="00626366">
      <w:pPr>
        <w:spacing w:line="360" w:lineRule="auto"/>
        <w:rPr>
          <w:b/>
          <w:bCs/>
        </w:rPr>
      </w:pPr>
    </w:p>
    <w:p w14:paraId="1D5AC4D7" w14:textId="77777777" w:rsidR="00DC35AB" w:rsidRDefault="00DC35AB" w:rsidP="00626366">
      <w:pPr>
        <w:spacing w:line="360" w:lineRule="auto"/>
        <w:rPr>
          <w:b/>
          <w:bCs/>
        </w:rPr>
      </w:pPr>
    </w:p>
    <w:p w14:paraId="71B5B8A2" w14:textId="77777777" w:rsidR="00DC35AB" w:rsidRDefault="00DC35AB" w:rsidP="00626366">
      <w:pPr>
        <w:spacing w:line="360" w:lineRule="auto"/>
        <w:rPr>
          <w:b/>
          <w:bCs/>
        </w:rPr>
      </w:pPr>
    </w:p>
    <w:p w14:paraId="36226ADB" w14:textId="77777777" w:rsidR="00DC35AB" w:rsidRDefault="00DC35AB" w:rsidP="00626366">
      <w:pPr>
        <w:spacing w:line="360" w:lineRule="auto"/>
        <w:rPr>
          <w:b/>
          <w:bCs/>
        </w:rPr>
      </w:pPr>
    </w:p>
    <w:p w14:paraId="42454940" w14:textId="77777777" w:rsidR="00DC35AB" w:rsidRDefault="00DC35AB" w:rsidP="00626366">
      <w:pPr>
        <w:spacing w:line="360" w:lineRule="auto"/>
        <w:rPr>
          <w:b/>
          <w:bCs/>
        </w:rPr>
      </w:pPr>
    </w:p>
    <w:p w14:paraId="6EEF2F04" w14:textId="77777777" w:rsidR="00DC35AB" w:rsidRDefault="00DC35AB" w:rsidP="00626366">
      <w:pPr>
        <w:spacing w:line="360" w:lineRule="auto"/>
        <w:rPr>
          <w:b/>
          <w:bCs/>
        </w:rPr>
      </w:pPr>
    </w:p>
    <w:p w14:paraId="2FB0EFCE" w14:textId="77777777" w:rsidR="00DC35AB" w:rsidRDefault="00DC35AB" w:rsidP="00626366">
      <w:pPr>
        <w:spacing w:line="360" w:lineRule="auto"/>
        <w:rPr>
          <w:b/>
          <w:bCs/>
        </w:rPr>
      </w:pPr>
    </w:p>
    <w:p w14:paraId="2A21CB3C" w14:textId="77777777" w:rsidR="00462B4F" w:rsidRDefault="00462B4F" w:rsidP="00626366">
      <w:pPr>
        <w:spacing w:line="360" w:lineRule="auto"/>
        <w:rPr>
          <w:b/>
          <w:bCs/>
        </w:rPr>
      </w:pPr>
    </w:p>
    <w:p w14:paraId="5289C4D1" w14:textId="77777777" w:rsidR="00462B4F" w:rsidRDefault="00462B4F" w:rsidP="00626366">
      <w:pPr>
        <w:spacing w:line="360" w:lineRule="auto"/>
        <w:rPr>
          <w:b/>
          <w:bCs/>
        </w:rPr>
      </w:pPr>
    </w:p>
    <w:p w14:paraId="4A5C7E05" w14:textId="77777777" w:rsidR="00462B4F" w:rsidRDefault="00462B4F" w:rsidP="00626366">
      <w:pPr>
        <w:spacing w:line="360" w:lineRule="auto"/>
        <w:rPr>
          <w:b/>
          <w:bCs/>
        </w:rPr>
      </w:pPr>
    </w:p>
    <w:p w14:paraId="207D2CB3" w14:textId="77777777" w:rsidR="00462B4F" w:rsidRDefault="00462B4F" w:rsidP="00626366">
      <w:pPr>
        <w:spacing w:line="360" w:lineRule="auto"/>
        <w:rPr>
          <w:b/>
          <w:bCs/>
        </w:rPr>
      </w:pPr>
    </w:p>
    <w:p w14:paraId="16D2B8A6" w14:textId="77777777" w:rsidR="00462B4F" w:rsidRDefault="00462B4F" w:rsidP="00626366">
      <w:pPr>
        <w:spacing w:line="360" w:lineRule="auto"/>
        <w:rPr>
          <w:b/>
          <w:bCs/>
        </w:rPr>
      </w:pPr>
    </w:p>
    <w:p w14:paraId="53718C5C" w14:textId="77777777" w:rsidR="00462B4F" w:rsidRDefault="00462B4F" w:rsidP="00626366">
      <w:pPr>
        <w:spacing w:line="360" w:lineRule="auto"/>
        <w:rPr>
          <w:b/>
          <w:bCs/>
        </w:rPr>
      </w:pPr>
    </w:p>
    <w:p w14:paraId="78369FD2" w14:textId="77777777" w:rsidR="00462B4F" w:rsidRDefault="00462B4F" w:rsidP="00626366">
      <w:pPr>
        <w:spacing w:line="360" w:lineRule="auto"/>
        <w:rPr>
          <w:b/>
          <w:bCs/>
        </w:rPr>
      </w:pPr>
    </w:p>
    <w:p w14:paraId="2C5D88C9" w14:textId="77777777" w:rsidR="00DC35AB" w:rsidRPr="00DC35AB" w:rsidRDefault="00DC35AB" w:rsidP="00DC35AB">
      <w:pPr>
        <w:spacing w:line="360" w:lineRule="auto"/>
        <w:rPr>
          <w:rFonts w:asciiTheme="minorHAnsi" w:hAnsiTheme="minorHAnsi"/>
          <w:b/>
          <w:bCs/>
          <w:u w:val="single"/>
        </w:rPr>
      </w:pPr>
      <w:r w:rsidRPr="00DC35AB">
        <w:rPr>
          <w:rFonts w:asciiTheme="minorHAnsi" w:hAnsiTheme="minorHAnsi"/>
          <w:b/>
          <w:bCs/>
          <w:u w:val="single"/>
        </w:rPr>
        <w:lastRenderedPageBreak/>
        <w:t>References</w:t>
      </w:r>
    </w:p>
    <w:p w14:paraId="1B5559BE" w14:textId="77777777" w:rsidR="00DC35AB" w:rsidRPr="00DC35AB" w:rsidRDefault="00DC35AB" w:rsidP="00DC35AB">
      <w:pPr>
        <w:spacing w:line="360" w:lineRule="auto"/>
        <w:rPr>
          <w:rFonts w:asciiTheme="minorHAnsi" w:hAnsiTheme="minorHAnsi"/>
        </w:rPr>
      </w:pPr>
      <w:r w:rsidRPr="00DC35AB">
        <w:rPr>
          <w:rFonts w:asciiTheme="minorHAnsi" w:hAnsiTheme="minorHAnsi"/>
        </w:rPr>
        <w:t xml:space="preserve">Armstrong, T. S., Bishof, A. M., Brown, P. D., Klein, M., Taphoorn, M. JB., and Theordore-Oklota, C., (2016), ‘Determining priority signs and symptoms for use as clinical outcomes assessments in trials including patients with malignant gliomas: Panel 1 report’ </w:t>
      </w:r>
      <w:r w:rsidRPr="00DC35AB">
        <w:rPr>
          <w:rFonts w:asciiTheme="minorHAnsi" w:hAnsiTheme="minorHAnsi"/>
          <w:i/>
          <w:iCs/>
        </w:rPr>
        <w:t xml:space="preserve">Neuro Oncology, </w:t>
      </w:r>
      <w:r w:rsidRPr="00DC35AB">
        <w:rPr>
          <w:rFonts w:asciiTheme="minorHAnsi" w:hAnsiTheme="minorHAnsi"/>
        </w:rPr>
        <w:t xml:space="preserve">Volume 18, (2), pp. ii1-ii2, Available at: doi: 10.1093/neuonc/nov267 </w:t>
      </w:r>
    </w:p>
    <w:p w14:paraId="12F58435" w14:textId="77777777" w:rsidR="00DC35AB" w:rsidRDefault="00DC35AB" w:rsidP="00DC35AB">
      <w:pPr>
        <w:spacing w:line="360" w:lineRule="auto"/>
        <w:rPr>
          <w:rFonts w:asciiTheme="minorHAnsi" w:hAnsiTheme="minorHAnsi"/>
        </w:rPr>
      </w:pPr>
    </w:p>
    <w:p w14:paraId="346095E1" w14:textId="12D1BABC" w:rsidR="00DC35AB" w:rsidRPr="00DC35AB" w:rsidRDefault="00DC35AB" w:rsidP="00DC35AB">
      <w:pPr>
        <w:spacing w:line="360" w:lineRule="auto"/>
        <w:rPr>
          <w:rFonts w:asciiTheme="minorHAnsi" w:hAnsiTheme="minorHAnsi"/>
        </w:rPr>
      </w:pPr>
      <w:r w:rsidRPr="00DC35AB">
        <w:rPr>
          <w:rFonts w:asciiTheme="minorHAnsi" w:hAnsiTheme="minorHAnsi"/>
        </w:rPr>
        <w:t xml:space="preserve">Berger, A, M., Mooney, K., Alvarez-Parez, A., Breitbart, W, S., Carpenter, M, K., Cella, D., Cleeland, C., Dotan, E., Eisenberger, M, A., Escalante, C, P., Jacobsen, P, B., Jankowski, C., LeBlanc, T., Ligibel, A, J., Loggers, T, E., Mandrell, B., Murphy, A, B., Palesh, O., Pirl, F, W., Plaxe, C, S., Riba, B, M., Hope, S, R., Salvador, C., Wagner, I, L., Wagner-Johnston, D, N., Finly, J, Z., Bergman, A, M., and Smith, C., (2015), ‘Cancer related fatigue’, </w:t>
      </w:r>
      <w:r w:rsidRPr="00DC35AB">
        <w:rPr>
          <w:rFonts w:asciiTheme="minorHAnsi" w:hAnsiTheme="minorHAnsi"/>
          <w:i/>
          <w:iCs/>
        </w:rPr>
        <w:t xml:space="preserve">Official Journal of the National Comprehensive Cancer Network, </w:t>
      </w:r>
      <w:r w:rsidRPr="00DC35AB">
        <w:rPr>
          <w:rFonts w:asciiTheme="minorHAnsi" w:hAnsiTheme="minorHAnsi"/>
        </w:rPr>
        <w:t xml:space="preserve">Volume 13, (8), Available at: https://doi.org/10.6004/jnccn.2015.0122 </w:t>
      </w:r>
    </w:p>
    <w:p w14:paraId="25EDD071" w14:textId="77777777" w:rsidR="00DC35AB" w:rsidRDefault="00DC35AB" w:rsidP="00DC35AB">
      <w:pPr>
        <w:spacing w:line="360" w:lineRule="auto"/>
        <w:rPr>
          <w:rFonts w:asciiTheme="minorHAnsi" w:hAnsiTheme="minorHAnsi"/>
        </w:rPr>
      </w:pPr>
    </w:p>
    <w:p w14:paraId="7862B9FE" w14:textId="6FDDAAC9" w:rsidR="00DC35AB" w:rsidRPr="00DC35AB" w:rsidRDefault="00DC35AB" w:rsidP="00DC35AB">
      <w:pPr>
        <w:spacing w:line="360" w:lineRule="auto"/>
        <w:rPr>
          <w:rFonts w:asciiTheme="minorHAnsi" w:hAnsiTheme="minorHAnsi"/>
        </w:rPr>
      </w:pPr>
      <w:r w:rsidRPr="00DC35AB">
        <w:rPr>
          <w:rFonts w:asciiTheme="minorHAnsi" w:hAnsiTheme="minorHAnsi"/>
        </w:rPr>
        <w:t xml:space="preserve">Berger, J., Cooksley, T., and Holland, M., (2013), ‘The burden of cancer on the acute medical unit’, </w:t>
      </w:r>
      <w:r w:rsidRPr="00DC35AB">
        <w:rPr>
          <w:rFonts w:asciiTheme="minorHAnsi" w:hAnsiTheme="minorHAnsi"/>
          <w:i/>
          <w:iCs/>
        </w:rPr>
        <w:t xml:space="preserve">Clinical Medicine, </w:t>
      </w:r>
      <w:r w:rsidRPr="00DC35AB">
        <w:rPr>
          <w:rFonts w:asciiTheme="minorHAnsi" w:hAnsiTheme="minorHAnsi"/>
        </w:rPr>
        <w:t xml:space="preserve">Volume 13, (5), pp. 457-459, Available at: https://doi.org/10.7861/clinmedicine.13-5-457 </w:t>
      </w:r>
    </w:p>
    <w:p w14:paraId="65CEAFFD" w14:textId="77777777" w:rsidR="00DC35AB" w:rsidRDefault="00DC35AB" w:rsidP="00DC35AB">
      <w:pPr>
        <w:spacing w:line="360" w:lineRule="auto"/>
        <w:rPr>
          <w:rFonts w:asciiTheme="minorHAnsi" w:hAnsiTheme="minorHAnsi"/>
        </w:rPr>
      </w:pPr>
    </w:p>
    <w:p w14:paraId="7E863CA1" w14:textId="2F62366D" w:rsidR="00DC35AB" w:rsidRPr="00DC35AB" w:rsidRDefault="00DC35AB" w:rsidP="00DC35AB">
      <w:pPr>
        <w:spacing w:line="360" w:lineRule="auto"/>
        <w:rPr>
          <w:rFonts w:asciiTheme="minorHAnsi" w:hAnsiTheme="minorHAnsi"/>
        </w:rPr>
      </w:pPr>
      <w:r w:rsidRPr="00DC35AB">
        <w:rPr>
          <w:rFonts w:asciiTheme="minorHAnsi" w:hAnsiTheme="minorHAnsi"/>
        </w:rPr>
        <w:t xml:space="preserve">Brain Tumour Charity (2025a), </w:t>
      </w:r>
      <w:r w:rsidRPr="00DC35AB">
        <w:rPr>
          <w:rFonts w:asciiTheme="minorHAnsi" w:hAnsiTheme="minorHAnsi"/>
          <w:i/>
          <w:iCs/>
        </w:rPr>
        <w:t xml:space="preserve">Different types of brain tumour, </w:t>
      </w:r>
      <w:r w:rsidRPr="00DC35AB">
        <w:rPr>
          <w:rFonts w:asciiTheme="minorHAnsi" w:hAnsiTheme="minorHAnsi"/>
        </w:rPr>
        <w:t>Available at: https://www.thebraintumourcharity.org/brain-tumour-diagnosis-treatment/how-brain-tumours-are-diagnosed/brain-tumour-biology/different-types-brain-tumours/#h-oligoastrocytomas [Accessed 25th March 2025]</w:t>
      </w:r>
    </w:p>
    <w:p w14:paraId="1F56FAC8" w14:textId="77777777" w:rsidR="00DC35AB" w:rsidRDefault="00DC35AB" w:rsidP="00DC35AB">
      <w:pPr>
        <w:spacing w:line="360" w:lineRule="auto"/>
        <w:rPr>
          <w:rFonts w:asciiTheme="minorHAnsi" w:hAnsiTheme="minorHAnsi"/>
        </w:rPr>
      </w:pPr>
    </w:p>
    <w:p w14:paraId="7ED0FA53" w14:textId="4542662F" w:rsidR="00DC35AB" w:rsidRPr="00DC35AB" w:rsidRDefault="00DC35AB" w:rsidP="00DC35AB">
      <w:pPr>
        <w:spacing w:line="360" w:lineRule="auto"/>
        <w:rPr>
          <w:rFonts w:asciiTheme="minorHAnsi" w:hAnsiTheme="minorHAnsi"/>
        </w:rPr>
      </w:pPr>
      <w:r w:rsidRPr="00DC35AB">
        <w:rPr>
          <w:rFonts w:asciiTheme="minorHAnsi" w:hAnsiTheme="minorHAnsi"/>
        </w:rPr>
        <w:t xml:space="preserve">Brain Tumour Charity (2025b), </w:t>
      </w:r>
      <w:r w:rsidRPr="00DC35AB">
        <w:rPr>
          <w:rFonts w:asciiTheme="minorHAnsi" w:hAnsiTheme="minorHAnsi"/>
          <w:i/>
          <w:iCs/>
        </w:rPr>
        <w:t xml:space="preserve">The Statistics about brain tumours, </w:t>
      </w:r>
      <w:r w:rsidRPr="00DC35AB">
        <w:rPr>
          <w:rFonts w:asciiTheme="minorHAnsi" w:hAnsiTheme="minorHAnsi"/>
        </w:rPr>
        <w:t>Available at: https://www.thebraintumourcharity.org/get-involved/donate/why-choose-us/the-statistics-about-brain-tumours/ [Accessed 8</w:t>
      </w:r>
      <w:r w:rsidRPr="00DC35AB">
        <w:rPr>
          <w:rFonts w:asciiTheme="minorHAnsi" w:hAnsiTheme="minorHAnsi"/>
          <w:vertAlign w:val="superscript"/>
        </w:rPr>
        <w:t>th</w:t>
      </w:r>
      <w:r w:rsidRPr="00DC35AB">
        <w:rPr>
          <w:rFonts w:asciiTheme="minorHAnsi" w:hAnsiTheme="minorHAnsi"/>
        </w:rPr>
        <w:t xml:space="preserve"> April 2025]</w:t>
      </w:r>
    </w:p>
    <w:p w14:paraId="2BE7771F" w14:textId="77777777" w:rsidR="00DC35AB" w:rsidRDefault="00DC35AB" w:rsidP="00DC35AB">
      <w:pPr>
        <w:spacing w:line="360" w:lineRule="auto"/>
        <w:rPr>
          <w:rFonts w:asciiTheme="minorHAnsi" w:hAnsiTheme="minorHAnsi"/>
        </w:rPr>
      </w:pPr>
    </w:p>
    <w:p w14:paraId="32203C83" w14:textId="66DF9F19" w:rsidR="00DC35AB" w:rsidRPr="00DC35AB" w:rsidRDefault="00DC35AB" w:rsidP="00DC35AB">
      <w:pPr>
        <w:spacing w:line="360" w:lineRule="auto"/>
        <w:rPr>
          <w:rFonts w:asciiTheme="minorHAnsi" w:hAnsiTheme="minorHAnsi"/>
        </w:rPr>
      </w:pPr>
      <w:r w:rsidRPr="00DC35AB">
        <w:rPr>
          <w:rFonts w:asciiTheme="minorHAnsi" w:hAnsiTheme="minorHAnsi"/>
        </w:rPr>
        <w:t xml:space="preserve">Brain Tumour Charity (2025c), </w:t>
      </w:r>
      <w:r w:rsidRPr="00DC35AB">
        <w:rPr>
          <w:rFonts w:asciiTheme="minorHAnsi" w:hAnsiTheme="minorHAnsi"/>
          <w:i/>
          <w:iCs/>
        </w:rPr>
        <w:t xml:space="preserve">Emergency diagnosis more likely for brain tumour, </w:t>
      </w:r>
      <w:r w:rsidRPr="00DC35AB">
        <w:rPr>
          <w:rFonts w:asciiTheme="minorHAnsi" w:hAnsiTheme="minorHAnsi"/>
        </w:rPr>
        <w:t>Available at: https://www.thebraintumourcharity.org/news/policy-news/emergency-diagnosis-more-likely-for-brain-tumours/ [Accessed 26</w:t>
      </w:r>
      <w:r w:rsidRPr="00DC35AB">
        <w:rPr>
          <w:rFonts w:asciiTheme="minorHAnsi" w:hAnsiTheme="minorHAnsi"/>
          <w:vertAlign w:val="superscript"/>
        </w:rPr>
        <w:t>th</w:t>
      </w:r>
      <w:r w:rsidRPr="00DC35AB">
        <w:rPr>
          <w:rFonts w:asciiTheme="minorHAnsi" w:hAnsiTheme="minorHAnsi"/>
        </w:rPr>
        <w:t xml:space="preserve"> April 2025]</w:t>
      </w:r>
    </w:p>
    <w:p w14:paraId="2C451B7C" w14:textId="77777777" w:rsidR="00DC35AB" w:rsidRDefault="00DC35AB" w:rsidP="00DC35AB">
      <w:pPr>
        <w:spacing w:line="360" w:lineRule="auto"/>
        <w:rPr>
          <w:rFonts w:asciiTheme="minorHAnsi" w:hAnsiTheme="minorHAnsi"/>
        </w:rPr>
      </w:pPr>
    </w:p>
    <w:p w14:paraId="19BE38E5" w14:textId="69D1AF75" w:rsidR="00DC35AB" w:rsidRPr="00DC35AB" w:rsidRDefault="00DC35AB" w:rsidP="00DC35AB">
      <w:pPr>
        <w:spacing w:line="360" w:lineRule="auto"/>
        <w:rPr>
          <w:rFonts w:asciiTheme="minorHAnsi" w:hAnsiTheme="minorHAnsi"/>
        </w:rPr>
      </w:pPr>
      <w:r w:rsidRPr="00DC35AB">
        <w:rPr>
          <w:rFonts w:asciiTheme="minorHAnsi" w:hAnsiTheme="minorHAnsi"/>
        </w:rPr>
        <w:t xml:space="preserve">Bruce, M, C., Smith, J., and Price, A., (2017), ‘A Study of The Incidence and Management of Admissions for Cancer-Related Symptoms in a District General Hospital: The Potential Role of an Acute Oncology Service’, </w:t>
      </w:r>
      <w:r w:rsidRPr="00DC35AB">
        <w:rPr>
          <w:rFonts w:asciiTheme="minorHAnsi" w:hAnsiTheme="minorHAnsi"/>
          <w:i/>
          <w:iCs/>
        </w:rPr>
        <w:t xml:space="preserve">Clinical Oncology, </w:t>
      </w:r>
      <w:r w:rsidRPr="00DC35AB">
        <w:rPr>
          <w:rFonts w:asciiTheme="minorHAnsi" w:hAnsiTheme="minorHAnsi"/>
        </w:rPr>
        <w:t>Volume 29, (9), pp. 148-155, Available at: doi: 10.1016/j.clon.2017.03.012</w:t>
      </w:r>
    </w:p>
    <w:p w14:paraId="319971B9" w14:textId="77777777" w:rsidR="00DC35AB" w:rsidRPr="00DC35AB" w:rsidRDefault="00DC35AB" w:rsidP="00DC35AB">
      <w:pPr>
        <w:spacing w:line="360" w:lineRule="auto"/>
        <w:rPr>
          <w:rFonts w:asciiTheme="minorHAnsi" w:hAnsiTheme="minorHAnsi"/>
        </w:rPr>
      </w:pPr>
      <w:r w:rsidRPr="00DC35AB">
        <w:rPr>
          <w:rFonts w:asciiTheme="minorHAnsi" w:hAnsiTheme="minorHAnsi"/>
        </w:rPr>
        <w:lastRenderedPageBreak/>
        <w:t xml:space="preserve">Campbell, R., Shaw, J, M., Carlick, T., Banks, H., Faris, M, M., Jeon, M, S., Legge, D, M., Foster, C., Leonard, R., Chan, R, J., Agar, M, R., Miller, A., and Dhillon, H, M., (2024), ‘Such a different type of tiredness: people with brain tumour, their caregivers’, and healthcare professionals’ qualitative perceptions of cancer-related fatigue’, </w:t>
      </w:r>
      <w:r w:rsidRPr="00DC35AB">
        <w:rPr>
          <w:rFonts w:asciiTheme="minorHAnsi" w:hAnsiTheme="minorHAnsi"/>
          <w:i/>
          <w:iCs/>
        </w:rPr>
        <w:t xml:space="preserve">Journal of Cancer Survivorship, </w:t>
      </w:r>
      <w:r w:rsidRPr="00DC35AB">
        <w:rPr>
          <w:rFonts w:asciiTheme="minorHAnsi" w:hAnsiTheme="minorHAnsi"/>
        </w:rPr>
        <w:t xml:space="preserve">available at: https://doi.org/10.1007/s11764-024-01691-3 </w:t>
      </w:r>
    </w:p>
    <w:p w14:paraId="07C3B152" w14:textId="77777777" w:rsidR="00DC35AB" w:rsidRDefault="00DC35AB" w:rsidP="00DC35AB">
      <w:pPr>
        <w:spacing w:line="360" w:lineRule="auto"/>
        <w:rPr>
          <w:rFonts w:asciiTheme="minorHAnsi" w:hAnsiTheme="minorHAnsi"/>
        </w:rPr>
      </w:pPr>
    </w:p>
    <w:p w14:paraId="66AC9973" w14:textId="723C20D0" w:rsidR="00DC35AB" w:rsidRPr="00DC35AB" w:rsidRDefault="00DC35AB" w:rsidP="00DC35AB">
      <w:pPr>
        <w:spacing w:line="360" w:lineRule="auto"/>
        <w:rPr>
          <w:rFonts w:asciiTheme="minorHAnsi" w:hAnsiTheme="minorHAnsi"/>
        </w:rPr>
      </w:pPr>
      <w:r w:rsidRPr="00DC35AB">
        <w:rPr>
          <w:rFonts w:asciiTheme="minorHAnsi" w:hAnsiTheme="minorHAnsi"/>
        </w:rPr>
        <w:t xml:space="preserve">Cancer Research UK, (2023), </w:t>
      </w:r>
      <w:r w:rsidRPr="00DC35AB">
        <w:rPr>
          <w:rFonts w:asciiTheme="minorHAnsi" w:hAnsiTheme="minorHAnsi"/>
          <w:i/>
          <w:iCs/>
        </w:rPr>
        <w:t xml:space="preserve">Glioma: Brain Tumours, </w:t>
      </w:r>
      <w:r w:rsidRPr="00DC35AB">
        <w:rPr>
          <w:rFonts w:asciiTheme="minorHAnsi" w:hAnsiTheme="minorHAnsi"/>
        </w:rPr>
        <w:t>Available at: https://www.cancerresearchuk.org/about-cancer/brain-tumours/types/glioma-adults [Accessed 25th March 2025]</w:t>
      </w:r>
    </w:p>
    <w:p w14:paraId="48233A5C" w14:textId="77777777" w:rsidR="00DC35AB" w:rsidRDefault="00DC35AB" w:rsidP="00DC35AB">
      <w:pPr>
        <w:spacing w:line="360" w:lineRule="auto"/>
        <w:rPr>
          <w:rFonts w:asciiTheme="minorHAnsi" w:hAnsiTheme="minorHAnsi"/>
        </w:rPr>
      </w:pPr>
    </w:p>
    <w:p w14:paraId="0687C96A" w14:textId="79763D86" w:rsidR="00DC35AB" w:rsidRPr="00DC35AB" w:rsidRDefault="00DC35AB" w:rsidP="00DC35AB">
      <w:pPr>
        <w:spacing w:line="360" w:lineRule="auto"/>
        <w:rPr>
          <w:rFonts w:asciiTheme="minorHAnsi" w:hAnsiTheme="minorHAnsi"/>
        </w:rPr>
      </w:pPr>
      <w:r w:rsidRPr="00DC35AB">
        <w:rPr>
          <w:rFonts w:asciiTheme="minorHAnsi" w:hAnsiTheme="minorHAnsi"/>
        </w:rPr>
        <w:t xml:space="preserve">Cancer Research UK, (2024), </w:t>
      </w:r>
      <w:r w:rsidRPr="00DC35AB">
        <w:rPr>
          <w:rFonts w:asciiTheme="minorHAnsi" w:hAnsiTheme="minorHAnsi"/>
          <w:i/>
          <w:iCs/>
        </w:rPr>
        <w:t xml:space="preserve">Brain, other CNS and intracranial tumours incidence statistics’ </w:t>
      </w:r>
      <w:r w:rsidRPr="00DC35AB">
        <w:rPr>
          <w:rFonts w:asciiTheme="minorHAnsi" w:hAnsiTheme="minorHAnsi"/>
        </w:rPr>
        <w:t>Available at: https://www.cancerresearchuk.org/health-professional/cancer-statistics/statistics-by-cancer-type/brain-other-cns-and-intracranial-tumours/incidence#heading-Zero [Accessed 8</w:t>
      </w:r>
      <w:r w:rsidRPr="00DC35AB">
        <w:rPr>
          <w:rFonts w:asciiTheme="minorHAnsi" w:hAnsiTheme="minorHAnsi"/>
          <w:vertAlign w:val="superscript"/>
        </w:rPr>
        <w:t>th</w:t>
      </w:r>
      <w:r w:rsidRPr="00DC35AB">
        <w:rPr>
          <w:rFonts w:asciiTheme="minorHAnsi" w:hAnsiTheme="minorHAnsi"/>
        </w:rPr>
        <w:t xml:space="preserve"> April 2025]</w:t>
      </w:r>
    </w:p>
    <w:p w14:paraId="54E08C75" w14:textId="77777777" w:rsidR="00DC35AB" w:rsidRDefault="00DC35AB" w:rsidP="00DC35AB">
      <w:pPr>
        <w:spacing w:line="360" w:lineRule="auto"/>
        <w:rPr>
          <w:rFonts w:asciiTheme="minorHAnsi" w:hAnsiTheme="minorHAnsi"/>
        </w:rPr>
      </w:pPr>
    </w:p>
    <w:p w14:paraId="2246ABEB" w14:textId="0A82BEDB" w:rsidR="00DC35AB" w:rsidRPr="00DC35AB" w:rsidRDefault="00DC35AB" w:rsidP="00DC35AB">
      <w:pPr>
        <w:spacing w:line="360" w:lineRule="auto"/>
        <w:rPr>
          <w:rFonts w:asciiTheme="minorHAnsi" w:hAnsiTheme="minorHAnsi"/>
        </w:rPr>
      </w:pPr>
      <w:r w:rsidRPr="00DC35AB">
        <w:rPr>
          <w:rFonts w:asciiTheme="minorHAnsi" w:hAnsiTheme="minorHAnsi"/>
        </w:rPr>
        <w:t xml:space="preserve">Chen, H., Johnson, M., Boland, E., Seymour, J., and Macleod, U., (2018), ‘Emergency admissions and subsequent inpatient care through an emergency oncology service at a tertiary cancer centre: service users’ experiences and views’, </w:t>
      </w:r>
      <w:r w:rsidRPr="00DC35AB">
        <w:rPr>
          <w:rFonts w:asciiTheme="minorHAnsi" w:hAnsiTheme="minorHAnsi"/>
          <w:i/>
          <w:iCs/>
        </w:rPr>
        <w:t xml:space="preserve">Supportive and Care in Cancer, </w:t>
      </w:r>
      <w:r w:rsidRPr="00DC35AB">
        <w:rPr>
          <w:rFonts w:asciiTheme="minorHAnsi" w:hAnsiTheme="minorHAnsi"/>
        </w:rPr>
        <w:t>Volume 27, pp. 451-460, Available at: https://doi.org/10.1007/s00520-018-4328-5</w:t>
      </w:r>
    </w:p>
    <w:p w14:paraId="58B837DD" w14:textId="77777777" w:rsidR="00DC35AB" w:rsidRDefault="00DC35AB" w:rsidP="00DC35AB">
      <w:pPr>
        <w:spacing w:line="360" w:lineRule="auto"/>
        <w:rPr>
          <w:rFonts w:asciiTheme="minorHAnsi" w:hAnsiTheme="minorHAnsi"/>
        </w:rPr>
      </w:pPr>
    </w:p>
    <w:p w14:paraId="0C3E29FF" w14:textId="4579477C" w:rsidR="00DC35AB" w:rsidRPr="00DC35AB" w:rsidRDefault="00DC35AB" w:rsidP="00DC35AB">
      <w:pPr>
        <w:spacing w:line="360" w:lineRule="auto"/>
        <w:rPr>
          <w:rFonts w:asciiTheme="minorHAnsi" w:hAnsiTheme="minorHAnsi"/>
        </w:rPr>
      </w:pPr>
      <w:r w:rsidRPr="00DC35AB">
        <w:rPr>
          <w:rFonts w:asciiTheme="minorHAnsi" w:hAnsiTheme="minorHAnsi"/>
        </w:rPr>
        <w:t xml:space="preserve">Clarke, D., Jones, F., Harris, R., and Robert, G., (2017), ‘What outcomes are associated with developing and implementing co-produced interventions in acute healthcare settings?  A rapid evidence synthesis’, </w:t>
      </w:r>
      <w:r w:rsidRPr="00DC35AB">
        <w:rPr>
          <w:rFonts w:asciiTheme="minorHAnsi" w:hAnsiTheme="minorHAnsi"/>
          <w:i/>
          <w:iCs/>
        </w:rPr>
        <w:t xml:space="preserve">British Medical Journal Open, </w:t>
      </w:r>
      <w:r w:rsidRPr="00DC35AB">
        <w:rPr>
          <w:rFonts w:asciiTheme="minorHAnsi" w:hAnsiTheme="minorHAnsi"/>
        </w:rPr>
        <w:t>Volume 7, Available at: doi: 10.1136/bmjopen-2016-014650</w:t>
      </w:r>
    </w:p>
    <w:p w14:paraId="7F266C0E" w14:textId="77777777" w:rsidR="00DC35AB" w:rsidRDefault="00DC35AB" w:rsidP="00DC35AB">
      <w:pPr>
        <w:spacing w:line="360" w:lineRule="auto"/>
        <w:rPr>
          <w:rFonts w:asciiTheme="minorHAnsi" w:hAnsiTheme="minorHAnsi"/>
        </w:rPr>
      </w:pPr>
    </w:p>
    <w:p w14:paraId="47DDC406" w14:textId="2E43EEA1" w:rsidR="00DC35AB" w:rsidRPr="00DC35AB" w:rsidRDefault="00DC35AB" w:rsidP="00DC35AB">
      <w:pPr>
        <w:spacing w:line="360" w:lineRule="auto"/>
        <w:rPr>
          <w:rFonts w:asciiTheme="minorHAnsi" w:hAnsiTheme="minorHAnsi"/>
        </w:rPr>
      </w:pPr>
      <w:r w:rsidRPr="00DC35AB">
        <w:rPr>
          <w:rFonts w:asciiTheme="minorHAnsi" w:hAnsiTheme="minorHAnsi"/>
        </w:rPr>
        <w:t xml:space="preserve">Edgar, D., Moroney, T., and Wilson, V., (2023), ‘Clinical Supervision: A mechanism to support person-centred practice?  An integrative review of the literature’, </w:t>
      </w:r>
      <w:r w:rsidRPr="00DC35AB">
        <w:rPr>
          <w:rFonts w:asciiTheme="minorHAnsi" w:hAnsiTheme="minorHAnsi"/>
          <w:i/>
          <w:iCs/>
        </w:rPr>
        <w:t xml:space="preserve">Journal of Clinical Nursing, </w:t>
      </w:r>
      <w:r w:rsidRPr="00DC35AB">
        <w:rPr>
          <w:rFonts w:asciiTheme="minorHAnsi" w:hAnsiTheme="minorHAnsi"/>
        </w:rPr>
        <w:t>Volume 32, pp. 9-10, Available at: doi:10.1111/jocn.16232</w:t>
      </w:r>
    </w:p>
    <w:p w14:paraId="70EF2F22" w14:textId="77777777" w:rsidR="00DC35AB" w:rsidRDefault="00DC35AB" w:rsidP="00DC35AB">
      <w:pPr>
        <w:spacing w:line="360" w:lineRule="auto"/>
        <w:rPr>
          <w:rFonts w:asciiTheme="minorHAnsi" w:hAnsiTheme="minorHAnsi"/>
        </w:rPr>
      </w:pPr>
    </w:p>
    <w:p w14:paraId="21B5F059" w14:textId="000C3F90" w:rsidR="00DC35AB" w:rsidRPr="00DC35AB" w:rsidRDefault="00DC35AB" w:rsidP="00DC35AB">
      <w:pPr>
        <w:spacing w:line="360" w:lineRule="auto"/>
        <w:rPr>
          <w:rFonts w:asciiTheme="minorHAnsi" w:hAnsiTheme="minorHAnsi"/>
        </w:rPr>
      </w:pPr>
      <w:r w:rsidRPr="00DC35AB">
        <w:rPr>
          <w:rFonts w:asciiTheme="minorHAnsi" w:hAnsiTheme="minorHAnsi"/>
        </w:rPr>
        <w:t xml:space="preserve">Fox, A., Zaraella, G, V., Loughan, A, R., Lanoye, A., Palesh, O., Moeller, F, G., and Braun, S, E., (2024), ‘QOL-28 Cancer related distress in neuro-oncology: patients inform program development for enhancing quality of life’, </w:t>
      </w:r>
      <w:r w:rsidRPr="00DC35AB">
        <w:rPr>
          <w:rFonts w:asciiTheme="minorHAnsi" w:hAnsiTheme="minorHAnsi"/>
          <w:i/>
          <w:iCs/>
        </w:rPr>
        <w:t xml:space="preserve">Neuro-Oncology, </w:t>
      </w:r>
      <w:r w:rsidRPr="00DC35AB">
        <w:rPr>
          <w:rFonts w:asciiTheme="minorHAnsi" w:hAnsiTheme="minorHAnsi"/>
        </w:rPr>
        <w:t xml:space="preserve">Volume 6 (8), pp.268-269, Available at: https://doi.org/10.1093/neuonc/noae165.1063 </w:t>
      </w:r>
    </w:p>
    <w:p w14:paraId="5BD25BD3" w14:textId="77777777" w:rsidR="00DC35AB" w:rsidRPr="00DC35AB" w:rsidRDefault="00DC35AB" w:rsidP="00DC35AB">
      <w:pPr>
        <w:spacing w:line="360" w:lineRule="auto"/>
        <w:rPr>
          <w:rFonts w:asciiTheme="minorHAnsi" w:hAnsiTheme="minorHAnsi"/>
          <w:i/>
          <w:iCs/>
        </w:rPr>
      </w:pPr>
      <w:r w:rsidRPr="00DC35AB">
        <w:rPr>
          <w:rFonts w:asciiTheme="minorHAnsi" w:hAnsiTheme="minorHAnsi"/>
        </w:rPr>
        <w:t xml:space="preserve">Frances, Sé.  M., Velikova, G., Klein, M., Short, C. S., Murray, L., Wright, M. J., and Boele, F., (2022), ‘Long-term impact of adult WHO grade II or III gliomas on health-related quality of life: A systematic </w:t>
      </w:r>
      <w:r w:rsidRPr="00DC35AB">
        <w:rPr>
          <w:rFonts w:asciiTheme="minorHAnsi" w:hAnsiTheme="minorHAnsi"/>
        </w:rPr>
        <w:lastRenderedPageBreak/>
        <w:t xml:space="preserve">review’, </w:t>
      </w:r>
      <w:r w:rsidRPr="00DC35AB">
        <w:rPr>
          <w:rFonts w:asciiTheme="minorHAnsi" w:hAnsiTheme="minorHAnsi"/>
          <w:i/>
          <w:iCs/>
        </w:rPr>
        <w:t xml:space="preserve">Neuro-Oncology Practice, </w:t>
      </w:r>
      <w:r w:rsidRPr="00DC35AB">
        <w:rPr>
          <w:rFonts w:asciiTheme="minorHAnsi" w:hAnsiTheme="minorHAnsi"/>
        </w:rPr>
        <w:t>Volume 9, (1), pp. 3-17, Available at: https://doi.org/10.1093/nop/npab062</w:t>
      </w:r>
      <w:r w:rsidRPr="00DC35AB">
        <w:rPr>
          <w:rFonts w:asciiTheme="minorHAnsi" w:hAnsiTheme="minorHAnsi"/>
          <w:i/>
          <w:iCs/>
        </w:rPr>
        <w:t xml:space="preserve"> </w:t>
      </w:r>
    </w:p>
    <w:p w14:paraId="6EDE52C5" w14:textId="77777777" w:rsidR="00DC35AB" w:rsidRDefault="00DC35AB" w:rsidP="00DC35AB">
      <w:pPr>
        <w:spacing w:line="360" w:lineRule="auto"/>
        <w:rPr>
          <w:rFonts w:asciiTheme="minorHAnsi" w:hAnsiTheme="minorHAnsi"/>
        </w:rPr>
      </w:pPr>
    </w:p>
    <w:p w14:paraId="30199129" w14:textId="22F0118F" w:rsidR="00DC35AB" w:rsidRPr="00DC35AB" w:rsidRDefault="00DC35AB" w:rsidP="00DC35AB">
      <w:pPr>
        <w:spacing w:line="360" w:lineRule="auto"/>
        <w:rPr>
          <w:rFonts w:asciiTheme="minorHAnsi" w:hAnsiTheme="minorHAnsi"/>
        </w:rPr>
      </w:pPr>
      <w:r w:rsidRPr="00DC35AB">
        <w:rPr>
          <w:rFonts w:asciiTheme="minorHAnsi" w:hAnsiTheme="minorHAnsi"/>
        </w:rPr>
        <w:t xml:space="preserve">Froulob, I., and Davis, E, A., (2020), ‘How do patients with malignant brain tumours experience general practice care and support?  Qualitative analysis of English Cancer Patient Experience Survey (CPES) data’, </w:t>
      </w:r>
      <w:r w:rsidRPr="00DC35AB">
        <w:rPr>
          <w:rFonts w:asciiTheme="minorHAnsi" w:hAnsiTheme="minorHAnsi"/>
          <w:i/>
          <w:iCs/>
        </w:rPr>
        <w:t xml:space="preserve">Neuro-oncology practice, </w:t>
      </w:r>
      <w:r w:rsidRPr="00DC35AB">
        <w:rPr>
          <w:rFonts w:asciiTheme="minorHAnsi" w:hAnsiTheme="minorHAnsi"/>
        </w:rPr>
        <w:t xml:space="preserve">Volume 3, (7), pp. 313-319, Available at: doi:10.1093/nop/npz062 </w:t>
      </w:r>
    </w:p>
    <w:p w14:paraId="228D971E" w14:textId="77777777" w:rsidR="00DC35AB" w:rsidRDefault="00DC35AB" w:rsidP="00DC35AB">
      <w:pPr>
        <w:spacing w:line="360" w:lineRule="auto"/>
        <w:rPr>
          <w:rFonts w:asciiTheme="minorHAnsi" w:hAnsiTheme="minorHAnsi"/>
        </w:rPr>
      </w:pPr>
    </w:p>
    <w:p w14:paraId="5FE28DC3" w14:textId="621A35C4" w:rsidR="00DC35AB" w:rsidRPr="00DC35AB" w:rsidRDefault="00DC35AB" w:rsidP="00DC35AB">
      <w:pPr>
        <w:spacing w:line="360" w:lineRule="auto"/>
        <w:rPr>
          <w:rFonts w:asciiTheme="minorHAnsi" w:hAnsiTheme="minorHAnsi"/>
        </w:rPr>
      </w:pPr>
      <w:r w:rsidRPr="00DC35AB">
        <w:rPr>
          <w:rFonts w:asciiTheme="minorHAnsi" w:hAnsiTheme="minorHAnsi"/>
        </w:rPr>
        <w:t>Heinzel, A., Mottaghy, F. M., Fliss, C., Stoffels, G., Lohmann, P., Friedrich, M., Shah, N. J., Caspers, S., Lucas, W. C., Ruge, I. M., Galldiks N., Fink, R. G., Langen K. J., and Kocher, M., (2023), ‘The impact of brain lesions on health-related quality of life in patients with.  WHO CNS grade 3 or 4 glioma: a lesion function and resting state fMRI analysis’, ‘</w:t>
      </w:r>
      <w:r w:rsidRPr="00DC35AB">
        <w:rPr>
          <w:rFonts w:asciiTheme="minorHAnsi" w:hAnsiTheme="minorHAnsi"/>
          <w:i/>
          <w:iCs/>
        </w:rPr>
        <w:t xml:space="preserve">Journal of Neuro-Oncology’, </w:t>
      </w:r>
      <w:r w:rsidRPr="00DC35AB">
        <w:rPr>
          <w:rFonts w:asciiTheme="minorHAnsi" w:hAnsiTheme="minorHAnsi"/>
        </w:rPr>
        <w:t xml:space="preserve">Volume 161, (3), pp. 643-654, Available at: https://doi.org/10.1007/s11060-023-04254-1 </w:t>
      </w:r>
    </w:p>
    <w:p w14:paraId="51F0FC16" w14:textId="77777777" w:rsidR="00DC35AB" w:rsidRDefault="00DC35AB" w:rsidP="00DC35AB">
      <w:pPr>
        <w:spacing w:line="360" w:lineRule="auto"/>
        <w:rPr>
          <w:rFonts w:asciiTheme="minorHAnsi" w:hAnsiTheme="minorHAnsi"/>
        </w:rPr>
      </w:pPr>
    </w:p>
    <w:p w14:paraId="116550B4" w14:textId="2CEB177E" w:rsidR="00DC35AB" w:rsidRPr="00DC35AB" w:rsidRDefault="00DC35AB" w:rsidP="00DC35AB">
      <w:pPr>
        <w:spacing w:line="360" w:lineRule="auto"/>
        <w:rPr>
          <w:rFonts w:asciiTheme="minorHAnsi" w:hAnsiTheme="minorHAnsi"/>
        </w:rPr>
      </w:pPr>
      <w:r w:rsidRPr="00DC35AB">
        <w:rPr>
          <w:rFonts w:asciiTheme="minorHAnsi" w:hAnsiTheme="minorHAnsi"/>
        </w:rPr>
        <w:t xml:space="preserve">King, O, A., Pinson, J., Dennet, A., Williams, C., Davis, A., and Snowdon, D, A., (2022), ‘Allied health assistants’ perspective of their role in healthcare settings: A qualitative study’, </w:t>
      </w:r>
      <w:r w:rsidRPr="00DC35AB">
        <w:rPr>
          <w:rFonts w:asciiTheme="minorHAnsi" w:hAnsiTheme="minorHAnsi"/>
          <w:i/>
          <w:iCs/>
        </w:rPr>
        <w:t xml:space="preserve">Health and Social Care in the Community, </w:t>
      </w:r>
      <w:r w:rsidRPr="00DC35AB">
        <w:rPr>
          <w:rFonts w:asciiTheme="minorHAnsi" w:hAnsiTheme="minorHAnsi"/>
        </w:rPr>
        <w:t xml:space="preserve">Volume 30, pp. 4684-4693, Available at: https://doi.org/10.1111/hsc.13874 </w:t>
      </w:r>
    </w:p>
    <w:p w14:paraId="1C95C9DA" w14:textId="77777777" w:rsidR="00DC35AB" w:rsidRDefault="00DC35AB" w:rsidP="00DC35AB">
      <w:pPr>
        <w:spacing w:line="360" w:lineRule="auto"/>
        <w:rPr>
          <w:rFonts w:asciiTheme="minorHAnsi" w:hAnsiTheme="minorHAnsi"/>
        </w:rPr>
      </w:pPr>
    </w:p>
    <w:p w14:paraId="76D5BB37" w14:textId="2503C47E" w:rsidR="00DC35AB" w:rsidRPr="00DC35AB" w:rsidRDefault="00DC35AB" w:rsidP="00DC35AB">
      <w:pPr>
        <w:spacing w:line="360" w:lineRule="auto"/>
        <w:rPr>
          <w:rFonts w:asciiTheme="minorHAnsi" w:hAnsiTheme="minorHAnsi"/>
        </w:rPr>
      </w:pPr>
      <w:r w:rsidRPr="00DC35AB">
        <w:rPr>
          <w:rFonts w:asciiTheme="minorHAnsi" w:hAnsiTheme="minorHAnsi"/>
        </w:rPr>
        <w:t xml:space="preserve">Kornhaber, R., Walsh, K., Duff, J., and Walker, K., (2016), ‘Enhancing adult therapeutic interpersonal relationships in the acute health care setting: an integrative review’, </w:t>
      </w:r>
      <w:r w:rsidRPr="00DC35AB">
        <w:rPr>
          <w:rFonts w:asciiTheme="minorHAnsi" w:hAnsiTheme="minorHAnsi"/>
          <w:i/>
          <w:iCs/>
        </w:rPr>
        <w:t xml:space="preserve">Journal of Multidisciplinary Healthcare, </w:t>
      </w:r>
      <w:r w:rsidRPr="00DC35AB">
        <w:rPr>
          <w:rFonts w:asciiTheme="minorHAnsi" w:hAnsiTheme="minorHAnsi"/>
        </w:rPr>
        <w:t>Volume 9, pp. 537-546, Available at: https://doi.org/10.2147/JMDH.S116957</w:t>
      </w:r>
    </w:p>
    <w:p w14:paraId="35F71F40" w14:textId="77777777" w:rsidR="00DC35AB" w:rsidRDefault="00DC35AB" w:rsidP="00DC35AB">
      <w:pPr>
        <w:spacing w:line="360" w:lineRule="auto"/>
        <w:rPr>
          <w:rFonts w:asciiTheme="minorHAnsi" w:hAnsiTheme="minorHAnsi"/>
        </w:rPr>
      </w:pPr>
    </w:p>
    <w:p w14:paraId="007C252B" w14:textId="396D6CE3" w:rsidR="00DC35AB" w:rsidRPr="00DC35AB" w:rsidRDefault="00DC35AB" w:rsidP="00DC35AB">
      <w:pPr>
        <w:spacing w:line="360" w:lineRule="auto"/>
        <w:rPr>
          <w:rFonts w:asciiTheme="minorHAnsi" w:hAnsiTheme="minorHAnsi"/>
        </w:rPr>
      </w:pPr>
      <w:r w:rsidRPr="00DC35AB">
        <w:rPr>
          <w:rFonts w:asciiTheme="minorHAnsi" w:hAnsiTheme="minorHAnsi"/>
        </w:rPr>
        <w:t xml:space="preserve">Kulkarni, S., Knight, T., Cooksley, T., Marshall, E., Patel, N., Selvaratnam, E., and Atkin, C., (2023) ‘Provision of acute oncology services in the UK: data from the Society for Acute Medicine Benchmarking Audit 2022 (SAMBA22), </w:t>
      </w:r>
      <w:r w:rsidRPr="00DC35AB">
        <w:rPr>
          <w:rFonts w:asciiTheme="minorHAnsi" w:hAnsiTheme="minorHAnsi"/>
          <w:i/>
          <w:iCs/>
        </w:rPr>
        <w:t xml:space="preserve">Clinical Medicine, </w:t>
      </w:r>
      <w:r w:rsidRPr="00DC35AB">
        <w:rPr>
          <w:rFonts w:asciiTheme="minorHAnsi" w:hAnsiTheme="minorHAnsi"/>
        </w:rPr>
        <w:t xml:space="preserve">Volume 23, (6), pp. 571-581, Available at: doi:10.7861/clinmed.2023-0251 </w:t>
      </w:r>
    </w:p>
    <w:p w14:paraId="379D16E7" w14:textId="77777777" w:rsidR="00DC35AB" w:rsidRDefault="00DC35AB" w:rsidP="00DC35AB">
      <w:pPr>
        <w:spacing w:line="360" w:lineRule="auto"/>
        <w:rPr>
          <w:rFonts w:asciiTheme="minorHAnsi" w:hAnsiTheme="minorHAnsi"/>
        </w:rPr>
      </w:pPr>
    </w:p>
    <w:p w14:paraId="35AAA396" w14:textId="6476AB78" w:rsidR="00DC35AB" w:rsidRPr="00DC35AB" w:rsidRDefault="00DC35AB" w:rsidP="00DC35AB">
      <w:pPr>
        <w:spacing w:line="360" w:lineRule="auto"/>
        <w:rPr>
          <w:rFonts w:asciiTheme="minorHAnsi" w:hAnsiTheme="minorHAnsi"/>
        </w:rPr>
      </w:pPr>
      <w:r w:rsidRPr="00DC35AB">
        <w:rPr>
          <w:rFonts w:asciiTheme="minorHAnsi" w:hAnsiTheme="minorHAnsi"/>
        </w:rPr>
        <w:t xml:space="preserve">Lamba, N., Cao, F., Cagney, D, N., Catalano, P, J., Haas-Kogan, D, A., Wen, Y, P., and Aizer, A, A., (2022) ‘Frequency, aetiologies, risk factors, and sequelae of falls among patients with brain metastases: A population-and institutional-level analysis’, </w:t>
      </w:r>
      <w:r w:rsidRPr="00DC35AB">
        <w:rPr>
          <w:rFonts w:asciiTheme="minorHAnsi" w:hAnsiTheme="minorHAnsi"/>
          <w:i/>
          <w:iCs/>
        </w:rPr>
        <w:t xml:space="preserve">Neuro-Oncology Practice, </w:t>
      </w:r>
      <w:r w:rsidRPr="00DC35AB">
        <w:rPr>
          <w:rFonts w:asciiTheme="minorHAnsi" w:hAnsiTheme="minorHAnsi"/>
        </w:rPr>
        <w:t xml:space="preserve">Volume 9, (2), pp.114-122, Available at: https://doi.org/10.1093/nop/npab061 </w:t>
      </w:r>
    </w:p>
    <w:p w14:paraId="4F77B780" w14:textId="77777777" w:rsidR="00226062" w:rsidRDefault="00226062" w:rsidP="00DC35AB">
      <w:pPr>
        <w:spacing w:line="360" w:lineRule="auto"/>
        <w:rPr>
          <w:rFonts w:asciiTheme="minorHAnsi" w:hAnsiTheme="minorHAnsi"/>
        </w:rPr>
      </w:pPr>
    </w:p>
    <w:p w14:paraId="6E527779" w14:textId="3249ACD2" w:rsidR="00DC35AB" w:rsidRPr="00DC35AB" w:rsidRDefault="00DC35AB" w:rsidP="00DC35AB">
      <w:pPr>
        <w:spacing w:line="360" w:lineRule="auto"/>
        <w:rPr>
          <w:rFonts w:asciiTheme="minorHAnsi" w:hAnsiTheme="minorHAnsi"/>
        </w:rPr>
      </w:pPr>
      <w:r w:rsidRPr="00DC35AB">
        <w:rPr>
          <w:rFonts w:asciiTheme="minorHAnsi" w:hAnsiTheme="minorHAnsi"/>
        </w:rPr>
        <w:t xml:space="preserve">Lerner, A., Palmer, K., Campion, T., Millner, T. O., Scott, E., Lorimer, C., Paraskevopoulos, D., McKenna, G., Marino, S., Lewis, R., and Plowman, N., (2024), ‘Gliomas in adults: Guidance on </w:t>
      </w:r>
      <w:r w:rsidRPr="00DC35AB">
        <w:rPr>
          <w:rFonts w:asciiTheme="minorHAnsi" w:hAnsiTheme="minorHAnsi"/>
        </w:rPr>
        <w:lastRenderedPageBreak/>
        <w:t xml:space="preserve">investigations, diagnosis, treatment and surveillance’, </w:t>
      </w:r>
      <w:r w:rsidRPr="00DC35AB">
        <w:rPr>
          <w:rFonts w:asciiTheme="minorHAnsi" w:hAnsiTheme="minorHAnsi"/>
          <w:i/>
          <w:iCs/>
        </w:rPr>
        <w:t xml:space="preserve">Clinical Medicine, </w:t>
      </w:r>
      <w:r w:rsidRPr="00DC35AB">
        <w:rPr>
          <w:rFonts w:asciiTheme="minorHAnsi" w:hAnsiTheme="minorHAnsi"/>
        </w:rPr>
        <w:t xml:space="preserve">Volume 24, (5), pp. 1-9, Available at: https://www.sciencedirect.com/science/article/pii/S1470211824054253 </w:t>
      </w:r>
    </w:p>
    <w:p w14:paraId="10DDB0BC" w14:textId="77777777" w:rsidR="00DC35AB" w:rsidRDefault="00DC35AB" w:rsidP="00DC35AB">
      <w:pPr>
        <w:spacing w:line="360" w:lineRule="auto"/>
        <w:rPr>
          <w:rFonts w:asciiTheme="minorHAnsi" w:hAnsiTheme="minorHAnsi"/>
        </w:rPr>
      </w:pPr>
    </w:p>
    <w:p w14:paraId="6CBE5B49" w14:textId="20845C82" w:rsidR="00DC35AB" w:rsidRPr="00DC35AB" w:rsidRDefault="00DC35AB" w:rsidP="00DC35AB">
      <w:pPr>
        <w:spacing w:line="360" w:lineRule="auto"/>
        <w:rPr>
          <w:rFonts w:asciiTheme="minorHAnsi" w:hAnsiTheme="minorHAnsi"/>
        </w:rPr>
      </w:pPr>
      <w:r w:rsidRPr="00DC35AB">
        <w:rPr>
          <w:rFonts w:asciiTheme="minorHAnsi" w:hAnsiTheme="minorHAnsi"/>
        </w:rPr>
        <w:t xml:space="preserve">Martin, P., Lizarondo, L., Kumar, S., and Snowdon, D., (2021), ‘Impact of clinical supervision on healthcare organisational outcomes: A mixed methods systematic review’, </w:t>
      </w:r>
      <w:r w:rsidRPr="00DC35AB">
        <w:rPr>
          <w:rFonts w:asciiTheme="minorHAnsi" w:hAnsiTheme="minorHAnsi"/>
          <w:i/>
          <w:iCs/>
        </w:rPr>
        <w:t xml:space="preserve">Plos One, </w:t>
      </w:r>
      <w:r w:rsidRPr="00DC35AB">
        <w:rPr>
          <w:rFonts w:asciiTheme="minorHAnsi" w:hAnsiTheme="minorHAnsi"/>
        </w:rPr>
        <w:t>Available at: https://doi.org/10.1371/journal.pone.0260156</w:t>
      </w:r>
    </w:p>
    <w:p w14:paraId="4433840F" w14:textId="77777777" w:rsidR="00DC35AB" w:rsidRDefault="00DC35AB" w:rsidP="00DC35AB">
      <w:pPr>
        <w:spacing w:line="360" w:lineRule="auto"/>
        <w:rPr>
          <w:rFonts w:asciiTheme="minorHAnsi" w:hAnsiTheme="minorHAnsi"/>
        </w:rPr>
      </w:pPr>
    </w:p>
    <w:p w14:paraId="5DC0E2CC" w14:textId="23D1D70B" w:rsidR="00DC35AB" w:rsidRPr="00DC35AB" w:rsidRDefault="00DC35AB" w:rsidP="00DC35AB">
      <w:pPr>
        <w:spacing w:line="360" w:lineRule="auto"/>
        <w:rPr>
          <w:rFonts w:asciiTheme="minorHAnsi" w:hAnsiTheme="minorHAnsi"/>
        </w:rPr>
      </w:pPr>
      <w:r w:rsidRPr="00DC35AB">
        <w:rPr>
          <w:rFonts w:asciiTheme="minorHAnsi" w:hAnsiTheme="minorHAnsi"/>
        </w:rPr>
        <w:t xml:space="preserve">Miller, M., and Kearney, N., (2002), ‘Institutional management of cancer-related fatigue: a comparison of clinical specialities’, </w:t>
      </w:r>
      <w:r w:rsidRPr="00DC35AB">
        <w:rPr>
          <w:rFonts w:asciiTheme="minorHAnsi" w:hAnsiTheme="minorHAnsi"/>
          <w:i/>
          <w:iCs/>
        </w:rPr>
        <w:t xml:space="preserve">European Journal of Oncology Nursing’, </w:t>
      </w:r>
      <w:r w:rsidRPr="00DC35AB">
        <w:rPr>
          <w:rFonts w:asciiTheme="minorHAnsi" w:hAnsiTheme="minorHAnsi"/>
        </w:rPr>
        <w:t>Volume 6, (1), pp. 45-53, Available at: doi: 10.1054/ejon.2001.0138</w:t>
      </w:r>
    </w:p>
    <w:p w14:paraId="3BB55E23" w14:textId="77777777" w:rsidR="00DC35AB" w:rsidRDefault="00DC35AB" w:rsidP="00DC35AB">
      <w:pPr>
        <w:spacing w:line="360" w:lineRule="auto"/>
        <w:rPr>
          <w:rFonts w:asciiTheme="minorHAnsi" w:hAnsiTheme="minorHAnsi"/>
        </w:rPr>
      </w:pPr>
    </w:p>
    <w:p w14:paraId="4BC99FE0" w14:textId="075DFCBC" w:rsidR="00DC35AB" w:rsidRPr="00DC35AB" w:rsidRDefault="00DC35AB" w:rsidP="00DC35AB">
      <w:pPr>
        <w:spacing w:line="360" w:lineRule="auto"/>
        <w:rPr>
          <w:rFonts w:asciiTheme="minorHAnsi" w:hAnsiTheme="minorHAnsi"/>
        </w:rPr>
      </w:pPr>
      <w:r w:rsidRPr="00DC35AB">
        <w:rPr>
          <w:rFonts w:asciiTheme="minorHAnsi" w:hAnsiTheme="minorHAnsi"/>
        </w:rPr>
        <w:t xml:space="preserve">National Health Service (NHS) Wales, (2016), </w:t>
      </w:r>
      <w:r w:rsidRPr="00DC35AB">
        <w:rPr>
          <w:rFonts w:asciiTheme="minorHAnsi" w:hAnsiTheme="minorHAnsi"/>
          <w:i/>
          <w:iCs/>
        </w:rPr>
        <w:t xml:space="preserve">Cancer National Specialist Advisory Group: National Standards for Acute Oncology Services, </w:t>
      </w:r>
      <w:r w:rsidRPr="00DC35AB">
        <w:rPr>
          <w:rFonts w:asciiTheme="minorHAnsi" w:hAnsiTheme="minorHAnsi"/>
        </w:rPr>
        <w:t>Available at: https://www.ukacuteoncology.co.uk/application/files/5016/2196/1589/National_Standards_for_Acute_Oncology_Services_June_2016.pdf [Accessed 25th March 2025]</w:t>
      </w:r>
    </w:p>
    <w:p w14:paraId="0882113D" w14:textId="77777777" w:rsidR="00DC35AB" w:rsidRDefault="00DC35AB" w:rsidP="00DC35AB">
      <w:pPr>
        <w:spacing w:line="360" w:lineRule="auto"/>
        <w:rPr>
          <w:rFonts w:asciiTheme="minorHAnsi" w:hAnsiTheme="minorHAnsi" w:cs="Al Tarikh"/>
        </w:rPr>
      </w:pPr>
    </w:p>
    <w:p w14:paraId="11072035" w14:textId="37E93424" w:rsidR="00DC35AB" w:rsidRPr="00DC35AB" w:rsidRDefault="00DC35AB" w:rsidP="00DC35AB">
      <w:pPr>
        <w:spacing w:line="360" w:lineRule="auto"/>
        <w:rPr>
          <w:rFonts w:asciiTheme="minorHAnsi" w:hAnsiTheme="minorHAnsi" w:cs="Al Tarikh"/>
        </w:rPr>
      </w:pPr>
      <w:r w:rsidRPr="00DC35AB">
        <w:rPr>
          <w:rFonts w:asciiTheme="minorHAnsi" w:hAnsiTheme="minorHAnsi" w:cs="Al Tarikh"/>
        </w:rPr>
        <w:t>National Health Service (NHS) Wales, (2024) Code of Conduct for Health Care Support Workers in Wales Available at: https://heiw.nhs.wales/files/educational-development/code-of-conduct-for-health-support-workers-in-wales-pdf/ [Accessed 4th November 2024]</w:t>
      </w:r>
    </w:p>
    <w:p w14:paraId="1334D831" w14:textId="77777777" w:rsidR="00DC35AB" w:rsidRDefault="00DC35AB" w:rsidP="00DC35AB">
      <w:pPr>
        <w:spacing w:line="360" w:lineRule="auto"/>
        <w:rPr>
          <w:rFonts w:asciiTheme="minorHAnsi" w:hAnsiTheme="minorHAnsi"/>
        </w:rPr>
      </w:pPr>
    </w:p>
    <w:p w14:paraId="596B3DD6" w14:textId="00DC0191" w:rsidR="00DC35AB" w:rsidRPr="00DC35AB" w:rsidRDefault="00DC35AB" w:rsidP="00DC35AB">
      <w:pPr>
        <w:spacing w:line="360" w:lineRule="auto"/>
        <w:rPr>
          <w:rFonts w:asciiTheme="minorHAnsi" w:hAnsiTheme="minorHAnsi"/>
        </w:rPr>
      </w:pPr>
      <w:r w:rsidRPr="00DC35AB">
        <w:rPr>
          <w:rFonts w:asciiTheme="minorHAnsi" w:hAnsiTheme="minorHAnsi"/>
        </w:rPr>
        <w:t xml:space="preserve">National Health Service Wales (NHS), (2025), </w:t>
      </w:r>
      <w:r w:rsidRPr="00DC35AB">
        <w:rPr>
          <w:rFonts w:asciiTheme="minorHAnsi" w:hAnsiTheme="minorHAnsi"/>
          <w:i/>
          <w:iCs/>
        </w:rPr>
        <w:t xml:space="preserve">Service Specification of Acute Oncology Services for the NHS in Wales, </w:t>
      </w:r>
      <w:r w:rsidRPr="00DC35AB">
        <w:rPr>
          <w:rFonts w:asciiTheme="minorHAnsi" w:hAnsiTheme="minorHAnsi"/>
        </w:rPr>
        <w:t>Available at: https://executive.nhs.wales/functions/networks-and-planning/cancer/clinical-hub/acute-oncology/aos-files/service-specification-of-aos-for-the-nhs-in-wales-english/ [Accessed 29</w:t>
      </w:r>
      <w:r w:rsidRPr="00DC35AB">
        <w:rPr>
          <w:rFonts w:asciiTheme="minorHAnsi" w:hAnsiTheme="minorHAnsi"/>
          <w:vertAlign w:val="superscript"/>
        </w:rPr>
        <w:t>th</w:t>
      </w:r>
      <w:r w:rsidRPr="00DC35AB">
        <w:rPr>
          <w:rFonts w:asciiTheme="minorHAnsi" w:hAnsiTheme="minorHAnsi"/>
        </w:rPr>
        <w:t xml:space="preserve"> April 2025]</w:t>
      </w:r>
    </w:p>
    <w:p w14:paraId="2D38DDF9" w14:textId="77777777" w:rsidR="00DC35AB" w:rsidRDefault="00DC35AB" w:rsidP="00DC35AB">
      <w:pPr>
        <w:spacing w:line="360" w:lineRule="auto"/>
        <w:rPr>
          <w:rFonts w:asciiTheme="minorHAnsi" w:hAnsiTheme="minorHAnsi"/>
        </w:rPr>
      </w:pPr>
    </w:p>
    <w:p w14:paraId="02301782" w14:textId="6D569256" w:rsidR="00DC35AB" w:rsidRPr="00DC35AB" w:rsidRDefault="00DC35AB" w:rsidP="00DC35AB">
      <w:pPr>
        <w:spacing w:line="360" w:lineRule="auto"/>
        <w:rPr>
          <w:rFonts w:asciiTheme="minorHAnsi" w:hAnsiTheme="minorHAnsi"/>
        </w:rPr>
      </w:pPr>
      <w:r w:rsidRPr="00DC35AB">
        <w:rPr>
          <w:rFonts w:asciiTheme="minorHAnsi" w:hAnsiTheme="minorHAnsi"/>
        </w:rPr>
        <w:t xml:space="preserve">National Health Service Professionals, (2025), </w:t>
      </w:r>
      <w:r w:rsidRPr="00DC35AB">
        <w:rPr>
          <w:rFonts w:asciiTheme="minorHAnsi" w:hAnsiTheme="minorHAnsi"/>
          <w:i/>
          <w:iCs/>
        </w:rPr>
        <w:t xml:space="preserve">Healthcare Support Worker (HCSW) or Healthcare Assistant (HCA), </w:t>
      </w:r>
      <w:r w:rsidRPr="00DC35AB">
        <w:rPr>
          <w:rFonts w:asciiTheme="minorHAnsi" w:hAnsiTheme="minorHAnsi"/>
        </w:rPr>
        <w:t>Available at: https://www.nhsprofessionals.nhs.uk/nhs-staffing-pool-hub/careers-in-healthcare/healthcare-support-worker-or-healthcare-assistant [Accessed 27th April 2025]</w:t>
      </w:r>
    </w:p>
    <w:p w14:paraId="4D144B06" w14:textId="77777777" w:rsidR="00DC35AB" w:rsidRDefault="00DC35AB" w:rsidP="00DC35AB">
      <w:pPr>
        <w:spacing w:line="360" w:lineRule="auto"/>
        <w:rPr>
          <w:rFonts w:asciiTheme="minorHAnsi" w:hAnsiTheme="minorHAnsi"/>
        </w:rPr>
      </w:pPr>
    </w:p>
    <w:p w14:paraId="0A0284C3" w14:textId="79A86AC0" w:rsidR="00DC35AB" w:rsidRPr="00DC35AB" w:rsidRDefault="00DC35AB" w:rsidP="00DC35AB">
      <w:pPr>
        <w:spacing w:line="360" w:lineRule="auto"/>
        <w:rPr>
          <w:rFonts w:asciiTheme="minorHAnsi" w:hAnsiTheme="minorHAnsi"/>
        </w:rPr>
      </w:pPr>
      <w:r w:rsidRPr="00DC35AB">
        <w:rPr>
          <w:rFonts w:asciiTheme="minorHAnsi" w:hAnsiTheme="minorHAnsi"/>
        </w:rPr>
        <w:t xml:space="preserve">National Health Service Jobs, (2023), </w:t>
      </w:r>
      <w:r w:rsidRPr="00DC35AB">
        <w:rPr>
          <w:rFonts w:asciiTheme="minorHAnsi" w:hAnsiTheme="minorHAnsi"/>
          <w:i/>
          <w:iCs/>
        </w:rPr>
        <w:t xml:space="preserve">Acute Oncology Therapy Assistant Practitioner, </w:t>
      </w:r>
      <w:r w:rsidRPr="00DC35AB">
        <w:rPr>
          <w:rFonts w:asciiTheme="minorHAnsi" w:hAnsiTheme="minorHAnsi"/>
        </w:rPr>
        <w:t>Available at: https://www.jobs.nhs.uk/candidate/jobadvert/H9001-23-1255?sort=closingDate&amp;page=694&amp;language= [Accessed 29</w:t>
      </w:r>
      <w:r w:rsidRPr="00DC35AB">
        <w:rPr>
          <w:rFonts w:asciiTheme="minorHAnsi" w:hAnsiTheme="minorHAnsi"/>
          <w:vertAlign w:val="superscript"/>
        </w:rPr>
        <w:t>th</w:t>
      </w:r>
      <w:r w:rsidRPr="00DC35AB">
        <w:rPr>
          <w:rFonts w:asciiTheme="minorHAnsi" w:hAnsiTheme="minorHAnsi"/>
        </w:rPr>
        <w:t xml:space="preserve"> April 2025]</w:t>
      </w:r>
    </w:p>
    <w:p w14:paraId="13A715A5" w14:textId="77777777" w:rsidR="00D115D7" w:rsidRDefault="00D115D7" w:rsidP="00DC35AB">
      <w:pPr>
        <w:spacing w:line="360" w:lineRule="auto"/>
        <w:rPr>
          <w:rFonts w:asciiTheme="minorHAnsi" w:hAnsiTheme="minorHAnsi"/>
        </w:rPr>
      </w:pPr>
    </w:p>
    <w:p w14:paraId="1DABD89A" w14:textId="101513D9" w:rsidR="00DC35AB" w:rsidRPr="00DC35AB" w:rsidRDefault="00DC35AB" w:rsidP="00DC35AB">
      <w:pPr>
        <w:spacing w:line="360" w:lineRule="auto"/>
        <w:rPr>
          <w:rFonts w:asciiTheme="minorHAnsi" w:hAnsiTheme="minorHAnsi"/>
        </w:rPr>
      </w:pPr>
      <w:r w:rsidRPr="00DC35AB">
        <w:rPr>
          <w:rFonts w:asciiTheme="minorHAnsi" w:hAnsiTheme="minorHAnsi"/>
        </w:rPr>
        <w:t xml:space="preserve">Navani, V., (2014), ‘How has acute oncology improved patients care’, </w:t>
      </w:r>
      <w:r w:rsidRPr="00DC35AB">
        <w:rPr>
          <w:rFonts w:asciiTheme="minorHAnsi" w:hAnsiTheme="minorHAnsi"/>
          <w:i/>
          <w:iCs/>
        </w:rPr>
        <w:t xml:space="preserve">Current Oncology, </w:t>
      </w:r>
      <w:r w:rsidRPr="00DC35AB">
        <w:rPr>
          <w:rFonts w:asciiTheme="minorHAnsi" w:hAnsiTheme="minorHAnsi"/>
        </w:rPr>
        <w:t xml:space="preserve">Volume 21, (3), pp. 147-149, Available at: https://dx.doi.org/10.3747/co.21.1904 </w:t>
      </w:r>
    </w:p>
    <w:p w14:paraId="298C8D4A" w14:textId="77777777" w:rsidR="00D115D7" w:rsidRDefault="00D115D7" w:rsidP="00DC35AB">
      <w:pPr>
        <w:spacing w:line="360" w:lineRule="auto"/>
        <w:rPr>
          <w:rFonts w:asciiTheme="minorHAnsi" w:hAnsiTheme="minorHAnsi"/>
        </w:rPr>
      </w:pPr>
    </w:p>
    <w:p w14:paraId="64A15969" w14:textId="7C38C939" w:rsidR="00DC35AB" w:rsidRPr="00DC35AB" w:rsidRDefault="00DC35AB" w:rsidP="00DC35AB">
      <w:pPr>
        <w:spacing w:line="360" w:lineRule="auto"/>
        <w:rPr>
          <w:rFonts w:asciiTheme="minorHAnsi" w:hAnsiTheme="minorHAnsi"/>
        </w:rPr>
      </w:pPr>
      <w:r w:rsidRPr="00DC35AB">
        <w:rPr>
          <w:rFonts w:asciiTheme="minorHAnsi" w:hAnsiTheme="minorHAnsi"/>
        </w:rPr>
        <w:t xml:space="preserve">Neville-Webb, L, H., Wong, H., and Marshall, E., (2016), ‘Patterns of acute oncology admissions: an exploratory analysis of over 7000 patient episodes’, </w:t>
      </w:r>
      <w:r w:rsidRPr="00DC35AB">
        <w:rPr>
          <w:rFonts w:asciiTheme="minorHAnsi" w:hAnsiTheme="minorHAnsi"/>
          <w:i/>
          <w:iCs/>
        </w:rPr>
        <w:t xml:space="preserve">Postgraduate Medical Journal, </w:t>
      </w:r>
      <w:r w:rsidRPr="00DC35AB">
        <w:rPr>
          <w:rFonts w:asciiTheme="minorHAnsi" w:hAnsiTheme="minorHAnsi"/>
        </w:rPr>
        <w:t>Volume 92, (1093), pp. 649-652, Available at: https://doi.org/10.1136/postgradmedj-2015-133805</w:t>
      </w:r>
    </w:p>
    <w:p w14:paraId="703324F7" w14:textId="77777777" w:rsidR="00DC35AB" w:rsidRDefault="00DC35AB" w:rsidP="00DC35AB">
      <w:pPr>
        <w:spacing w:line="360" w:lineRule="auto"/>
        <w:rPr>
          <w:rFonts w:asciiTheme="minorHAnsi" w:hAnsiTheme="minorHAnsi"/>
        </w:rPr>
      </w:pPr>
    </w:p>
    <w:p w14:paraId="1CEFFB0F" w14:textId="1E8F0803" w:rsidR="00DC35AB" w:rsidRPr="00DC35AB" w:rsidRDefault="00DC35AB" w:rsidP="00DC35AB">
      <w:pPr>
        <w:spacing w:line="360" w:lineRule="auto"/>
        <w:rPr>
          <w:rFonts w:asciiTheme="minorHAnsi" w:hAnsiTheme="minorHAnsi"/>
        </w:rPr>
      </w:pPr>
      <w:r w:rsidRPr="00DC35AB">
        <w:rPr>
          <w:rFonts w:asciiTheme="minorHAnsi" w:hAnsiTheme="minorHAnsi"/>
        </w:rPr>
        <w:t xml:space="preserve">O’Doherty, C., Quinn, S., and Gibson, J., (2012), ‘Acute Oncology and Palliative Care: two sides of the same coin?’, </w:t>
      </w:r>
      <w:r w:rsidRPr="00DC35AB">
        <w:rPr>
          <w:rFonts w:asciiTheme="minorHAnsi" w:hAnsiTheme="minorHAnsi"/>
          <w:i/>
          <w:iCs/>
        </w:rPr>
        <w:t xml:space="preserve">British Medical Journal Supportive and Palliative Care, </w:t>
      </w:r>
      <w:r w:rsidRPr="00DC35AB">
        <w:rPr>
          <w:rFonts w:asciiTheme="minorHAnsi" w:hAnsiTheme="minorHAnsi"/>
        </w:rPr>
        <w:t>Volume 2, pp. 82-83, Available at: https://doi.org/10.1136/bmjspcare-2012-000196.242</w:t>
      </w:r>
    </w:p>
    <w:p w14:paraId="1F18B71B" w14:textId="77777777" w:rsidR="00DC35AB" w:rsidRDefault="00DC35AB" w:rsidP="00DC35AB">
      <w:pPr>
        <w:spacing w:line="360" w:lineRule="auto"/>
        <w:rPr>
          <w:rFonts w:asciiTheme="minorHAnsi" w:hAnsiTheme="minorHAnsi"/>
        </w:rPr>
      </w:pPr>
    </w:p>
    <w:p w14:paraId="3D7F2B84" w14:textId="751E1BAD" w:rsidR="00DC35AB" w:rsidRPr="00DC35AB" w:rsidRDefault="00DC35AB" w:rsidP="00DC35AB">
      <w:pPr>
        <w:spacing w:line="360" w:lineRule="auto"/>
        <w:rPr>
          <w:rFonts w:asciiTheme="minorHAnsi" w:hAnsiTheme="minorHAnsi"/>
        </w:rPr>
      </w:pPr>
      <w:r w:rsidRPr="00DC35AB">
        <w:rPr>
          <w:rFonts w:asciiTheme="minorHAnsi" w:hAnsiTheme="minorHAnsi"/>
        </w:rPr>
        <w:t xml:space="preserve">Piil, K., Julher, M., Jakobsen, J., and Jarden, M., (2016), ‘Controlled rehabilitative and supportive care intervention trials in patients with high-grade gliomas and their caregivers: a systematic review’, </w:t>
      </w:r>
      <w:r w:rsidRPr="00DC35AB">
        <w:rPr>
          <w:rFonts w:asciiTheme="minorHAnsi" w:hAnsiTheme="minorHAnsi"/>
          <w:i/>
          <w:iCs/>
        </w:rPr>
        <w:t xml:space="preserve">British Medical Journal, </w:t>
      </w:r>
      <w:r w:rsidRPr="00DC35AB">
        <w:rPr>
          <w:rFonts w:asciiTheme="minorHAnsi" w:hAnsiTheme="minorHAnsi"/>
        </w:rPr>
        <w:t xml:space="preserve">Volume 6, pp. 27-34, Available at: doi:10.1136/bmjspcare-2013-000593 </w:t>
      </w:r>
    </w:p>
    <w:p w14:paraId="23A45F2B" w14:textId="77777777" w:rsidR="00DC35AB" w:rsidRDefault="00DC35AB" w:rsidP="00DC35AB">
      <w:pPr>
        <w:spacing w:line="360" w:lineRule="auto"/>
        <w:rPr>
          <w:rFonts w:asciiTheme="minorHAnsi" w:hAnsiTheme="minorHAnsi"/>
        </w:rPr>
      </w:pPr>
    </w:p>
    <w:p w14:paraId="52B54237" w14:textId="12355902" w:rsidR="00DC35AB" w:rsidRPr="00DC35AB" w:rsidRDefault="00DC35AB" w:rsidP="00DC35AB">
      <w:pPr>
        <w:spacing w:line="360" w:lineRule="auto"/>
        <w:rPr>
          <w:rFonts w:asciiTheme="minorHAnsi" w:hAnsiTheme="minorHAnsi"/>
        </w:rPr>
      </w:pPr>
      <w:r w:rsidRPr="00DC35AB">
        <w:rPr>
          <w:rFonts w:asciiTheme="minorHAnsi" w:hAnsiTheme="minorHAnsi"/>
        </w:rPr>
        <w:t xml:space="preserve">Public Health Wales, (2023), </w:t>
      </w:r>
      <w:r w:rsidRPr="00DC35AB">
        <w:rPr>
          <w:rFonts w:asciiTheme="minorHAnsi" w:hAnsiTheme="minorHAnsi"/>
          <w:i/>
          <w:iCs/>
        </w:rPr>
        <w:t xml:space="preserve">Clinical Governance Framework, </w:t>
      </w:r>
      <w:r w:rsidRPr="00DC35AB">
        <w:rPr>
          <w:rFonts w:asciiTheme="minorHAnsi" w:hAnsiTheme="minorHAnsi"/>
        </w:rPr>
        <w:t>Available at: https://phw.nhs.wales/about-us/policies-and-procedures/policies-and-procedures-documents/clinical-governance-and-infection-control-policies/clinical-governance-framework/ [Accessed 15</w:t>
      </w:r>
      <w:r w:rsidRPr="00DC35AB">
        <w:rPr>
          <w:rFonts w:asciiTheme="minorHAnsi" w:hAnsiTheme="minorHAnsi"/>
          <w:vertAlign w:val="superscript"/>
        </w:rPr>
        <w:t>th</w:t>
      </w:r>
      <w:r w:rsidRPr="00DC35AB">
        <w:rPr>
          <w:rFonts w:asciiTheme="minorHAnsi" w:hAnsiTheme="minorHAnsi"/>
        </w:rPr>
        <w:t xml:space="preserve"> May 2025]</w:t>
      </w:r>
    </w:p>
    <w:p w14:paraId="0523DA2A" w14:textId="77777777" w:rsidR="00DC35AB" w:rsidRDefault="00DC35AB" w:rsidP="00DC35AB">
      <w:pPr>
        <w:spacing w:line="360" w:lineRule="auto"/>
        <w:rPr>
          <w:rFonts w:asciiTheme="minorHAnsi" w:hAnsiTheme="minorHAnsi"/>
        </w:rPr>
      </w:pPr>
    </w:p>
    <w:p w14:paraId="0EBA1AF7" w14:textId="73E3CC5C" w:rsidR="00DC35AB" w:rsidRPr="00DC35AB" w:rsidRDefault="00DC35AB" w:rsidP="00DC35AB">
      <w:pPr>
        <w:spacing w:line="360" w:lineRule="auto"/>
        <w:rPr>
          <w:rFonts w:asciiTheme="minorHAnsi" w:hAnsiTheme="minorHAnsi"/>
        </w:rPr>
      </w:pPr>
      <w:r w:rsidRPr="00DC35AB">
        <w:rPr>
          <w:rFonts w:asciiTheme="minorHAnsi" w:hAnsiTheme="minorHAnsi"/>
        </w:rPr>
        <w:t xml:space="preserve">Pugh, A., Rogerson, H., Cosh, H., Hart, J., Williams, H., and Jenkins, C., (2015), ‘Acute oncology: a developing sub-specialty’, </w:t>
      </w:r>
      <w:r w:rsidRPr="00DC35AB">
        <w:rPr>
          <w:rFonts w:asciiTheme="minorHAnsi" w:hAnsiTheme="minorHAnsi"/>
          <w:i/>
          <w:iCs/>
        </w:rPr>
        <w:t xml:space="preserve">British Journal of Nursing, </w:t>
      </w:r>
      <w:r w:rsidRPr="00DC35AB">
        <w:rPr>
          <w:rFonts w:asciiTheme="minorHAnsi" w:hAnsiTheme="minorHAnsi"/>
        </w:rPr>
        <w:t xml:space="preserve">Volume 24, (16), pp18-25, Available at: doi: 159.086.191.206 </w:t>
      </w:r>
    </w:p>
    <w:p w14:paraId="69D5AE3A" w14:textId="77777777" w:rsidR="00DC35AB" w:rsidRDefault="00DC35AB" w:rsidP="00DC35AB">
      <w:pPr>
        <w:spacing w:line="360" w:lineRule="auto"/>
        <w:rPr>
          <w:rFonts w:asciiTheme="minorHAnsi" w:hAnsiTheme="minorHAnsi"/>
        </w:rPr>
      </w:pPr>
    </w:p>
    <w:p w14:paraId="14A92730" w14:textId="4B753095" w:rsidR="00DC35AB" w:rsidRPr="00DC35AB" w:rsidRDefault="00DC35AB" w:rsidP="00DC35AB">
      <w:pPr>
        <w:spacing w:line="360" w:lineRule="auto"/>
        <w:rPr>
          <w:rFonts w:asciiTheme="minorHAnsi" w:hAnsiTheme="minorHAnsi"/>
        </w:rPr>
      </w:pPr>
      <w:r w:rsidRPr="00DC35AB">
        <w:rPr>
          <w:rFonts w:asciiTheme="minorHAnsi" w:hAnsiTheme="minorHAnsi"/>
        </w:rPr>
        <w:t xml:space="preserve">Royal College of Physicians, (2023), </w:t>
      </w:r>
      <w:r w:rsidRPr="00DC35AB">
        <w:rPr>
          <w:rFonts w:asciiTheme="minorHAnsi" w:hAnsiTheme="minorHAnsi"/>
          <w:i/>
          <w:iCs/>
        </w:rPr>
        <w:t xml:space="preserve">Cancer Care at the front door: The future of acute oncology in Wales’, </w:t>
      </w:r>
      <w:r w:rsidRPr="00DC35AB">
        <w:rPr>
          <w:rFonts w:asciiTheme="minorHAnsi" w:hAnsiTheme="minorHAnsi"/>
        </w:rPr>
        <w:t xml:space="preserve">Available at: https://velindre.nhs.wales/news/latest-news/royal-college-of-physicians-launches-major-report-into-acute-oncology-services/ [Accessed 25th March 2025] </w:t>
      </w:r>
    </w:p>
    <w:p w14:paraId="51E56EDE" w14:textId="77777777" w:rsidR="00DC35AB" w:rsidRDefault="00DC35AB" w:rsidP="00DC35AB">
      <w:pPr>
        <w:spacing w:line="360" w:lineRule="auto"/>
        <w:rPr>
          <w:rFonts w:asciiTheme="minorHAnsi" w:hAnsiTheme="minorHAnsi"/>
        </w:rPr>
      </w:pPr>
    </w:p>
    <w:p w14:paraId="38510B6B" w14:textId="4589C8B4" w:rsidR="00DC35AB" w:rsidRPr="00DC35AB" w:rsidRDefault="00DC35AB" w:rsidP="00DC35AB">
      <w:pPr>
        <w:spacing w:line="360" w:lineRule="auto"/>
        <w:rPr>
          <w:rFonts w:asciiTheme="minorHAnsi" w:hAnsiTheme="minorHAnsi"/>
        </w:rPr>
      </w:pPr>
      <w:r w:rsidRPr="00DC35AB">
        <w:rPr>
          <w:rFonts w:asciiTheme="minorHAnsi" w:hAnsiTheme="minorHAnsi"/>
        </w:rPr>
        <w:t xml:space="preserve">Rubbo, B., Saville, C., Dall’Ora, C., Turner, L., Jones, J., Ball, J., Culliford, D., and Griffiths, P., (2023), ‘Staffing levels and hospital mortality in England: a national panel study using routinely collected data’, </w:t>
      </w:r>
      <w:r w:rsidRPr="00DC35AB">
        <w:rPr>
          <w:rFonts w:asciiTheme="minorHAnsi" w:hAnsiTheme="minorHAnsi"/>
          <w:i/>
          <w:iCs/>
        </w:rPr>
        <w:t xml:space="preserve">British Medical Journal Open, </w:t>
      </w:r>
      <w:r w:rsidRPr="00DC35AB">
        <w:rPr>
          <w:rFonts w:asciiTheme="minorHAnsi" w:hAnsiTheme="minorHAnsi"/>
        </w:rPr>
        <w:t xml:space="preserve">Volume 13, (5), Available at: doi: 10.1136/bmjopen-2022-066702 </w:t>
      </w:r>
    </w:p>
    <w:p w14:paraId="139F9D3E" w14:textId="77777777" w:rsidR="00DC35AB" w:rsidRDefault="00DC35AB" w:rsidP="00DC35AB">
      <w:pPr>
        <w:spacing w:line="360" w:lineRule="auto"/>
        <w:rPr>
          <w:rFonts w:asciiTheme="minorHAnsi" w:hAnsiTheme="minorHAnsi"/>
        </w:rPr>
      </w:pPr>
    </w:p>
    <w:p w14:paraId="182FDD71" w14:textId="69DB0D71" w:rsidR="00DC35AB" w:rsidRPr="00DC35AB" w:rsidRDefault="00DC35AB" w:rsidP="00DC35AB">
      <w:pPr>
        <w:spacing w:line="360" w:lineRule="auto"/>
        <w:rPr>
          <w:rFonts w:asciiTheme="minorHAnsi" w:hAnsiTheme="minorHAnsi"/>
        </w:rPr>
      </w:pPr>
      <w:r w:rsidRPr="00DC35AB">
        <w:rPr>
          <w:rFonts w:asciiTheme="minorHAnsi" w:hAnsiTheme="minorHAnsi"/>
        </w:rPr>
        <w:t xml:space="preserve">Sage, W., Fernandez-Mendez, R., Crofton, A., Gifford, M, J., Bannykh, A., Chrysaphinis, C., Tingley, E., Bulbeck, H., Brahmbhatt, M., Pickard, J, D., Walter, F, M., Brodbelt, A., Price, S, J., and Joannides, A, J., (2019), ‘Defining unmet clinical need across the pathway of brain tumour care: a patient and carer perspective’, </w:t>
      </w:r>
      <w:r w:rsidRPr="00DC35AB">
        <w:rPr>
          <w:rFonts w:asciiTheme="minorHAnsi" w:hAnsiTheme="minorHAnsi"/>
          <w:i/>
          <w:iCs/>
        </w:rPr>
        <w:t xml:space="preserve">Cancer management and research, </w:t>
      </w:r>
      <w:r w:rsidRPr="00DC35AB">
        <w:rPr>
          <w:rFonts w:asciiTheme="minorHAnsi" w:hAnsiTheme="minorHAnsi"/>
        </w:rPr>
        <w:t xml:space="preserve">Volume 11, pp. 2189-2202, Available at: https://doi.org/10.2147/CMR.S175886 </w:t>
      </w:r>
    </w:p>
    <w:p w14:paraId="1877D6FC" w14:textId="77777777" w:rsidR="00DC35AB" w:rsidRDefault="00DC35AB" w:rsidP="00DC35AB">
      <w:pPr>
        <w:spacing w:line="360" w:lineRule="auto"/>
        <w:rPr>
          <w:rFonts w:asciiTheme="minorHAnsi" w:hAnsiTheme="minorHAnsi"/>
        </w:rPr>
      </w:pPr>
    </w:p>
    <w:p w14:paraId="7F4EFC28" w14:textId="6D600A4B" w:rsidR="00DC35AB" w:rsidRPr="00DC35AB" w:rsidRDefault="00DC35AB" w:rsidP="00DC35AB">
      <w:pPr>
        <w:spacing w:line="360" w:lineRule="auto"/>
        <w:rPr>
          <w:rFonts w:asciiTheme="minorHAnsi" w:hAnsiTheme="minorHAnsi"/>
        </w:rPr>
      </w:pPr>
      <w:r w:rsidRPr="00DC35AB">
        <w:rPr>
          <w:rFonts w:asciiTheme="minorHAnsi" w:hAnsiTheme="minorHAnsi"/>
        </w:rPr>
        <w:t xml:space="preserve">Sarre, S., Maben, J., Aldus, C., Schneider, J., Wharrad, H., Nicholson, C., and Arthur, A., (2018), ‘The challenges of training, support and assessment of healthcare support workers: A qualitative study of experiences in three English acute hospitals’, </w:t>
      </w:r>
      <w:r w:rsidRPr="00DC35AB">
        <w:rPr>
          <w:rFonts w:asciiTheme="minorHAnsi" w:hAnsiTheme="minorHAnsi"/>
          <w:i/>
          <w:iCs/>
        </w:rPr>
        <w:t xml:space="preserve">International Journal of Nursing Studies, </w:t>
      </w:r>
      <w:r w:rsidRPr="00DC35AB">
        <w:rPr>
          <w:rFonts w:asciiTheme="minorHAnsi" w:hAnsiTheme="minorHAnsi"/>
        </w:rPr>
        <w:t xml:space="preserve">Volume 79, pp. 145-153, Available at: https://www.sciencedirect.com/science/article/pii/S0020748917302729?via%3Dihub#section-cited-by </w:t>
      </w:r>
    </w:p>
    <w:p w14:paraId="54A32785" w14:textId="77777777" w:rsidR="00DC35AB" w:rsidRDefault="00DC35AB" w:rsidP="00DC35AB">
      <w:pPr>
        <w:spacing w:line="360" w:lineRule="auto"/>
        <w:rPr>
          <w:rFonts w:asciiTheme="minorHAnsi" w:hAnsiTheme="minorHAnsi"/>
        </w:rPr>
      </w:pPr>
    </w:p>
    <w:p w14:paraId="142C8F02" w14:textId="487F3F10" w:rsidR="00DC35AB" w:rsidRPr="00DC35AB" w:rsidRDefault="00DC35AB" w:rsidP="00DC35AB">
      <w:pPr>
        <w:spacing w:line="360" w:lineRule="auto"/>
        <w:rPr>
          <w:rFonts w:asciiTheme="minorHAnsi" w:hAnsiTheme="minorHAnsi"/>
        </w:rPr>
      </w:pPr>
      <w:r w:rsidRPr="00DC35AB">
        <w:rPr>
          <w:rFonts w:asciiTheme="minorHAnsi" w:hAnsiTheme="minorHAnsi"/>
        </w:rPr>
        <w:t xml:space="preserve">Savage, P., Sharkey, R., Kua, T., Papanastasopolous, P., McDonald-Burrows, Z., Hassan, S., Probst, F, Sanders, A., and Millington, H., (2015), ‘Clinical characteristics and outcomes for patients with initial emergency presentation of malignancy: A 15-month audit of patient level data’, </w:t>
      </w:r>
      <w:r w:rsidRPr="00DC35AB">
        <w:rPr>
          <w:rFonts w:asciiTheme="minorHAnsi" w:hAnsiTheme="minorHAnsi"/>
          <w:i/>
          <w:iCs/>
        </w:rPr>
        <w:t xml:space="preserve">Cancer Epidemiology, </w:t>
      </w:r>
      <w:r w:rsidRPr="00DC35AB">
        <w:rPr>
          <w:rFonts w:asciiTheme="minorHAnsi" w:hAnsiTheme="minorHAnsi"/>
        </w:rPr>
        <w:t>Volume 39, (1), pp. 86-90, Available at: https://doi.org/10.1016/j.canep.2014.11.001</w:t>
      </w:r>
    </w:p>
    <w:p w14:paraId="57F9EFE3" w14:textId="77777777" w:rsidR="00DC35AB" w:rsidRDefault="00DC35AB" w:rsidP="00DC35AB">
      <w:pPr>
        <w:spacing w:line="360" w:lineRule="auto"/>
        <w:rPr>
          <w:rFonts w:asciiTheme="minorHAnsi" w:hAnsiTheme="minorHAnsi"/>
        </w:rPr>
      </w:pPr>
    </w:p>
    <w:p w14:paraId="0C76F89A" w14:textId="123009F0" w:rsidR="00DC35AB" w:rsidRPr="00DC35AB" w:rsidRDefault="00DC35AB" w:rsidP="00DC35AB">
      <w:pPr>
        <w:spacing w:line="360" w:lineRule="auto"/>
        <w:rPr>
          <w:rFonts w:asciiTheme="minorHAnsi" w:hAnsiTheme="minorHAnsi"/>
        </w:rPr>
      </w:pPr>
      <w:r w:rsidRPr="00DC35AB">
        <w:rPr>
          <w:rFonts w:asciiTheme="minorHAnsi" w:hAnsiTheme="minorHAnsi"/>
        </w:rPr>
        <w:t xml:space="preserve">Singh, G, S., Varghese, L., Menon, N., Dale, O., Patil, V, M., (2021), ‘Cancer related fatigue and its impact on quality of life in patients with central nervous system tumours: A cross-sectional analysis’, </w:t>
      </w:r>
      <w:r w:rsidRPr="00DC35AB">
        <w:rPr>
          <w:rFonts w:asciiTheme="minorHAnsi" w:hAnsiTheme="minorHAnsi"/>
          <w:i/>
          <w:iCs/>
        </w:rPr>
        <w:t xml:space="preserve">Cancer Research, Statistics and Treatment, </w:t>
      </w:r>
      <w:r w:rsidRPr="00DC35AB">
        <w:rPr>
          <w:rFonts w:asciiTheme="minorHAnsi" w:hAnsiTheme="minorHAnsi"/>
        </w:rPr>
        <w:t xml:space="preserve">Volume 4, (1), pp. 44-49, Available at: doi.10.4103/crst.crst_364_20 </w:t>
      </w:r>
    </w:p>
    <w:p w14:paraId="5BAB7905" w14:textId="77777777" w:rsidR="00DC35AB" w:rsidRDefault="00DC35AB" w:rsidP="00DC35AB">
      <w:pPr>
        <w:spacing w:line="360" w:lineRule="auto"/>
        <w:rPr>
          <w:rFonts w:asciiTheme="minorHAnsi" w:hAnsiTheme="minorHAnsi"/>
        </w:rPr>
      </w:pPr>
    </w:p>
    <w:p w14:paraId="4B2BDA40" w14:textId="2A74BE0B" w:rsidR="00DC35AB" w:rsidRPr="00DC35AB" w:rsidRDefault="00DC35AB" w:rsidP="00DC35AB">
      <w:pPr>
        <w:spacing w:line="360" w:lineRule="auto"/>
        <w:rPr>
          <w:rFonts w:asciiTheme="minorHAnsi" w:hAnsiTheme="minorHAnsi"/>
        </w:rPr>
      </w:pPr>
      <w:r w:rsidRPr="00DC35AB">
        <w:rPr>
          <w:rFonts w:asciiTheme="minorHAnsi" w:hAnsiTheme="minorHAnsi"/>
        </w:rPr>
        <w:t xml:space="preserve">Snowden, D, A., Storr, B., Davis, A., Taylor, N, F., and Williams, C, M., (2020), ‘The effect of delegation of therapy to allied health assistants on patient and organisational outcomes: a systemic review and meta-analysis’, </w:t>
      </w:r>
      <w:r w:rsidRPr="00DC35AB">
        <w:rPr>
          <w:rFonts w:asciiTheme="minorHAnsi" w:hAnsiTheme="minorHAnsi"/>
          <w:i/>
          <w:iCs/>
        </w:rPr>
        <w:t xml:space="preserve">BMC Health Services Research, </w:t>
      </w:r>
      <w:r w:rsidRPr="00DC35AB">
        <w:rPr>
          <w:rFonts w:asciiTheme="minorHAnsi" w:hAnsiTheme="minorHAnsi"/>
        </w:rPr>
        <w:t xml:space="preserve">Volume 20, Available at: https://doi.org/10.1186/s12913-020-05312-4 </w:t>
      </w:r>
    </w:p>
    <w:p w14:paraId="50F0E498" w14:textId="77777777" w:rsidR="00DC35AB" w:rsidRDefault="00DC35AB" w:rsidP="00DC35AB">
      <w:pPr>
        <w:spacing w:line="360" w:lineRule="auto"/>
        <w:rPr>
          <w:rFonts w:asciiTheme="minorHAnsi" w:hAnsiTheme="minorHAnsi" w:cs="Al Tarikh"/>
        </w:rPr>
      </w:pPr>
    </w:p>
    <w:p w14:paraId="6C60ACD4" w14:textId="5C4EAA87" w:rsidR="00DC35AB" w:rsidRPr="00DC35AB" w:rsidRDefault="00DC35AB" w:rsidP="00DC35AB">
      <w:pPr>
        <w:spacing w:line="360" w:lineRule="auto"/>
        <w:rPr>
          <w:rFonts w:asciiTheme="minorHAnsi" w:hAnsiTheme="minorHAnsi" w:cs="Al Tarikh"/>
        </w:rPr>
      </w:pPr>
      <w:r w:rsidRPr="00DC35AB">
        <w:rPr>
          <w:rFonts w:asciiTheme="minorHAnsi" w:hAnsiTheme="minorHAnsi" w:cs="Al Tarikh"/>
        </w:rPr>
        <w:t xml:space="preserve">Social Care Wales, (2022), </w:t>
      </w:r>
      <w:r w:rsidRPr="00DC35AB">
        <w:rPr>
          <w:rFonts w:asciiTheme="minorHAnsi" w:hAnsiTheme="minorHAnsi" w:cs="Al Tarikh"/>
          <w:i/>
          <w:iCs/>
        </w:rPr>
        <w:t xml:space="preserve">What matters conversations and assessment, </w:t>
      </w:r>
      <w:r w:rsidRPr="00DC35AB">
        <w:rPr>
          <w:rFonts w:asciiTheme="minorHAnsi" w:hAnsiTheme="minorHAnsi" w:cs="Al Tarikh"/>
        </w:rPr>
        <w:t>Available at: https://socialcare.wales/pdfs/scw-what-matters-conversations-and-assessment-41216.pdf [Accessed: 9th May 2025]</w:t>
      </w:r>
    </w:p>
    <w:p w14:paraId="4285D050" w14:textId="77777777" w:rsidR="00DC35AB" w:rsidRDefault="00DC35AB" w:rsidP="00DC35AB">
      <w:pPr>
        <w:spacing w:line="360" w:lineRule="auto"/>
        <w:rPr>
          <w:rFonts w:asciiTheme="minorHAnsi" w:hAnsiTheme="minorHAnsi"/>
        </w:rPr>
      </w:pPr>
    </w:p>
    <w:p w14:paraId="53D32A37" w14:textId="447E761B" w:rsidR="00DC35AB" w:rsidRPr="00DC35AB" w:rsidRDefault="00DC35AB" w:rsidP="00DC35AB">
      <w:pPr>
        <w:spacing w:line="360" w:lineRule="auto"/>
        <w:rPr>
          <w:rFonts w:asciiTheme="minorHAnsi" w:hAnsiTheme="minorHAnsi"/>
        </w:rPr>
      </w:pPr>
      <w:r w:rsidRPr="00DC35AB">
        <w:rPr>
          <w:rFonts w:asciiTheme="minorHAnsi" w:hAnsiTheme="minorHAnsi"/>
        </w:rPr>
        <w:t xml:space="preserve">Stone, C, A., Lawlor, P, G., Savva, K., Bennett, K., and Kenny, R, A., (2012), ‘Prospective study of falls and risk factors for falls in adults with advanced cancer’, </w:t>
      </w:r>
      <w:r w:rsidRPr="00DC35AB">
        <w:rPr>
          <w:rFonts w:asciiTheme="minorHAnsi" w:hAnsiTheme="minorHAnsi"/>
          <w:i/>
          <w:iCs/>
        </w:rPr>
        <w:t xml:space="preserve">Journal of Clinical Oncology, </w:t>
      </w:r>
      <w:r w:rsidRPr="00DC35AB">
        <w:rPr>
          <w:rFonts w:asciiTheme="minorHAnsi" w:hAnsiTheme="minorHAnsi"/>
        </w:rPr>
        <w:t xml:space="preserve">Volume 30, pp. 2128-2133, Available at: doi:10.1200/JCO.2011.20.7791 </w:t>
      </w:r>
    </w:p>
    <w:p w14:paraId="55A29FBB" w14:textId="77777777" w:rsidR="00DC35AB" w:rsidRDefault="00DC35AB" w:rsidP="00DC35AB">
      <w:pPr>
        <w:spacing w:line="360" w:lineRule="auto"/>
        <w:rPr>
          <w:rFonts w:asciiTheme="minorHAnsi" w:hAnsiTheme="minorHAnsi"/>
        </w:rPr>
      </w:pPr>
    </w:p>
    <w:p w14:paraId="67075AB7" w14:textId="2295531F" w:rsidR="00DC35AB" w:rsidRPr="00DC35AB" w:rsidRDefault="00DC35AB" w:rsidP="00DC35AB">
      <w:pPr>
        <w:spacing w:line="360" w:lineRule="auto"/>
        <w:rPr>
          <w:rFonts w:asciiTheme="minorHAnsi" w:hAnsiTheme="minorHAnsi"/>
        </w:rPr>
      </w:pPr>
      <w:r w:rsidRPr="00DC35AB">
        <w:rPr>
          <w:rFonts w:asciiTheme="minorHAnsi" w:hAnsiTheme="minorHAnsi"/>
        </w:rPr>
        <w:t xml:space="preserve">Swann, R., Lyratzopolous, G., Rubin, G., Elliss-Brookes, L., and McPhail, S., (2024), ‘Predictors and consequences of different pathways to emergency diagnosis of cancer in England: Evidence from linked national audit and cancer registration data’, </w:t>
      </w:r>
      <w:r w:rsidRPr="00DC35AB">
        <w:rPr>
          <w:rFonts w:asciiTheme="minorHAnsi" w:hAnsiTheme="minorHAnsi"/>
          <w:i/>
          <w:iCs/>
        </w:rPr>
        <w:t xml:space="preserve">Cancer Epidemiology’, </w:t>
      </w:r>
      <w:r w:rsidRPr="00DC35AB">
        <w:rPr>
          <w:rFonts w:asciiTheme="minorHAnsi" w:hAnsiTheme="minorHAnsi"/>
        </w:rPr>
        <w:t xml:space="preserve">Volume 92, Available at: https://doi.org/10.1016/j.canep.2024.102607 </w:t>
      </w:r>
    </w:p>
    <w:p w14:paraId="792F0094" w14:textId="77777777" w:rsidR="00DC35AB" w:rsidRDefault="00DC35AB" w:rsidP="00DC35AB">
      <w:pPr>
        <w:spacing w:line="360" w:lineRule="auto"/>
        <w:rPr>
          <w:rFonts w:asciiTheme="minorHAnsi" w:hAnsiTheme="minorHAnsi"/>
        </w:rPr>
      </w:pPr>
    </w:p>
    <w:p w14:paraId="20301D69" w14:textId="5AD6B01C" w:rsidR="00DC35AB" w:rsidRPr="00DC35AB" w:rsidRDefault="00DC35AB" w:rsidP="00DC35AB">
      <w:pPr>
        <w:spacing w:line="360" w:lineRule="auto"/>
        <w:rPr>
          <w:rFonts w:asciiTheme="minorHAnsi" w:hAnsiTheme="minorHAnsi"/>
        </w:rPr>
      </w:pPr>
      <w:r w:rsidRPr="00DC35AB">
        <w:rPr>
          <w:rFonts w:asciiTheme="minorHAnsi" w:hAnsiTheme="minorHAnsi"/>
        </w:rPr>
        <w:t xml:space="preserve">Tariq, R., Hussain, N., and Baqai, M. W. S., (2023), ‘Factors affecting cognitive functions of patients with high-grade gliomas: a systemic review’, </w:t>
      </w:r>
      <w:r w:rsidRPr="00DC35AB">
        <w:rPr>
          <w:rFonts w:asciiTheme="minorHAnsi" w:hAnsiTheme="minorHAnsi"/>
          <w:i/>
          <w:iCs/>
        </w:rPr>
        <w:t xml:space="preserve">Neurological Sciences, </w:t>
      </w:r>
      <w:r w:rsidRPr="00DC35AB">
        <w:rPr>
          <w:rFonts w:asciiTheme="minorHAnsi" w:hAnsiTheme="minorHAnsi"/>
        </w:rPr>
        <w:t xml:space="preserve">Volume 44, (6), pp. 1917-1929, Available at: https://doi.org/10.1007/s10072-023-06673-4 </w:t>
      </w:r>
    </w:p>
    <w:p w14:paraId="07CADDA3" w14:textId="77777777" w:rsidR="00DC35AB" w:rsidRDefault="00DC35AB" w:rsidP="00DC35AB">
      <w:pPr>
        <w:spacing w:line="360" w:lineRule="auto"/>
        <w:rPr>
          <w:rFonts w:asciiTheme="minorHAnsi" w:hAnsiTheme="minorHAnsi"/>
        </w:rPr>
      </w:pPr>
    </w:p>
    <w:p w14:paraId="70E51371" w14:textId="1B3628E0" w:rsidR="00DC35AB" w:rsidRPr="00DC35AB" w:rsidRDefault="00DC35AB" w:rsidP="00DC35AB">
      <w:pPr>
        <w:spacing w:line="360" w:lineRule="auto"/>
        <w:rPr>
          <w:rFonts w:asciiTheme="minorHAnsi" w:hAnsiTheme="minorHAnsi"/>
        </w:rPr>
      </w:pPr>
      <w:r w:rsidRPr="00DC35AB">
        <w:rPr>
          <w:rFonts w:asciiTheme="minorHAnsi" w:hAnsiTheme="minorHAnsi"/>
        </w:rPr>
        <w:t xml:space="preserve">Tomlinson, J., (2015), ‘Using clinical supervision to improve the quality and safety of patient care: a response to Berwick and Francis’, </w:t>
      </w:r>
      <w:r w:rsidRPr="00DC35AB">
        <w:rPr>
          <w:rFonts w:asciiTheme="minorHAnsi" w:hAnsiTheme="minorHAnsi"/>
          <w:i/>
          <w:iCs/>
        </w:rPr>
        <w:t xml:space="preserve">BMC Medical Education, </w:t>
      </w:r>
      <w:r w:rsidRPr="00DC35AB">
        <w:rPr>
          <w:rFonts w:asciiTheme="minorHAnsi" w:hAnsiTheme="minorHAnsi"/>
        </w:rPr>
        <w:t>Volume 15, Available at: https://doi.org/10.1186/s12909-015-0324-3</w:t>
      </w:r>
    </w:p>
    <w:p w14:paraId="438EFD8C" w14:textId="77777777" w:rsidR="00DC35AB" w:rsidRDefault="00DC35AB" w:rsidP="00DC35AB">
      <w:pPr>
        <w:spacing w:line="360" w:lineRule="auto"/>
        <w:rPr>
          <w:rFonts w:asciiTheme="minorHAnsi" w:hAnsiTheme="minorHAnsi"/>
        </w:rPr>
      </w:pPr>
    </w:p>
    <w:p w14:paraId="1F27CF23" w14:textId="0CA57BE7" w:rsidR="00DC35AB" w:rsidRPr="00DC35AB" w:rsidRDefault="00DC35AB" w:rsidP="00DC35AB">
      <w:pPr>
        <w:spacing w:line="360" w:lineRule="auto"/>
        <w:rPr>
          <w:rFonts w:asciiTheme="minorHAnsi" w:hAnsiTheme="minorHAnsi"/>
        </w:rPr>
      </w:pPr>
      <w:r w:rsidRPr="00DC35AB">
        <w:rPr>
          <w:rFonts w:asciiTheme="minorHAnsi" w:hAnsiTheme="minorHAnsi"/>
        </w:rPr>
        <w:t xml:space="preserve">Tu, B., Huang, C., Sitar, S., and Wang, Y., (2023), ‘Supervision effects on negative effect and psychological distress: Evidence from social workers in China’, </w:t>
      </w:r>
      <w:r w:rsidRPr="00DC35AB">
        <w:rPr>
          <w:rFonts w:asciiTheme="minorHAnsi" w:hAnsiTheme="minorHAnsi"/>
          <w:i/>
          <w:iCs/>
        </w:rPr>
        <w:t xml:space="preserve">International Journal of Environmental Research and Public Health, </w:t>
      </w:r>
      <w:r w:rsidRPr="00DC35AB">
        <w:rPr>
          <w:rFonts w:asciiTheme="minorHAnsi" w:hAnsiTheme="minorHAnsi"/>
        </w:rPr>
        <w:t>Volume 20, (3), Available at: https://doi.org/10.3390/ijerph20031764</w:t>
      </w:r>
    </w:p>
    <w:p w14:paraId="5A4DB554" w14:textId="77777777" w:rsidR="00DC35AB" w:rsidRDefault="00DC35AB" w:rsidP="00DC35AB">
      <w:pPr>
        <w:spacing w:line="360" w:lineRule="auto"/>
        <w:rPr>
          <w:rFonts w:asciiTheme="minorHAnsi" w:hAnsiTheme="minorHAnsi"/>
        </w:rPr>
      </w:pPr>
    </w:p>
    <w:p w14:paraId="55423992" w14:textId="5FA1B947" w:rsidR="00DC35AB" w:rsidRPr="00DC35AB" w:rsidRDefault="00DC35AB" w:rsidP="00DC35AB">
      <w:pPr>
        <w:spacing w:line="360" w:lineRule="auto"/>
        <w:rPr>
          <w:rFonts w:asciiTheme="minorHAnsi" w:hAnsiTheme="minorHAnsi"/>
        </w:rPr>
      </w:pPr>
      <w:r w:rsidRPr="00DC35AB">
        <w:rPr>
          <w:rFonts w:asciiTheme="minorHAnsi" w:hAnsiTheme="minorHAnsi"/>
        </w:rPr>
        <w:t xml:space="preserve">Viggars, A., Charlton, T., Olsson-Brown, A., Hughes, D., Hindocha, S., and Pickwell-Smith, B., (2022), ‘Acute Oncology: Increasing Engagement and Visibility in Acute Care Settings – The Trainee Perspective’, </w:t>
      </w:r>
      <w:r w:rsidRPr="00DC35AB">
        <w:rPr>
          <w:rFonts w:asciiTheme="minorHAnsi" w:hAnsiTheme="minorHAnsi"/>
          <w:i/>
          <w:iCs/>
        </w:rPr>
        <w:t xml:space="preserve">Clinical Oncology, </w:t>
      </w:r>
      <w:r w:rsidRPr="00DC35AB">
        <w:rPr>
          <w:rFonts w:asciiTheme="minorHAnsi" w:hAnsiTheme="minorHAnsi"/>
        </w:rPr>
        <w:t xml:space="preserve">Volume 34, (8), pp. 545-548, Available at: doi: 10.1016/j.clon.2022.04.008 </w:t>
      </w:r>
    </w:p>
    <w:p w14:paraId="0C7C4C23" w14:textId="77777777" w:rsidR="00DC35AB" w:rsidRDefault="00DC35AB" w:rsidP="00DC35AB">
      <w:pPr>
        <w:spacing w:line="360" w:lineRule="auto"/>
        <w:rPr>
          <w:rFonts w:asciiTheme="minorHAnsi" w:hAnsiTheme="minorHAnsi"/>
        </w:rPr>
      </w:pPr>
    </w:p>
    <w:p w14:paraId="68A7774B" w14:textId="72323DDD" w:rsidR="00DC35AB" w:rsidRPr="00DC35AB" w:rsidRDefault="00DC35AB" w:rsidP="00DC35AB">
      <w:pPr>
        <w:spacing w:line="360" w:lineRule="auto"/>
        <w:rPr>
          <w:rFonts w:asciiTheme="minorHAnsi" w:hAnsiTheme="minorHAnsi"/>
        </w:rPr>
      </w:pPr>
      <w:r w:rsidRPr="00DC35AB">
        <w:rPr>
          <w:rFonts w:asciiTheme="minorHAnsi" w:hAnsiTheme="minorHAnsi"/>
        </w:rPr>
        <w:t xml:space="preserve">Vostry, M., Fleischmann, O., Pešatová, I., Lanková, B., and Bitalová, K., (2024), ‘Supervision in the helping professions: the key to professional growth and quality of care – systematic review from a management perspective’, </w:t>
      </w:r>
      <w:r w:rsidRPr="00DC35AB">
        <w:rPr>
          <w:rFonts w:asciiTheme="minorHAnsi" w:hAnsiTheme="minorHAnsi"/>
          <w:i/>
          <w:iCs/>
        </w:rPr>
        <w:t xml:space="preserve">Education Support Journal, </w:t>
      </w:r>
      <w:r w:rsidRPr="00DC35AB">
        <w:rPr>
          <w:rFonts w:asciiTheme="minorHAnsi" w:hAnsiTheme="minorHAnsi"/>
        </w:rPr>
        <w:t>Volume 8, (1), Available at: doi: 10.21062/edp.2024.002</w:t>
      </w:r>
    </w:p>
    <w:p w14:paraId="60837C1C" w14:textId="77777777" w:rsidR="00DC35AB" w:rsidRDefault="00DC35AB" w:rsidP="00DC35AB">
      <w:pPr>
        <w:spacing w:line="360" w:lineRule="auto"/>
        <w:rPr>
          <w:rFonts w:asciiTheme="minorHAnsi" w:hAnsiTheme="minorHAnsi"/>
        </w:rPr>
      </w:pPr>
    </w:p>
    <w:p w14:paraId="7B986F9B" w14:textId="17819024" w:rsidR="00DC35AB" w:rsidRPr="00DC35AB" w:rsidRDefault="00DC35AB" w:rsidP="00DC35AB">
      <w:pPr>
        <w:spacing w:line="360" w:lineRule="auto"/>
        <w:rPr>
          <w:rFonts w:asciiTheme="minorHAnsi" w:hAnsiTheme="minorHAnsi"/>
        </w:rPr>
      </w:pPr>
      <w:r w:rsidRPr="00DC35AB">
        <w:rPr>
          <w:rFonts w:asciiTheme="minorHAnsi" w:hAnsiTheme="minorHAnsi"/>
        </w:rPr>
        <w:t xml:space="preserve">Wales Cancer Network, (2016), </w:t>
      </w:r>
      <w:r w:rsidRPr="00DC35AB">
        <w:rPr>
          <w:rFonts w:asciiTheme="minorHAnsi" w:hAnsiTheme="minorHAnsi"/>
          <w:i/>
          <w:iCs/>
        </w:rPr>
        <w:t xml:space="preserve">Cancer National Specialist Advisory Group: National Standards for Acute Oncology Services, </w:t>
      </w:r>
      <w:r w:rsidRPr="00DC35AB">
        <w:rPr>
          <w:rFonts w:asciiTheme="minorHAnsi" w:hAnsiTheme="minorHAnsi"/>
        </w:rPr>
        <w:t>Available at: https://www.tenovuscancercare.org.uk/media/5gkpl1yp/national-standards-for-acute-oncology-services-2016.pdf [Accessed 27th April 2025]</w:t>
      </w:r>
    </w:p>
    <w:p w14:paraId="56EE6FD4" w14:textId="77777777" w:rsidR="00DC35AB" w:rsidRDefault="00DC35AB" w:rsidP="00DC35AB">
      <w:pPr>
        <w:spacing w:line="360" w:lineRule="auto"/>
        <w:rPr>
          <w:rFonts w:asciiTheme="minorHAnsi" w:hAnsiTheme="minorHAnsi"/>
        </w:rPr>
      </w:pPr>
    </w:p>
    <w:p w14:paraId="21FE74B6" w14:textId="2F3D1F81" w:rsidR="00DC35AB" w:rsidRPr="00DC35AB" w:rsidRDefault="00DC35AB" w:rsidP="00DC35AB">
      <w:pPr>
        <w:spacing w:line="360" w:lineRule="auto"/>
        <w:rPr>
          <w:rFonts w:asciiTheme="minorHAnsi" w:hAnsiTheme="minorHAnsi"/>
        </w:rPr>
      </w:pPr>
      <w:r w:rsidRPr="00DC35AB">
        <w:rPr>
          <w:rFonts w:asciiTheme="minorHAnsi" w:hAnsiTheme="minorHAnsi"/>
        </w:rPr>
        <w:t xml:space="preserve">Wales Cancer Network, (2023), </w:t>
      </w:r>
      <w:r w:rsidRPr="00DC35AB">
        <w:rPr>
          <w:rFonts w:asciiTheme="minorHAnsi" w:hAnsiTheme="minorHAnsi"/>
          <w:i/>
          <w:iCs/>
        </w:rPr>
        <w:t xml:space="preserve">Rapid Diagnostic Clinic Programme Evaluation: Final Report, </w:t>
      </w:r>
      <w:r w:rsidRPr="00DC35AB">
        <w:rPr>
          <w:rFonts w:asciiTheme="minorHAnsi" w:hAnsiTheme="minorHAnsi"/>
        </w:rPr>
        <w:t>Available at: https://executive.nhs.wales/functions/networks-and-planning/cancer/workstreams/rapid-diagnosis-clinics-programme/rdc-documents/evaluation-report/ [Accessed 15</w:t>
      </w:r>
      <w:r w:rsidRPr="00DC35AB">
        <w:rPr>
          <w:rFonts w:asciiTheme="minorHAnsi" w:hAnsiTheme="minorHAnsi"/>
          <w:vertAlign w:val="superscript"/>
        </w:rPr>
        <w:t>th</w:t>
      </w:r>
      <w:r w:rsidRPr="00DC35AB">
        <w:rPr>
          <w:rFonts w:asciiTheme="minorHAnsi" w:hAnsiTheme="minorHAnsi"/>
        </w:rPr>
        <w:t xml:space="preserve"> April 2025]</w:t>
      </w:r>
    </w:p>
    <w:p w14:paraId="35695FF0" w14:textId="77777777" w:rsidR="00DC35AB" w:rsidRDefault="00DC35AB" w:rsidP="00DC35AB">
      <w:pPr>
        <w:spacing w:line="360" w:lineRule="auto"/>
        <w:rPr>
          <w:rFonts w:asciiTheme="minorHAnsi" w:hAnsiTheme="minorHAnsi"/>
        </w:rPr>
      </w:pPr>
    </w:p>
    <w:p w14:paraId="39D03712" w14:textId="1444FB4C" w:rsidR="00DC35AB" w:rsidRPr="00DC35AB" w:rsidRDefault="00DC35AB" w:rsidP="00DC35AB">
      <w:pPr>
        <w:spacing w:line="360" w:lineRule="auto"/>
        <w:rPr>
          <w:rFonts w:asciiTheme="minorHAnsi" w:hAnsiTheme="minorHAnsi"/>
        </w:rPr>
      </w:pPr>
      <w:r w:rsidRPr="00DC35AB">
        <w:rPr>
          <w:rFonts w:asciiTheme="minorHAnsi" w:hAnsiTheme="minorHAnsi"/>
        </w:rPr>
        <w:t xml:space="preserve">Walter, m, F., Penfold, C., Joannides, A., Saji, S., Johnson, M., Watts, C., Brodbelt, A., Jenkinson, M, D., Price, J, S., Hamilton, W., and Scott, E, S., (2019), ‘Missed opportunities for diagnosing brain </w:t>
      </w:r>
      <w:r w:rsidRPr="00DC35AB">
        <w:rPr>
          <w:rFonts w:asciiTheme="minorHAnsi" w:hAnsiTheme="minorHAnsi"/>
        </w:rPr>
        <w:lastRenderedPageBreak/>
        <w:t xml:space="preserve">tumours in primary care: a qualitative study of patient experiences’, </w:t>
      </w:r>
      <w:r w:rsidRPr="00DC35AB">
        <w:rPr>
          <w:rFonts w:asciiTheme="minorHAnsi" w:hAnsiTheme="minorHAnsi"/>
          <w:i/>
          <w:iCs/>
        </w:rPr>
        <w:t xml:space="preserve">British Journal of General Practice, </w:t>
      </w:r>
      <w:r w:rsidRPr="00DC35AB">
        <w:rPr>
          <w:rFonts w:asciiTheme="minorHAnsi" w:hAnsiTheme="minorHAnsi"/>
        </w:rPr>
        <w:t>Volume 69, (681), pp. 224-235, Available at: doi:10.3399/bjgp19X701861</w:t>
      </w:r>
    </w:p>
    <w:p w14:paraId="5389866D" w14:textId="77777777" w:rsidR="00DC35AB" w:rsidRDefault="00DC35AB" w:rsidP="00DC35AB">
      <w:pPr>
        <w:spacing w:line="360" w:lineRule="auto"/>
        <w:rPr>
          <w:rFonts w:asciiTheme="minorHAnsi" w:hAnsiTheme="minorHAnsi"/>
        </w:rPr>
      </w:pPr>
    </w:p>
    <w:p w14:paraId="03DD75EC" w14:textId="26923F0C" w:rsidR="00DC35AB" w:rsidRPr="00DC35AB" w:rsidRDefault="00DC35AB" w:rsidP="00DC35AB">
      <w:pPr>
        <w:spacing w:line="360" w:lineRule="auto"/>
        <w:rPr>
          <w:rFonts w:asciiTheme="minorHAnsi" w:hAnsiTheme="minorHAnsi"/>
        </w:rPr>
      </w:pPr>
      <w:r w:rsidRPr="00DC35AB">
        <w:rPr>
          <w:rFonts w:asciiTheme="minorHAnsi" w:hAnsiTheme="minorHAnsi"/>
        </w:rPr>
        <w:t xml:space="preserve">Welsh Assembly Government, (2025), </w:t>
      </w:r>
      <w:r w:rsidRPr="00DC35AB">
        <w:rPr>
          <w:rFonts w:asciiTheme="minorHAnsi" w:hAnsiTheme="minorHAnsi"/>
          <w:i/>
          <w:iCs/>
        </w:rPr>
        <w:t xml:space="preserve">Code of Conduct for Healthcare Support Workers for Wales, </w:t>
      </w:r>
      <w:r w:rsidRPr="00DC35AB">
        <w:rPr>
          <w:rFonts w:asciiTheme="minorHAnsi" w:hAnsiTheme="minorHAnsi"/>
        </w:rPr>
        <w:t>Available at: https://heiw.nhs.wales/files/code-of-conduct-for-healthcare-support-workers-in-wales-pdf/ [Accessed 27</w:t>
      </w:r>
      <w:r w:rsidRPr="00DC35AB">
        <w:rPr>
          <w:rFonts w:asciiTheme="minorHAnsi" w:hAnsiTheme="minorHAnsi"/>
          <w:vertAlign w:val="superscript"/>
        </w:rPr>
        <w:t>th</w:t>
      </w:r>
      <w:r w:rsidRPr="00DC35AB">
        <w:rPr>
          <w:rFonts w:asciiTheme="minorHAnsi" w:hAnsiTheme="minorHAnsi"/>
        </w:rPr>
        <w:t xml:space="preserve"> April 2025]</w:t>
      </w:r>
    </w:p>
    <w:p w14:paraId="62FB9EF6" w14:textId="77777777" w:rsidR="00DC35AB" w:rsidRDefault="00DC35AB" w:rsidP="00DC35AB">
      <w:pPr>
        <w:spacing w:line="360" w:lineRule="auto"/>
        <w:rPr>
          <w:rFonts w:asciiTheme="minorHAnsi" w:hAnsiTheme="minorHAnsi"/>
        </w:rPr>
      </w:pPr>
    </w:p>
    <w:p w14:paraId="6201A40B" w14:textId="5DF6DFFC" w:rsidR="00DC35AB" w:rsidRPr="00DC35AB" w:rsidRDefault="00DC35AB" w:rsidP="00DC35AB">
      <w:pPr>
        <w:spacing w:line="360" w:lineRule="auto"/>
        <w:rPr>
          <w:rFonts w:asciiTheme="minorHAnsi" w:hAnsiTheme="minorHAnsi"/>
        </w:rPr>
      </w:pPr>
      <w:r w:rsidRPr="00DC35AB">
        <w:rPr>
          <w:rFonts w:asciiTheme="minorHAnsi" w:hAnsiTheme="minorHAnsi"/>
        </w:rPr>
        <w:t xml:space="preserve">Welsh Government, (2020), </w:t>
      </w:r>
      <w:r w:rsidRPr="00DC35AB">
        <w:rPr>
          <w:rFonts w:asciiTheme="minorHAnsi" w:hAnsiTheme="minorHAnsi"/>
          <w:i/>
          <w:iCs/>
        </w:rPr>
        <w:t xml:space="preserve">Allied Health Professions Framework for Wales: Looking forward together, </w:t>
      </w:r>
      <w:r w:rsidRPr="00DC35AB">
        <w:rPr>
          <w:rFonts w:asciiTheme="minorHAnsi" w:hAnsiTheme="minorHAnsi"/>
        </w:rPr>
        <w:t>Available at: https://www.gov.wales/sites/default/files/publications/2020-02/allied-health-professions-framwework-for-wales.pdf [Accessed 27th April 2025]</w:t>
      </w:r>
    </w:p>
    <w:p w14:paraId="3C71B5AF" w14:textId="77777777" w:rsidR="00DC35AB" w:rsidRDefault="00DC35AB" w:rsidP="00DC35AB">
      <w:pPr>
        <w:spacing w:line="360" w:lineRule="auto"/>
        <w:rPr>
          <w:rFonts w:asciiTheme="minorHAnsi" w:hAnsiTheme="minorHAnsi"/>
        </w:rPr>
      </w:pPr>
    </w:p>
    <w:p w14:paraId="73FF1482" w14:textId="6A0E2A17" w:rsidR="00DC35AB" w:rsidRPr="00DC35AB" w:rsidRDefault="00DC35AB" w:rsidP="00DC35AB">
      <w:pPr>
        <w:spacing w:line="360" w:lineRule="auto"/>
        <w:rPr>
          <w:rFonts w:asciiTheme="minorHAnsi" w:hAnsiTheme="minorHAnsi"/>
        </w:rPr>
      </w:pPr>
      <w:r w:rsidRPr="00DC35AB">
        <w:rPr>
          <w:rFonts w:asciiTheme="minorHAnsi" w:hAnsiTheme="minorHAnsi"/>
        </w:rPr>
        <w:t xml:space="preserve">Young, A., Marshall, E., Krzyzanowksa, M., Robinson, B., Brown, B., Collinson, F., Seligmann, J., Abbas, A., Rees, A., Swinson, D., Neville-Webb, H., and Selby, P., (2016), ‘Responding to Acute Care Needs of Patients with Cancer: Recent Trends Across Continents’, </w:t>
      </w:r>
      <w:r w:rsidRPr="00DC35AB">
        <w:rPr>
          <w:rFonts w:asciiTheme="minorHAnsi" w:hAnsiTheme="minorHAnsi"/>
          <w:i/>
          <w:iCs/>
        </w:rPr>
        <w:t xml:space="preserve">The Oncologist, </w:t>
      </w:r>
      <w:r w:rsidRPr="00DC35AB">
        <w:rPr>
          <w:rFonts w:asciiTheme="minorHAnsi" w:hAnsiTheme="minorHAnsi"/>
        </w:rPr>
        <w:t xml:space="preserve">Volume 21, (3), pp. 301-307, Available at: https://doi.org/10/1634/theoncologist.2014-0341 </w:t>
      </w:r>
    </w:p>
    <w:p w14:paraId="275FDC44" w14:textId="77777777" w:rsidR="00DC35AB" w:rsidRDefault="00DC35AB" w:rsidP="00626366">
      <w:pPr>
        <w:spacing w:line="360" w:lineRule="auto"/>
        <w:rPr>
          <w:b/>
          <w:bCs/>
        </w:rPr>
      </w:pPr>
    </w:p>
    <w:p w14:paraId="53677D52" w14:textId="77777777" w:rsidR="002C1E57" w:rsidRDefault="002C1E57" w:rsidP="00626366">
      <w:pPr>
        <w:spacing w:line="360" w:lineRule="auto"/>
        <w:rPr>
          <w:b/>
          <w:bCs/>
        </w:rPr>
      </w:pPr>
    </w:p>
    <w:p w14:paraId="5644BFAD" w14:textId="77777777" w:rsidR="002C1E57" w:rsidRDefault="002C1E57" w:rsidP="00626366">
      <w:pPr>
        <w:spacing w:line="360" w:lineRule="auto"/>
        <w:rPr>
          <w:b/>
          <w:bCs/>
        </w:rPr>
      </w:pPr>
    </w:p>
    <w:p w14:paraId="375ED975" w14:textId="77777777" w:rsidR="002C1E57" w:rsidRDefault="002C1E57" w:rsidP="00626366">
      <w:pPr>
        <w:spacing w:line="360" w:lineRule="auto"/>
        <w:rPr>
          <w:b/>
          <w:bCs/>
        </w:rPr>
      </w:pPr>
    </w:p>
    <w:p w14:paraId="5AA2A793" w14:textId="77777777" w:rsidR="002C1E57" w:rsidRDefault="002C1E57" w:rsidP="00626366">
      <w:pPr>
        <w:spacing w:line="360" w:lineRule="auto"/>
        <w:rPr>
          <w:b/>
          <w:bCs/>
        </w:rPr>
      </w:pPr>
    </w:p>
    <w:p w14:paraId="19690CFE" w14:textId="77777777" w:rsidR="00DC35AB" w:rsidRDefault="00DC35AB" w:rsidP="00626366">
      <w:pPr>
        <w:spacing w:line="360" w:lineRule="auto"/>
        <w:rPr>
          <w:b/>
          <w:bCs/>
        </w:rPr>
      </w:pPr>
    </w:p>
    <w:p w14:paraId="7A673FFB" w14:textId="77777777" w:rsidR="00DC35AB" w:rsidRDefault="00DC35AB" w:rsidP="00626366">
      <w:pPr>
        <w:spacing w:line="360" w:lineRule="auto"/>
        <w:rPr>
          <w:b/>
          <w:bCs/>
        </w:rPr>
      </w:pPr>
    </w:p>
    <w:p w14:paraId="53214193" w14:textId="77777777" w:rsidR="00DC35AB" w:rsidRDefault="00DC35AB" w:rsidP="00626366">
      <w:pPr>
        <w:spacing w:line="360" w:lineRule="auto"/>
        <w:rPr>
          <w:b/>
          <w:bCs/>
        </w:rPr>
      </w:pPr>
    </w:p>
    <w:p w14:paraId="7903D6DE" w14:textId="77777777" w:rsidR="00DC35AB" w:rsidRDefault="00DC35AB" w:rsidP="00626366">
      <w:pPr>
        <w:spacing w:line="360" w:lineRule="auto"/>
        <w:rPr>
          <w:b/>
          <w:bCs/>
        </w:rPr>
      </w:pPr>
    </w:p>
    <w:p w14:paraId="5C1816BD" w14:textId="77777777" w:rsidR="00DC35AB" w:rsidRDefault="00DC35AB" w:rsidP="00626366">
      <w:pPr>
        <w:spacing w:line="360" w:lineRule="auto"/>
        <w:rPr>
          <w:b/>
          <w:bCs/>
        </w:rPr>
      </w:pPr>
    </w:p>
    <w:p w14:paraId="1614EA10" w14:textId="77777777" w:rsidR="00DC35AB" w:rsidRDefault="00DC35AB" w:rsidP="00626366">
      <w:pPr>
        <w:spacing w:line="360" w:lineRule="auto"/>
        <w:rPr>
          <w:b/>
          <w:bCs/>
        </w:rPr>
      </w:pPr>
    </w:p>
    <w:p w14:paraId="0D93F3BC" w14:textId="77777777" w:rsidR="00DC35AB" w:rsidRDefault="00DC35AB" w:rsidP="00626366">
      <w:pPr>
        <w:spacing w:line="360" w:lineRule="auto"/>
        <w:rPr>
          <w:b/>
          <w:bCs/>
        </w:rPr>
      </w:pPr>
    </w:p>
    <w:p w14:paraId="3C045C36" w14:textId="77777777" w:rsidR="00DC35AB" w:rsidRDefault="00DC35AB" w:rsidP="00626366">
      <w:pPr>
        <w:spacing w:line="360" w:lineRule="auto"/>
        <w:rPr>
          <w:b/>
          <w:bCs/>
        </w:rPr>
      </w:pPr>
    </w:p>
    <w:p w14:paraId="0A08D579" w14:textId="77777777" w:rsidR="00DC35AB" w:rsidRDefault="00DC35AB" w:rsidP="00626366">
      <w:pPr>
        <w:spacing w:line="360" w:lineRule="auto"/>
        <w:rPr>
          <w:b/>
          <w:bCs/>
        </w:rPr>
      </w:pPr>
    </w:p>
    <w:p w14:paraId="57D4AC61" w14:textId="77777777" w:rsidR="00DC35AB" w:rsidRDefault="00DC35AB" w:rsidP="00626366">
      <w:pPr>
        <w:spacing w:line="360" w:lineRule="auto"/>
        <w:rPr>
          <w:b/>
          <w:bCs/>
        </w:rPr>
      </w:pPr>
    </w:p>
    <w:p w14:paraId="3E2DC90B" w14:textId="77777777" w:rsidR="00DC35AB" w:rsidRDefault="00DC35AB" w:rsidP="00DC35AB"/>
    <w:p w14:paraId="7D868CD9" w14:textId="77777777" w:rsidR="00DC35AB" w:rsidRPr="00DC35AB" w:rsidRDefault="00DC35AB" w:rsidP="00DC35AB">
      <w:pPr>
        <w:rPr>
          <w:b/>
          <w:bCs/>
        </w:rPr>
      </w:pPr>
    </w:p>
    <w:p w14:paraId="6B06E666" w14:textId="77777777" w:rsidR="00462B4F" w:rsidRDefault="00462B4F" w:rsidP="00DC35AB">
      <w:pPr>
        <w:rPr>
          <w:rFonts w:asciiTheme="minorHAnsi" w:hAnsiTheme="minorHAnsi"/>
          <w:b/>
          <w:bCs/>
        </w:rPr>
      </w:pPr>
    </w:p>
    <w:p w14:paraId="5DEDD8DE" w14:textId="77777777" w:rsidR="00462B4F" w:rsidRDefault="00462B4F" w:rsidP="00DC35AB">
      <w:pPr>
        <w:rPr>
          <w:rFonts w:asciiTheme="minorHAnsi" w:hAnsiTheme="minorHAnsi"/>
          <w:b/>
          <w:bCs/>
        </w:rPr>
      </w:pPr>
    </w:p>
    <w:p w14:paraId="55D2A7D5" w14:textId="77777777" w:rsidR="00462B4F" w:rsidRDefault="00462B4F" w:rsidP="00DC35AB">
      <w:pPr>
        <w:rPr>
          <w:rFonts w:asciiTheme="minorHAnsi" w:hAnsiTheme="minorHAnsi"/>
          <w:b/>
          <w:bCs/>
        </w:rPr>
      </w:pPr>
    </w:p>
    <w:p w14:paraId="1FF669A4" w14:textId="77777777" w:rsidR="00462B4F" w:rsidRDefault="00462B4F" w:rsidP="00DC35AB">
      <w:pPr>
        <w:rPr>
          <w:rFonts w:asciiTheme="minorHAnsi" w:hAnsiTheme="minorHAnsi"/>
          <w:b/>
          <w:bCs/>
        </w:rPr>
      </w:pPr>
    </w:p>
    <w:p w14:paraId="5B1B6704" w14:textId="77777777" w:rsidR="00462B4F" w:rsidRDefault="00462B4F" w:rsidP="00DC35AB">
      <w:pPr>
        <w:rPr>
          <w:rFonts w:asciiTheme="minorHAnsi" w:hAnsiTheme="minorHAnsi"/>
          <w:b/>
          <w:bCs/>
        </w:rPr>
      </w:pPr>
    </w:p>
    <w:p w14:paraId="7B9F1901" w14:textId="77777777" w:rsidR="00D115D7" w:rsidRDefault="00D115D7" w:rsidP="00DC35AB">
      <w:pPr>
        <w:rPr>
          <w:rFonts w:asciiTheme="minorHAnsi" w:hAnsiTheme="minorHAnsi"/>
          <w:b/>
          <w:bCs/>
        </w:rPr>
      </w:pPr>
    </w:p>
    <w:p w14:paraId="2DD66994" w14:textId="0BF61C0F" w:rsidR="00DC35AB" w:rsidRPr="00DC35AB" w:rsidRDefault="00DC35AB" w:rsidP="00DC35AB">
      <w:pPr>
        <w:rPr>
          <w:rFonts w:asciiTheme="minorHAnsi" w:hAnsiTheme="minorHAnsi"/>
          <w:b/>
          <w:bCs/>
        </w:rPr>
      </w:pPr>
      <w:r w:rsidRPr="00DC35AB">
        <w:rPr>
          <w:rFonts w:asciiTheme="minorHAnsi" w:hAnsiTheme="minorHAnsi"/>
          <w:b/>
          <w:bCs/>
        </w:rPr>
        <w:lastRenderedPageBreak/>
        <w:t>Appendix A: Wales Cancer Network 2023: Rapid Diagnosis Clinic Final Report</w:t>
      </w:r>
    </w:p>
    <w:p w14:paraId="511C1A67" w14:textId="23889A80" w:rsidR="00DC35AB" w:rsidRDefault="00DC35AB" w:rsidP="00626366">
      <w:pPr>
        <w:spacing w:line="360" w:lineRule="auto"/>
        <w:rPr>
          <w:b/>
          <w:bCs/>
        </w:rPr>
      </w:pPr>
      <w:r>
        <w:rPr>
          <w:noProof/>
        </w:rPr>
        <w:drawing>
          <wp:anchor distT="0" distB="0" distL="114300" distR="114300" simplePos="0" relativeHeight="251666432" behindDoc="0" locked="0" layoutInCell="1" allowOverlap="1" wp14:anchorId="1831AA92" wp14:editId="2E987D17">
            <wp:simplePos x="0" y="0"/>
            <wp:positionH relativeFrom="column">
              <wp:posOffset>5715</wp:posOffset>
            </wp:positionH>
            <wp:positionV relativeFrom="paragraph">
              <wp:posOffset>313690</wp:posOffset>
            </wp:positionV>
            <wp:extent cx="6665595" cy="8484235"/>
            <wp:effectExtent l="0" t="0" r="1905" b="0"/>
            <wp:wrapSquare wrapText="bothSides"/>
            <wp:docPr id="1804929905" name="Picture 1" descr="A poster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29905" name="Picture 1" descr="A poster of a medical repor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65595" cy="8484235"/>
                    </a:xfrm>
                    <a:prstGeom prst="rect">
                      <a:avLst/>
                    </a:prstGeom>
                  </pic:spPr>
                </pic:pic>
              </a:graphicData>
            </a:graphic>
            <wp14:sizeRelH relativeFrom="page">
              <wp14:pctWidth>0</wp14:pctWidth>
            </wp14:sizeRelH>
            <wp14:sizeRelV relativeFrom="page">
              <wp14:pctHeight>0</wp14:pctHeight>
            </wp14:sizeRelV>
          </wp:anchor>
        </w:drawing>
      </w:r>
    </w:p>
    <w:p w14:paraId="00F8D6DC" w14:textId="4CFA8894" w:rsidR="00DC35AB" w:rsidRPr="000D0DF8" w:rsidRDefault="000D0DF8" w:rsidP="000D0DF8">
      <w:pPr>
        <w:rPr>
          <w:rFonts w:asciiTheme="minorHAnsi" w:hAnsiTheme="minorHAnsi"/>
          <w:b/>
          <w:bCs/>
        </w:rPr>
      </w:pPr>
      <w:r w:rsidRPr="00DC35AB">
        <w:rPr>
          <w:rFonts w:asciiTheme="minorHAnsi" w:hAnsiTheme="minorHAnsi"/>
          <w:noProof/>
        </w:rPr>
        <w:lastRenderedPageBreak/>
        <w:drawing>
          <wp:anchor distT="0" distB="0" distL="114300" distR="114300" simplePos="0" relativeHeight="251668480" behindDoc="0" locked="0" layoutInCell="1" allowOverlap="1" wp14:anchorId="72603C95" wp14:editId="278E2AD2">
            <wp:simplePos x="0" y="0"/>
            <wp:positionH relativeFrom="page">
              <wp:posOffset>-982345</wp:posOffset>
            </wp:positionH>
            <wp:positionV relativeFrom="page">
              <wp:posOffset>2528570</wp:posOffset>
            </wp:positionV>
            <wp:extent cx="9556750" cy="5977255"/>
            <wp:effectExtent l="0" t="953" r="5398" b="5397"/>
            <wp:wrapSquare wrapText="bothSides"/>
            <wp:docPr id="273039441" name="Picture 1" descr="A screenshot of a medical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39441" name="Picture 1" descr="A screenshot of a medical checklist&#10;&#10;AI-generated content may be incorrect."/>
                    <pic:cNvPicPr/>
                  </pic:nvPicPr>
                  <pic:blipFill rotWithShape="1">
                    <a:blip r:embed="rId10">
                      <a:extLst>
                        <a:ext uri="{28A0092B-C50C-407E-A947-70E740481C1C}">
                          <a14:useLocalDpi xmlns:a14="http://schemas.microsoft.com/office/drawing/2010/main" val="0"/>
                        </a:ext>
                      </a:extLst>
                    </a:blip>
                    <a:srcRect l="983" t="1797" r="506" b="3053"/>
                    <a:stretch/>
                  </pic:blipFill>
                  <pic:spPr bwMode="auto">
                    <a:xfrm rot="16200000">
                      <a:off x="0" y="0"/>
                      <a:ext cx="9556750" cy="5977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35AB" w:rsidRPr="00DC35AB">
        <w:rPr>
          <w:rFonts w:asciiTheme="minorHAnsi" w:hAnsiTheme="minorHAnsi"/>
          <w:b/>
          <w:bCs/>
        </w:rPr>
        <w:t xml:space="preserve">Appendix B: Critique Checklist </w:t>
      </w:r>
    </w:p>
    <w:sectPr w:rsidR="00DC35AB" w:rsidRPr="000D0DF8" w:rsidSect="00623470">
      <w:footerReference w:type="even" r:id="rId11"/>
      <w:footerReference w:type="default" r:id="rId12"/>
      <w:footerReference w:type="first" r:id="rId1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78C02" w14:textId="77777777" w:rsidR="0071557A" w:rsidRDefault="0071557A" w:rsidP="002C1E57">
      <w:r>
        <w:separator/>
      </w:r>
    </w:p>
  </w:endnote>
  <w:endnote w:type="continuationSeparator" w:id="0">
    <w:p w14:paraId="7CDA971A" w14:textId="77777777" w:rsidR="0071557A" w:rsidRDefault="0071557A" w:rsidP="002C1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l Tarikh">
    <w:panose1 w:val="00000400000000000000"/>
    <w:charset w:val="B2"/>
    <w:family w:val="auto"/>
    <w:pitch w:val="variable"/>
    <w:sig w:usb0="00002003" w:usb1="00000000" w:usb2="00000000"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0969079"/>
      <w:docPartObj>
        <w:docPartGallery w:val="Page Numbers (Bottom of Page)"/>
        <w:docPartUnique/>
      </w:docPartObj>
    </w:sdtPr>
    <w:sdtContent>
      <w:p w14:paraId="3EA36D49" w14:textId="24C0C3DF" w:rsidR="003F5C8A" w:rsidRDefault="003F5C8A" w:rsidP="006234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7A28B" w14:textId="77777777" w:rsidR="003F5C8A" w:rsidRDefault="003F5C8A" w:rsidP="003F5C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9224471"/>
      <w:docPartObj>
        <w:docPartGallery w:val="Page Numbers (Bottom of Page)"/>
        <w:docPartUnique/>
      </w:docPartObj>
    </w:sdtPr>
    <w:sdtContent>
      <w:p w14:paraId="74BBBC4E" w14:textId="5A4FAFD7" w:rsidR="00623470" w:rsidRPr="00623470" w:rsidRDefault="00623470" w:rsidP="00623470">
        <w:pPr>
          <w:pStyle w:val="Footer"/>
          <w:framePr w:wrap="notBeside" w:vAnchor="text" w:hAnchor="margin" w:xAlign="center" w:y="1"/>
          <w:rPr>
            <w:rStyle w:val="PageNumber"/>
          </w:rPr>
        </w:pPr>
        <w:r w:rsidRPr="00623470">
          <w:rPr>
            <w:rStyle w:val="PageNumber"/>
          </w:rPr>
          <w:fldChar w:fldCharType="begin"/>
        </w:r>
        <w:r w:rsidRPr="00623470">
          <w:rPr>
            <w:rStyle w:val="PageNumber"/>
          </w:rPr>
          <w:instrText xml:space="preserve"> PAGE </w:instrText>
        </w:r>
        <w:r w:rsidRPr="00623470">
          <w:rPr>
            <w:rStyle w:val="PageNumber"/>
          </w:rPr>
          <w:fldChar w:fldCharType="separate"/>
        </w:r>
        <w:r w:rsidRPr="00623470">
          <w:rPr>
            <w:rStyle w:val="PageNumber"/>
            <w:noProof/>
          </w:rPr>
          <w:t>1</w:t>
        </w:r>
        <w:r w:rsidRPr="00623470">
          <w:rPr>
            <w:rStyle w:val="PageNumber"/>
          </w:rPr>
          <w:fldChar w:fldCharType="end"/>
        </w:r>
      </w:p>
    </w:sdtContent>
  </w:sdt>
  <w:p w14:paraId="3988A918" w14:textId="644E0A0F" w:rsidR="004B0BE2" w:rsidRPr="00623470" w:rsidRDefault="004B0BE2" w:rsidP="00623470">
    <w:pPr>
      <w:pStyle w:val="Footer"/>
      <w:framePr w:wrap="notBeside" w:vAnchor="text" w:hAnchor="margin" w:xAlign="center" w:y="1"/>
      <w:ind w:right="360"/>
      <w:rPr>
        <w:rStyle w:val="PageNumb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273AF6" w14:textId="77777777" w:rsidR="00000000" w:rsidRDefault="00000000">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8BBD" w14:textId="77777777" w:rsidR="0071557A" w:rsidRDefault="0071557A" w:rsidP="002C1E57">
      <w:r>
        <w:separator/>
      </w:r>
    </w:p>
  </w:footnote>
  <w:footnote w:type="continuationSeparator" w:id="0">
    <w:p w14:paraId="64AD4289" w14:textId="77777777" w:rsidR="0071557A" w:rsidRDefault="0071557A" w:rsidP="002C1E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72C1AA3"/>
    <w:multiLevelType w:val="hybridMultilevel"/>
    <w:tmpl w:val="04BE3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0C3D2A"/>
    <w:multiLevelType w:val="hybridMultilevel"/>
    <w:tmpl w:val="F66062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73362"/>
    <w:multiLevelType w:val="hybridMultilevel"/>
    <w:tmpl w:val="F5E01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D91DB6"/>
    <w:multiLevelType w:val="hybridMultilevel"/>
    <w:tmpl w:val="10FE44C8"/>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B64979"/>
    <w:multiLevelType w:val="multilevel"/>
    <w:tmpl w:val="C116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CB4808"/>
    <w:multiLevelType w:val="hybridMultilevel"/>
    <w:tmpl w:val="28A0E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7A5A8A"/>
    <w:multiLevelType w:val="hybridMultilevel"/>
    <w:tmpl w:val="73200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81BBD"/>
    <w:multiLevelType w:val="hybridMultilevel"/>
    <w:tmpl w:val="F342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970769">
    <w:abstractNumId w:val="9"/>
  </w:num>
  <w:num w:numId="2" w16cid:durableId="210968324">
    <w:abstractNumId w:val="3"/>
  </w:num>
  <w:num w:numId="3" w16cid:durableId="1219633785">
    <w:abstractNumId w:val="5"/>
  </w:num>
  <w:num w:numId="4" w16cid:durableId="433483653">
    <w:abstractNumId w:val="1"/>
  </w:num>
  <w:num w:numId="5" w16cid:durableId="841942115">
    <w:abstractNumId w:val="0"/>
  </w:num>
  <w:num w:numId="6" w16cid:durableId="281543697">
    <w:abstractNumId w:val="4"/>
  </w:num>
  <w:num w:numId="7" w16cid:durableId="534737043">
    <w:abstractNumId w:val="2"/>
  </w:num>
  <w:num w:numId="8" w16cid:durableId="683895897">
    <w:abstractNumId w:val="7"/>
  </w:num>
  <w:num w:numId="9" w16cid:durableId="281770745">
    <w:abstractNumId w:val="8"/>
  </w:num>
  <w:num w:numId="10" w16cid:durableId="1562787936">
    <w:abstractNumId w:val="10"/>
  </w:num>
  <w:num w:numId="11" w16cid:durableId="21037912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E6"/>
    <w:rsid w:val="000019A7"/>
    <w:rsid w:val="00002242"/>
    <w:rsid w:val="00010EC7"/>
    <w:rsid w:val="00020BAE"/>
    <w:rsid w:val="0002675E"/>
    <w:rsid w:val="00030DDF"/>
    <w:rsid w:val="00035231"/>
    <w:rsid w:val="00043441"/>
    <w:rsid w:val="00046442"/>
    <w:rsid w:val="000623B1"/>
    <w:rsid w:val="00064B5A"/>
    <w:rsid w:val="000658EE"/>
    <w:rsid w:val="00071FFE"/>
    <w:rsid w:val="00073C86"/>
    <w:rsid w:val="0007581B"/>
    <w:rsid w:val="0009536D"/>
    <w:rsid w:val="000A0908"/>
    <w:rsid w:val="000A69A0"/>
    <w:rsid w:val="000B2130"/>
    <w:rsid w:val="000B22CE"/>
    <w:rsid w:val="000D008F"/>
    <w:rsid w:val="000D0DF8"/>
    <w:rsid w:val="000F3722"/>
    <w:rsid w:val="000F44C6"/>
    <w:rsid w:val="001026EC"/>
    <w:rsid w:val="00105146"/>
    <w:rsid w:val="00105FFF"/>
    <w:rsid w:val="001134FF"/>
    <w:rsid w:val="00123CE4"/>
    <w:rsid w:val="00130B96"/>
    <w:rsid w:val="0013136C"/>
    <w:rsid w:val="00135DCD"/>
    <w:rsid w:val="001500CA"/>
    <w:rsid w:val="00161B45"/>
    <w:rsid w:val="00165E67"/>
    <w:rsid w:val="00172937"/>
    <w:rsid w:val="00174005"/>
    <w:rsid w:val="0017498E"/>
    <w:rsid w:val="00181829"/>
    <w:rsid w:val="00184DE4"/>
    <w:rsid w:val="00194796"/>
    <w:rsid w:val="001A0C29"/>
    <w:rsid w:val="001A74F3"/>
    <w:rsid w:val="001B7829"/>
    <w:rsid w:val="001C1C32"/>
    <w:rsid w:val="001C26B9"/>
    <w:rsid w:val="001C4CFA"/>
    <w:rsid w:val="001D6BCA"/>
    <w:rsid w:val="00200E9D"/>
    <w:rsid w:val="00212D79"/>
    <w:rsid w:val="00226062"/>
    <w:rsid w:val="00230162"/>
    <w:rsid w:val="0023624D"/>
    <w:rsid w:val="0024533E"/>
    <w:rsid w:val="00252F38"/>
    <w:rsid w:val="00254677"/>
    <w:rsid w:val="00262D69"/>
    <w:rsid w:val="00264E9C"/>
    <w:rsid w:val="0026774A"/>
    <w:rsid w:val="00271E0E"/>
    <w:rsid w:val="002908F5"/>
    <w:rsid w:val="0029505E"/>
    <w:rsid w:val="00297689"/>
    <w:rsid w:val="002A6639"/>
    <w:rsid w:val="002A6C93"/>
    <w:rsid w:val="002B2AA5"/>
    <w:rsid w:val="002C1E57"/>
    <w:rsid w:val="002D15CF"/>
    <w:rsid w:val="002D7915"/>
    <w:rsid w:val="002F36B0"/>
    <w:rsid w:val="00300386"/>
    <w:rsid w:val="00311AE0"/>
    <w:rsid w:val="00316515"/>
    <w:rsid w:val="003304E2"/>
    <w:rsid w:val="00333EBE"/>
    <w:rsid w:val="003353FA"/>
    <w:rsid w:val="00353D2A"/>
    <w:rsid w:val="00373C4A"/>
    <w:rsid w:val="003768C1"/>
    <w:rsid w:val="003972C7"/>
    <w:rsid w:val="003B60D4"/>
    <w:rsid w:val="003C7DE0"/>
    <w:rsid w:val="003D000E"/>
    <w:rsid w:val="003D210A"/>
    <w:rsid w:val="003E2592"/>
    <w:rsid w:val="003E4A69"/>
    <w:rsid w:val="003F2A34"/>
    <w:rsid w:val="003F59E5"/>
    <w:rsid w:val="003F5C8A"/>
    <w:rsid w:val="00400B2B"/>
    <w:rsid w:val="0040463E"/>
    <w:rsid w:val="00420435"/>
    <w:rsid w:val="00425643"/>
    <w:rsid w:val="0043291F"/>
    <w:rsid w:val="004352C3"/>
    <w:rsid w:val="00441083"/>
    <w:rsid w:val="00461028"/>
    <w:rsid w:val="00462B4F"/>
    <w:rsid w:val="00472C4A"/>
    <w:rsid w:val="004757AE"/>
    <w:rsid w:val="004B0BE2"/>
    <w:rsid w:val="004C4A72"/>
    <w:rsid w:val="004C4C34"/>
    <w:rsid w:val="004D012B"/>
    <w:rsid w:val="004D3020"/>
    <w:rsid w:val="004E1B86"/>
    <w:rsid w:val="004E7617"/>
    <w:rsid w:val="004F0A27"/>
    <w:rsid w:val="004F4E34"/>
    <w:rsid w:val="004F76BF"/>
    <w:rsid w:val="004F770D"/>
    <w:rsid w:val="00502B1E"/>
    <w:rsid w:val="0050582A"/>
    <w:rsid w:val="00525639"/>
    <w:rsid w:val="00543C3B"/>
    <w:rsid w:val="00561217"/>
    <w:rsid w:val="0057596B"/>
    <w:rsid w:val="005811E5"/>
    <w:rsid w:val="00594E26"/>
    <w:rsid w:val="005F4133"/>
    <w:rsid w:val="005F697B"/>
    <w:rsid w:val="00610A6B"/>
    <w:rsid w:val="00615307"/>
    <w:rsid w:val="00617FF7"/>
    <w:rsid w:val="00620633"/>
    <w:rsid w:val="00621E3B"/>
    <w:rsid w:val="00623470"/>
    <w:rsid w:val="00626366"/>
    <w:rsid w:val="00635FC4"/>
    <w:rsid w:val="0064244C"/>
    <w:rsid w:val="0066188D"/>
    <w:rsid w:val="0067037E"/>
    <w:rsid w:val="006721FE"/>
    <w:rsid w:val="00672F20"/>
    <w:rsid w:val="006838A0"/>
    <w:rsid w:val="006C5554"/>
    <w:rsid w:val="006D2BF8"/>
    <w:rsid w:val="006D5574"/>
    <w:rsid w:val="006E09DD"/>
    <w:rsid w:val="006F4DF5"/>
    <w:rsid w:val="0070517E"/>
    <w:rsid w:val="0071557A"/>
    <w:rsid w:val="007346C8"/>
    <w:rsid w:val="007359D5"/>
    <w:rsid w:val="007629CB"/>
    <w:rsid w:val="00765D8B"/>
    <w:rsid w:val="00765F7A"/>
    <w:rsid w:val="00767E1B"/>
    <w:rsid w:val="0077553A"/>
    <w:rsid w:val="007A1260"/>
    <w:rsid w:val="007A18AE"/>
    <w:rsid w:val="007A1CA4"/>
    <w:rsid w:val="007C086A"/>
    <w:rsid w:val="007D2917"/>
    <w:rsid w:val="007E2FB5"/>
    <w:rsid w:val="00812880"/>
    <w:rsid w:val="00823349"/>
    <w:rsid w:val="00824314"/>
    <w:rsid w:val="00845575"/>
    <w:rsid w:val="00847CB9"/>
    <w:rsid w:val="00855169"/>
    <w:rsid w:val="008956AB"/>
    <w:rsid w:val="008A6DA1"/>
    <w:rsid w:val="008B0CED"/>
    <w:rsid w:val="008B1822"/>
    <w:rsid w:val="008B621F"/>
    <w:rsid w:val="008C16B4"/>
    <w:rsid w:val="008D23E8"/>
    <w:rsid w:val="008D4221"/>
    <w:rsid w:val="008E1896"/>
    <w:rsid w:val="008E2F30"/>
    <w:rsid w:val="008E394E"/>
    <w:rsid w:val="008E5041"/>
    <w:rsid w:val="008E50F2"/>
    <w:rsid w:val="008F25C5"/>
    <w:rsid w:val="00900061"/>
    <w:rsid w:val="00907A6A"/>
    <w:rsid w:val="00916649"/>
    <w:rsid w:val="00921C81"/>
    <w:rsid w:val="00927173"/>
    <w:rsid w:val="00930250"/>
    <w:rsid w:val="00933F85"/>
    <w:rsid w:val="00945DBE"/>
    <w:rsid w:val="00947370"/>
    <w:rsid w:val="00974E6A"/>
    <w:rsid w:val="00975AAE"/>
    <w:rsid w:val="009B139D"/>
    <w:rsid w:val="009B47B0"/>
    <w:rsid w:val="009C3D80"/>
    <w:rsid w:val="009D5316"/>
    <w:rsid w:val="009E3ED3"/>
    <w:rsid w:val="009F1693"/>
    <w:rsid w:val="009F6498"/>
    <w:rsid w:val="00A25B0E"/>
    <w:rsid w:val="00A41161"/>
    <w:rsid w:val="00A42FD3"/>
    <w:rsid w:val="00A600AE"/>
    <w:rsid w:val="00A71C1F"/>
    <w:rsid w:val="00A80A43"/>
    <w:rsid w:val="00A841D0"/>
    <w:rsid w:val="00A90B50"/>
    <w:rsid w:val="00A9227B"/>
    <w:rsid w:val="00A9718E"/>
    <w:rsid w:val="00AA007D"/>
    <w:rsid w:val="00AA2C9D"/>
    <w:rsid w:val="00AA32B8"/>
    <w:rsid w:val="00AA39CE"/>
    <w:rsid w:val="00AB1D05"/>
    <w:rsid w:val="00AB350C"/>
    <w:rsid w:val="00AC4DCF"/>
    <w:rsid w:val="00AE04A8"/>
    <w:rsid w:val="00AF0E87"/>
    <w:rsid w:val="00AF2731"/>
    <w:rsid w:val="00B00B15"/>
    <w:rsid w:val="00B05D47"/>
    <w:rsid w:val="00B15D60"/>
    <w:rsid w:val="00B476FE"/>
    <w:rsid w:val="00B51710"/>
    <w:rsid w:val="00B534DC"/>
    <w:rsid w:val="00B56CA8"/>
    <w:rsid w:val="00B725B3"/>
    <w:rsid w:val="00B75015"/>
    <w:rsid w:val="00BA3E06"/>
    <w:rsid w:val="00BA3EBC"/>
    <w:rsid w:val="00BA6798"/>
    <w:rsid w:val="00BB0070"/>
    <w:rsid w:val="00BD2261"/>
    <w:rsid w:val="00BD5D45"/>
    <w:rsid w:val="00BE19D1"/>
    <w:rsid w:val="00BE386C"/>
    <w:rsid w:val="00BE40C8"/>
    <w:rsid w:val="00BF1E25"/>
    <w:rsid w:val="00BF74EF"/>
    <w:rsid w:val="00BF772D"/>
    <w:rsid w:val="00C02ED4"/>
    <w:rsid w:val="00C354CE"/>
    <w:rsid w:val="00C42F47"/>
    <w:rsid w:val="00C55C86"/>
    <w:rsid w:val="00C55F60"/>
    <w:rsid w:val="00C57283"/>
    <w:rsid w:val="00C62C55"/>
    <w:rsid w:val="00C826CA"/>
    <w:rsid w:val="00C976A8"/>
    <w:rsid w:val="00CC1E0F"/>
    <w:rsid w:val="00CC3D1C"/>
    <w:rsid w:val="00CC593B"/>
    <w:rsid w:val="00D115D7"/>
    <w:rsid w:val="00D21C6D"/>
    <w:rsid w:val="00D25C73"/>
    <w:rsid w:val="00D36501"/>
    <w:rsid w:val="00D56940"/>
    <w:rsid w:val="00D5768C"/>
    <w:rsid w:val="00D611A1"/>
    <w:rsid w:val="00D64947"/>
    <w:rsid w:val="00D72CE6"/>
    <w:rsid w:val="00DA77A2"/>
    <w:rsid w:val="00DB125F"/>
    <w:rsid w:val="00DB4AED"/>
    <w:rsid w:val="00DB504C"/>
    <w:rsid w:val="00DB7F6D"/>
    <w:rsid w:val="00DC11DC"/>
    <w:rsid w:val="00DC35AB"/>
    <w:rsid w:val="00DF4538"/>
    <w:rsid w:val="00DF5ABB"/>
    <w:rsid w:val="00DF67B0"/>
    <w:rsid w:val="00E13EB6"/>
    <w:rsid w:val="00E36579"/>
    <w:rsid w:val="00E37428"/>
    <w:rsid w:val="00E40457"/>
    <w:rsid w:val="00E567A9"/>
    <w:rsid w:val="00E5714A"/>
    <w:rsid w:val="00E725CB"/>
    <w:rsid w:val="00E76FD7"/>
    <w:rsid w:val="00E8129A"/>
    <w:rsid w:val="00E87126"/>
    <w:rsid w:val="00E93E70"/>
    <w:rsid w:val="00EB4785"/>
    <w:rsid w:val="00ED068A"/>
    <w:rsid w:val="00ED7B9A"/>
    <w:rsid w:val="00EE4DBB"/>
    <w:rsid w:val="00EE4EA0"/>
    <w:rsid w:val="00EF3F82"/>
    <w:rsid w:val="00F005E6"/>
    <w:rsid w:val="00F0215E"/>
    <w:rsid w:val="00F0363A"/>
    <w:rsid w:val="00F121A9"/>
    <w:rsid w:val="00F17CB4"/>
    <w:rsid w:val="00F334C5"/>
    <w:rsid w:val="00F374D8"/>
    <w:rsid w:val="00F40906"/>
    <w:rsid w:val="00F44D8E"/>
    <w:rsid w:val="00F4785B"/>
    <w:rsid w:val="00F576B1"/>
    <w:rsid w:val="00F657F8"/>
    <w:rsid w:val="00F70ED7"/>
    <w:rsid w:val="00F771AF"/>
    <w:rsid w:val="00F77465"/>
    <w:rsid w:val="00FB3134"/>
    <w:rsid w:val="00FD265C"/>
    <w:rsid w:val="00FF0CCE"/>
    <w:rsid w:val="00FF3B35"/>
    <w:rsid w:val="00FF5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F9B00"/>
  <w15:chartTrackingRefBased/>
  <w15:docId w15:val="{CD17120B-905C-624F-BE75-C2C762856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21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72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C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C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C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C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C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C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C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C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C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C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CE6"/>
    <w:rPr>
      <w:rFonts w:eastAsiaTheme="majorEastAsia" w:cstheme="majorBidi"/>
      <w:color w:val="272727" w:themeColor="text1" w:themeTint="D8"/>
    </w:rPr>
  </w:style>
  <w:style w:type="paragraph" w:styleId="Title">
    <w:name w:val="Title"/>
    <w:basedOn w:val="Normal"/>
    <w:next w:val="Normal"/>
    <w:link w:val="TitleChar"/>
    <w:uiPriority w:val="10"/>
    <w:qFormat/>
    <w:rsid w:val="00D72C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C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C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2CE6"/>
    <w:rPr>
      <w:i/>
      <w:iCs/>
      <w:color w:val="404040" w:themeColor="text1" w:themeTint="BF"/>
    </w:rPr>
  </w:style>
  <w:style w:type="paragraph" w:styleId="ListParagraph">
    <w:name w:val="List Paragraph"/>
    <w:basedOn w:val="Normal"/>
    <w:uiPriority w:val="34"/>
    <w:qFormat/>
    <w:rsid w:val="00D72CE6"/>
    <w:pPr>
      <w:ind w:left="720"/>
      <w:contextualSpacing/>
    </w:pPr>
  </w:style>
  <w:style w:type="character" w:styleId="IntenseEmphasis">
    <w:name w:val="Intense Emphasis"/>
    <w:basedOn w:val="DefaultParagraphFont"/>
    <w:uiPriority w:val="21"/>
    <w:qFormat/>
    <w:rsid w:val="00D72CE6"/>
    <w:rPr>
      <w:i/>
      <w:iCs/>
      <w:color w:val="0F4761" w:themeColor="accent1" w:themeShade="BF"/>
    </w:rPr>
  </w:style>
  <w:style w:type="paragraph" w:styleId="IntenseQuote">
    <w:name w:val="Intense Quote"/>
    <w:basedOn w:val="Normal"/>
    <w:next w:val="Normal"/>
    <w:link w:val="IntenseQuoteChar"/>
    <w:uiPriority w:val="30"/>
    <w:qFormat/>
    <w:rsid w:val="00D72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CE6"/>
    <w:rPr>
      <w:i/>
      <w:iCs/>
      <w:color w:val="0F4761" w:themeColor="accent1" w:themeShade="BF"/>
    </w:rPr>
  </w:style>
  <w:style w:type="character" w:styleId="IntenseReference">
    <w:name w:val="Intense Reference"/>
    <w:basedOn w:val="DefaultParagraphFont"/>
    <w:uiPriority w:val="32"/>
    <w:qFormat/>
    <w:rsid w:val="00D72CE6"/>
    <w:rPr>
      <w:b/>
      <w:bCs/>
      <w:smallCaps/>
      <w:color w:val="0F4761" w:themeColor="accent1" w:themeShade="BF"/>
      <w:spacing w:val="5"/>
    </w:rPr>
  </w:style>
  <w:style w:type="table" w:customStyle="1" w:styleId="TableGrid1">
    <w:name w:val="Table Grid1"/>
    <w:basedOn w:val="TableNormal"/>
    <w:next w:val="TableGrid"/>
    <w:uiPriority w:val="39"/>
    <w:rsid w:val="00D72CE6"/>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72C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9718E"/>
    <w:rPr>
      <w:color w:val="467886" w:themeColor="hyperlink"/>
      <w:u w:val="single"/>
    </w:rPr>
  </w:style>
  <w:style w:type="character" w:styleId="UnresolvedMention">
    <w:name w:val="Unresolved Mention"/>
    <w:basedOn w:val="DefaultParagraphFont"/>
    <w:uiPriority w:val="99"/>
    <w:semiHidden/>
    <w:unhideWhenUsed/>
    <w:rsid w:val="00A9718E"/>
    <w:rPr>
      <w:color w:val="605E5C"/>
      <w:shd w:val="clear" w:color="auto" w:fill="E1DFDD"/>
    </w:rPr>
  </w:style>
  <w:style w:type="character" w:styleId="FollowedHyperlink">
    <w:name w:val="FollowedHyperlink"/>
    <w:basedOn w:val="DefaultParagraphFont"/>
    <w:uiPriority w:val="99"/>
    <w:semiHidden/>
    <w:unhideWhenUsed/>
    <w:rsid w:val="00254677"/>
    <w:rPr>
      <w:color w:val="96607D" w:themeColor="followedHyperlink"/>
      <w:u w:val="single"/>
    </w:rPr>
  </w:style>
  <w:style w:type="character" w:customStyle="1" w:styleId="text-forest-600">
    <w:name w:val="text-forest-600"/>
    <w:basedOn w:val="DefaultParagraphFont"/>
    <w:rsid w:val="00A9227B"/>
  </w:style>
  <w:style w:type="paragraph" w:styleId="Header">
    <w:name w:val="header"/>
    <w:basedOn w:val="Normal"/>
    <w:link w:val="HeaderChar"/>
    <w:uiPriority w:val="99"/>
    <w:unhideWhenUsed/>
    <w:rsid w:val="002C1E57"/>
    <w:pPr>
      <w:tabs>
        <w:tab w:val="center" w:pos="4513"/>
        <w:tab w:val="right" w:pos="9026"/>
      </w:tabs>
    </w:pPr>
  </w:style>
  <w:style w:type="character" w:customStyle="1" w:styleId="HeaderChar">
    <w:name w:val="Header Char"/>
    <w:basedOn w:val="DefaultParagraphFont"/>
    <w:link w:val="Header"/>
    <w:uiPriority w:val="99"/>
    <w:rsid w:val="002C1E57"/>
  </w:style>
  <w:style w:type="paragraph" w:styleId="Footer">
    <w:name w:val="footer"/>
    <w:basedOn w:val="Normal"/>
    <w:link w:val="FooterChar"/>
    <w:uiPriority w:val="99"/>
    <w:unhideWhenUsed/>
    <w:rsid w:val="002C1E57"/>
    <w:pPr>
      <w:tabs>
        <w:tab w:val="center" w:pos="4513"/>
        <w:tab w:val="right" w:pos="9026"/>
      </w:tabs>
    </w:pPr>
  </w:style>
  <w:style w:type="character" w:customStyle="1" w:styleId="FooterChar">
    <w:name w:val="Footer Char"/>
    <w:basedOn w:val="DefaultParagraphFont"/>
    <w:link w:val="Footer"/>
    <w:uiPriority w:val="99"/>
    <w:rsid w:val="002C1E57"/>
  </w:style>
  <w:style w:type="character" w:customStyle="1" w:styleId="apple-converted-space">
    <w:name w:val="apple-converted-space"/>
    <w:basedOn w:val="DefaultParagraphFont"/>
    <w:rsid w:val="00D611A1"/>
  </w:style>
  <w:style w:type="character" w:styleId="Strong">
    <w:name w:val="Strong"/>
    <w:basedOn w:val="DefaultParagraphFont"/>
    <w:uiPriority w:val="22"/>
    <w:qFormat/>
    <w:rsid w:val="00D611A1"/>
    <w:rPr>
      <w:b/>
      <w:bCs/>
    </w:rPr>
  </w:style>
  <w:style w:type="character" w:styleId="PageNumber">
    <w:name w:val="page number"/>
    <w:basedOn w:val="DefaultParagraphFont"/>
    <w:uiPriority w:val="99"/>
    <w:semiHidden/>
    <w:unhideWhenUsed/>
    <w:rsid w:val="003F5C8A"/>
  </w:style>
  <w:style w:type="paragraph" w:styleId="NoSpacing">
    <w:name w:val="No Spacing"/>
    <w:link w:val="NoSpacingChar"/>
    <w:uiPriority w:val="1"/>
    <w:qFormat/>
    <w:rsid w:val="003F5C8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F5C8A"/>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613712">
      <w:bodyDiv w:val="1"/>
      <w:marLeft w:val="0"/>
      <w:marRight w:val="0"/>
      <w:marTop w:val="0"/>
      <w:marBottom w:val="0"/>
      <w:divBdr>
        <w:top w:val="none" w:sz="0" w:space="0" w:color="auto"/>
        <w:left w:val="none" w:sz="0" w:space="0" w:color="auto"/>
        <w:bottom w:val="none" w:sz="0" w:space="0" w:color="auto"/>
        <w:right w:val="none" w:sz="0" w:space="0" w:color="auto"/>
      </w:divBdr>
    </w:div>
    <w:div w:id="740640890">
      <w:bodyDiv w:val="1"/>
      <w:marLeft w:val="0"/>
      <w:marRight w:val="0"/>
      <w:marTop w:val="0"/>
      <w:marBottom w:val="0"/>
      <w:divBdr>
        <w:top w:val="none" w:sz="0" w:space="0" w:color="auto"/>
        <w:left w:val="none" w:sz="0" w:space="0" w:color="auto"/>
        <w:bottom w:val="none" w:sz="0" w:space="0" w:color="auto"/>
        <w:right w:val="none" w:sz="0" w:space="0" w:color="auto"/>
      </w:divBdr>
    </w:div>
    <w:div w:id="1183784745">
      <w:bodyDiv w:val="1"/>
      <w:marLeft w:val="0"/>
      <w:marRight w:val="0"/>
      <w:marTop w:val="0"/>
      <w:marBottom w:val="0"/>
      <w:divBdr>
        <w:top w:val="none" w:sz="0" w:space="0" w:color="auto"/>
        <w:left w:val="none" w:sz="0" w:space="0" w:color="auto"/>
        <w:bottom w:val="none" w:sz="0" w:space="0" w:color="auto"/>
        <w:right w:val="none" w:sz="0" w:space="0" w:color="auto"/>
      </w:divBdr>
    </w:div>
    <w:div w:id="1260874607">
      <w:bodyDiv w:val="1"/>
      <w:marLeft w:val="0"/>
      <w:marRight w:val="0"/>
      <w:marTop w:val="0"/>
      <w:marBottom w:val="0"/>
      <w:divBdr>
        <w:top w:val="none" w:sz="0" w:space="0" w:color="auto"/>
        <w:left w:val="none" w:sz="0" w:space="0" w:color="auto"/>
        <w:bottom w:val="none" w:sz="0" w:space="0" w:color="auto"/>
        <w:right w:val="none" w:sz="0" w:space="0" w:color="auto"/>
      </w:divBdr>
    </w:div>
    <w:div w:id="1521820433">
      <w:bodyDiv w:val="1"/>
      <w:marLeft w:val="0"/>
      <w:marRight w:val="0"/>
      <w:marTop w:val="0"/>
      <w:marBottom w:val="0"/>
      <w:divBdr>
        <w:top w:val="none" w:sz="0" w:space="0" w:color="auto"/>
        <w:left w:val="none" w:sz="0" w:space="0" w:color="auto"/>
        <w:bottom w:val="none" w:sz="0" w:space="0" w:color="auto"/>
        <w:right w:val="none" w:sz="0" w:space="0" w:color="auto"/>
      </w:divBdr>
    </w:div>
    <w:div w:id="1653751530">
      <w:bodyDiv w:val="1"/>
      <w:marLeft w:val="0"/>
      <w:marRight w:val="0"/>
      <w:marTop w:val="0"/>
      <w:marBottom w:val="0"/>
      <w:divBdr>
        <w:top w:val="none" w:sz="0" w:space="0" w:color="auto"/>
        <w:left w:val="none" w:sz="0" w:space="0" w:color="auto"/>
        <w:bottom w:val="none" w:sz="0" w:space="0" w:color="auto"/>
        <w:right w:val="none" w:sz="0" w:space="0" w:color="auto"/>
      </w:divBdr>
    </w:div>
    <w:div w:id="1899826864">
      <w:bodyDiv w:val="1"/>
      <w:marLeft w:val="0"/>
      <w:marRight w:val="0"/>
      <w:marTop w:val="0"/>
      <w:marBottom w:val="0"/>
      <w:divBdr>
        <w:top w:val="none" w:sz="0" w:space="0" w:color="auto"/>
        <w:left w:val="none" w:sz="0" w:space="0" w:color="auto"/>
        <w:bottom w:val="none" w:sz="0" w:space="0" w:color="auto"/>
        <w:right w:val="none" w:sz="0" w:space="0" w:color="auto"/>
      </w:divBdr>
    </w:div>
    <w:div w:id="1957562082">
      <w:bodyDiv w:val="1"/>
      <w:marLeft w:val="0"/>
      <w:marRight w:val="0"/>
      <w:marTop w:val="0"/>
      <w:marBottom w:val="0"/>
      <w:divBdr>
        <w:top w:val="none" w:sz="0" w:space="0" w:color="auto"/>
        <w:left w:val="none" w:sz="0" w:space="0" w:color="auto"/>
        <w:bottom w:val="none" w:sz="0" w:space="0" w:color="auto"/>
        <w:right w:val="none" w:sz="0" w:space="0" w:color="auto"/>
      </w:divBdr>
    </w:div>
    <w:div w:id="1983078014">
      <w:bodyDiv w:val="1"/>
      <w:marLeft w:val="0"/>
      <w:marRight w:val="0"/>
      <w:marTop w:val="0"/>
      <w:marBottom w:val="0"/>
      <w:divBdr>
        <w:top w:val="none" w:sz="0" w:space="0" w:color="auto"/>
        <w:left w:val="none" w:sz="0" w:space="0" w:color="auto"/>
        <w:bottom w:val="none" w:sz="0" w:space="0" w:color="auto"/>
        <w:right w:val="none" w:sz="0" w:space="0" w:color="auto"/>
      </w:divBdr>
    </w:div>
    <w:div w:id="207396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1EBCC-22AD-0148-9C09-FA113EBF3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21</Pages>
  <Words>6004</Words>
  <Characters>34227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Research and evaluation skills for healthcare</vt:lpstr>
    </vt:vector>
  </TitlesOfParts>
  <Company>1200244</Company>
  <LinksUpToDate>false</LinksUpToDate>
  <CharactersWithSpaces>40151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evaluation skills for healthcare</dc:title>
  <dc:subject>Module code</dc:subject>
  <dc:creator>Kerry O'Brien</dc:creator>
  <cp:keywords/>
  <dc:description/>
  <cp:lastModifiedBy>Kerry O'Brien</cp:lastModifiedBy>
  <cp:revision>6</cp:revision>
  <dcterms:created xsi:type="dcterms:W3CDTF">2025-05-16T17:43:00Z</dcterms:created>
  <dcterms:modified xsi:type="dcterms:W3CDTF">2025-05-16T22:34:00Z</dcterms:modified>
  <cp:category>Student Number: 1200244</cp:category>
</cp:coreProperties>
</file>