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46DFC" w14:textId="458726D8" w:rsidR="00A85ABE" w:rsidRPr="00A85ABE" w:rsidRDefault="00A85ABE" w:rsidP="00A85ABE">
      <w:pPr>
        <w:rPr>
          <w:rFonts w:eastAsia="Times New Roman"/>
          <w:b/>
          <w:bCs/>
          <w:sz w:val="28"/>
          <w:szCs w:val="28"/>
        </w:rPr>
      </w:pPr>
      <w:r w:rsidRPr="00A85ABE">
        <w:rPr>
          <w:rFonts w:eastAsia="Times New Roman"/>
          <w:b/>
          <w:noProof/>
          <w:sz w:val="28"/>
          <w:szCs w:val="28"/>
          <w:lang w:val="en-US"/>
        </w:rPr>
        <w:drawing>
          <wp:inline distT="0" distB="0" distL="0" distR="0" wp14:anchorId="6787C66F" wp14:editId="4EC06247">
            <wp:extent cx="194310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3100" cy="552450"/>
                    </a:xfrm>
                    <a:prstGeom prst="rect">
                      <a:avLst/>
                    </a:prstGeom>
                    <a:noFill/>
                    <a:ln>
                      <a:noFill/>
                    </a:ln>
                  </pic:spPr>
                </pic:pic>
              </a:graphicData>
            </a:graphic>
          </wp:inline>
        </w:drawing>
      </w:r>
    </w:p>
    <w:p w14:paraId="168C3856" w14:textId="77777777" w:rsidR="00A85ABE" w:rsidRPr="00A85ABE" w:rsidRDefault="00A85ABE" w:rsidP="154FFC97">
      <w:pPr>
        <w:rPr>
          <w:rFonts w:ascii="Arial" w:eastAsia="Arial" w:hAnsi="Arial" w:cs="Arial"/>
          <w:b/>
          <w:bCs/>
        </w:rPr>
      </w:pPr>
      <w:r w:rsidRPr="154FFC97">
        <w:rPr>
          <w:rFonts w:ascii="Arial" w:eastAsia="Arial" w:hAnsi="Arial" w:cs="Arial"/>
          <w:b/>
          <w:bCs/>
        </w:rPr>
        <w:t>Student Assessment Submission and Declaration</w:t>
      </w:r>
    </w:p>
    <w:p w14:paraId="441618C3" w14:textId="46C4507E" w:rsidR="00A85ABE" w:rsidRPr="00A85ABE" w:rsidRDefault="00A85ABE" w:rsidP="154FFC97">
      <w:pPr>
        <w:rPr>
          <w:rFonts w:ascii="Arial" w:eastAsia="Arial" w:hAnsi="Arial" w:cs="Arial"/>
          <w:b/>
          <w:bCs/>
        </w:rPr>
      </w:pPr>
      <w:r w:rsidRPr="154FFC97">
        <w:rPr>
          <w:rFonts w:ascii="Arial" w:eastAsia="Arial" w:hAnsi="Arial" w:cs="Arial"/>
          <w:b/>
          <w:bCs/>
        </w:rPr>
        <w:t>When submitting evidence for assessment, you must sign a declaration confirming that the work is your own.</w:t>
      </w:r>
    </w:p>
    <w:tbl>
      <w:tblPr>
        <w:tblStyle w:val="TableGrid"/>
        <w:tblW w:w="9135" w:type="dxa"/>
        <w:tblLayout w:type="fixed"/>
        <w:tblLook w:val="06A0" w:firstRow="1" w:lastRow="0" w:firstColumn="1" w:lastColumn="0" w:noHBand="1" w:noVBand="1"/>
      </w:tblPr>
      <w:tblGrid>
        <w:gridCol w:w="2387"/>
        <w:gridCol w:w="6748"/>
      </w:tblGrid>
      <w:tr w:rsidR="00A85ABE" w:rsidRPr="00A85ABE" w14:paraId="713F4BED" w14:textId="77777777" w:rsidTr="154FFC97">
        <w:trPr>
          <w:trHeight w:val="300"/>
        </w:trPr>
        <w:tc>
          <w:tcPr>
            <w:tcW w:w="2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4E46A1D" w14:textId="2F89D7B9"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Student name:</w:t>
            </w:r>
          </w:p>
        </w:tc>
        <w:tc>
          <w:tcPr>
            <w:tcW w:w="67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C7CE3A" w14:textId="79F41966" w:rsidR="00A85ABE" w:rsidRPr="00A85ABE" w:rsidRDefault="00EF092E" w:rsidP="154FFC97">
            <w:pPr>
              <w:spacing w:after="160" w:line="278" w:lineRule="auto"/>
              <w:rPr>
                <w:rFonts w:ascii="Arial" w:eastAsia="Arial" w:hAnsi="Arial" w:cs="Arial"/>
                <w:b/>
                <w:bCs/>
              </w:rPr>
            </w:pPr>
            <w:r>
              <w:rPr>
                <w:rFonts w:ascii="Arial" w:eastAsia="Arial" w:hAnsi="Arial" w:cs="Arial"/>
                <w:b/>
                <w:bCs/>
              </w:rPr>
              <w:t xml:space="preserve">Raza khan </w:t>
            </w:r>
            <w:proofErr w:type="spellStart"/>
            <w:r>
              <w:rPr>
                <w:rFonts w:ascii="Arial" w:eastAsia="Arial" w:hAnsi="Arial" w:cs="Arial"/>
                <w:b/>
                <w:bCs/>
              </w:rPr>
              <w:t>ahmadzai</w:t>
            </w:r>
            <w:proofErr w:type="spellEnd"/>
          </w:p>
        </w:tc>
      </w:tr>
      <w:tr w:rsidR="00A85ABE" w:rsidRPr="00A85ABE" w14:paraId="1B517063" w14:textId="77777777" w:rsidTr="154FFC97">
        <w:trPr>
          <w:trHeight w:val="300"/>
        </w:trPr>
        <w:tc>
          <w:tcPr>
            <w:tcW w:w="2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48F6D794" w14:textId="43E7CDE6"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 xml:space="preserve">Student ID: </w:t>
            </w:r>
          </w:p>
        </w:tc>
        <w:tc>
          <w:tcPr>
            <w:tcW w:w="67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92F1E" w14:textId="6978BF02" w:rsidR="00A85ABE" w:rsidRPr="00A85ABE" w:rsidRDefault="00EF092E" w:rsidP="154FFC97">
            <w:pPr>
              <w:spacing w:after="160" w:line="278" w:lineRule="auto"/>
              <w:rPr>
                <w:rFonts w:ascii="Arial" w:eastAsia="Arial" w:hAnsi="Arial" w:cs="Arial"/>
                <w:b/>
                <w:bCs/>
              </w:rPr>
            </w:pPr>
            <w:r>
              <w:rPr>
                <w:rFonts w:ascii="Arial" w:eastAsia="Arial" w:hAnsi="Arial" w:cs="Arial"/>
                <w:b/>
                <w:bCs/>
              </w:rPr>
              <w:t>2423995</w:t>
            </w:r>
          </w:p>
        </w:tc>
      </w:tr>
      <w:tr w:rsidR="00A85ABE" w:rsidRPr="00A85ABE" w14:paraId="593A77E0" w14:textId="77777777" w:rsidTr="154FFC97">
        <w:trPr>
          <w:trHeight w:val="300"/>
        </w:trPr>
        <w:tc>
          <w:tcPr>
            <w:tcW w:w="2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2D5D527E" w14:textId="1D5D9E40"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Programme:</w:t>
            </w:r>
          </w:p>
        </w:tc>
        <w:tc>
          <w:tcPr>
            <w:tcW w:w="67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26ADC" w14:textId="10BF0F87" w:rsidR="00A85ABE" w:rsidRPr="00A85ABE" w:rsidRDefault="00EF092E" w:rsidP="154FFC97">
            <w:pPr>
              <w:spacing w:after="160" w:line="278" w:lineRule="auto"/>
              <w:rPr>
                <w:rFonts w:ascii="Arial" w:eastAsia="Arial" w:hAnsi="Arial" w:cs="Arial"/>
                <w:b/>
                <w:bCs/>
              </w:rPr>
            </w:pPr>
            <w:r>
              <w:rPr>
                <w:rFonts w:ascii="Arial" w:eastAsia="Arial" w:hAnsi="Arial" w:cs="Arial"/>
                <w:b/>
                <w:bCs/>
              </w:rPr>
              <w:t>BSC health and social care</w:t>
            </w:r>
          </w:p>
        </w:tc>
      </w:tr>
      <w:tr w:rsidR="00A85ABE" w:rsidRPr="00A85ABE" w14:paraId="10A7F5F5" w14:textId="77777777" w:rsidTr="154FFC97">
        <w:trPr>
          <w:trHeight w:val="330"/>
        </w:trPr>
        <w:tc>
          <w:tcPr>
            <w:tcW w:w="2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28A8726" w14:textId="26AF8A71"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Module name and code:</w:t>
            </w:r>
          </w:p>
        </w:tc>
        <w:tc>
          <w:tcPr>
            <w:tcW w:w="67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A208" w14:textId="70275764" w:rsidR="00EF092E" w:rsidRPr="00A85ABE" w:rsidRDefault="00EF092E" w:rsidP="154FFC97">
            <w:pPr>
              <w:spacing w:after="160" w:line="278" w:lineRule="auto"/>
              <w:rPr>
                <w:rFonts w:ascii="Arial" w:eastAsia="Arial" w:hAnsi="Arial" w:cs="Arial"/>
                <w:b/>
                <w:bCs/>
              </w:rPr>
            </w:pPr>
            <w:r>
              <w:rPr>
                <w:rFonts w:ascii="Arial" w:eastAsia="Arial" w:hAnsi="Arial" w:cs="Arial"/>
                <w:b/>
                <w:bCs/>
              </w:rPr>
              <w:t>BMHP5016</w:t>
            </w:r>
          </w:p>
        </w:tc>
      </w:tr>
      <w:tr w:rsidR="00A85ABE" w:rsidRPr="00A85ABE" w14:paraId="2EC1F1F2" w14:textId="77777777" w:rsidTr="154FFC97">
        <w:trPr>
          <w:trHeight w:val="330"/>
        </w:trPr>
        <w:tc>
          <w:tcPr>
            <w:tcW w:w="2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34607363" w14:textId="5C98DD5B"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 xml:space="preserve">Lecture's name: </w:t>
            </w:r>
          </w:p>
        </w:tc>
        <w:tc>
          <w:tcPr>
            <w:tcW w:w="67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76245" w14:textId="39622DFA" w:rsidR="00A85ABE" w:rsidRPr="00A85ABE" w:rsidRDefault="00EF092E" w:rsidP="154FFC97">
            <w:pPr>
              <w:spacing w:after="160" w:line="278" w:lineRule="auto"/>
              <w:rPr>
                <w:rFonts w:ascii="Arial" w:eastAsia="Arial" w:hAnsi="Arial" w:cs="Arial"/>
                <w:b/>
                <w:bCs/>
              </w:rPr>
            </w:pPr>
            <w:r>
              <w:rPr>
                <w:rFonts w:ascii="Arial" w:eastAsia="Arial" w:hAnsi="Arial" w:cs="Arial"/>
                <w:b/>
                <w:bCs/>
              </w:rPr>
              <w:t xml:space="preserve">DR </w:t>
            </w:r>
            <w:proofErr w:type="spellStart"/>
            <w:r>
              <w:rPr>
                <w:rFonts w:ascii="Arial" w:eastAsia="Arial" w:hAnsi="Arial" w:cs="Arial"/>
                <w:b/>
                <w:bCs/>
              </w:rPr>
              <w:t>farah</w:t>
            </w:r>
            <w:proofErr w:type="spellEnd"/>
            <w:r>
              <w:rPr>
                <w:rFonts w:ascii="Arial" w:eastAsia="Arial" w:hAnsi="Arial" w:cs="Arial"/>
                <w:b/>
                <w:bCs/>
              </w:rPr>
              <w:t xml:space="preserve"> </w:t>
            </w:r>
            <w:proofErr w:type="spellStart"/>
            <w:r>
              <w:rPr>
                <w:rFonts w:ascii="Arial" w:eastAsia="Arial" w:hAnsi="Arial" w:cs="Arial"/>
                <w:b/>
                <w:bCs/>
              </w:rPr>
              <w:t>wiita</w:t>
            </w:r>
            <w:proofErr w:type="spellEnd"/>
          </w:p>
        </w:tc>
      </w:tr>
    </w:tbl>
    <w:p w14:paraId="772FA610" w14:textId="43391DB1" w:rsidR="00A85ABE" w:rsidRPr="00A85ABE" w:rsidRDefault="00A85ABE" w:rsidP="154FFC97">
      <w:pPr>
        <w:spacing w:line="360" w:lineRule="auto"/>
        <w:rPr>
          <w:rFonts w:ascii="Arial" w:eastAsia="Arial" w:hAnsi="Arial" w:cs="Arial"/>
          <w:b/>
          <w:bCs/>
        </w:rPr>
      </w:pPr>
      <w:r w:rsidRPr="154FFC97">
        <w:rPr>
          <w:rFonts w:ascii="Arial" w:eastAsia="Arial" w:hAnsi="Arial" w:cs="Arial"/>
          <w:b/>
          <w:bCs/>
        </w:rPr>
        <w:t>Plagiarism</w:t>
      </w:r>
    </w:p>
    <w:p w14:paraId="53849D6D" w14:textId="01D0D7B2" w:rsidR="00A85ABE" w:rsidRPr="00A85ABE" w:rsidRDefault="00A85ABE" w:rsidP="154FFC97">
      <w:pPr>
        <w:spacing w:line="360" w:lineRule="auto"/>
        <w:rPr>
          <w:rFonts w:ascii="Arial" w:eastAsia="Arial" w:hAnsi="Arial" w:cs="Arial"/>
        </w:rPr>
      </w:pPr>
      <w:r w:rsidRPr="154FFC97">
        <w:rPr>
          <w:rFonts w:ascii="Arial" w:eastAsia="Arial" w:hAnsi="Arial" w:cs="Arial"/>
        </w:rPr>
        <w:t>Plagiarism is a form of cheating. Plagiarism must be avoided at all costs and students who break the rules, however innocently, may be penalised.  It is your responsibility to ensure that you understand correct referencing practices.  As a university level student, you are expected to use appropriate references throughout and keep carefully detailed notes of all your sources of materials for material you have used in your work, including any material downloaded from the Internet. Please consult the relevant unit lecturer or your course tutor if you need any further advice.</w:t>
      </w:r>
    </w:p>
    <w:tbl>
      <w:tblPr>
        <w:tblStyle w:val="TableGrid"/>
        <w:tblW w:w="9438" w:type="dxa"/>
        <w:tblLook w:val="04A0" w:firstRow="1" w:lastRow="0" w:firstColumn="1" w:lastColumn="0" w:noHBand="0" w:noVBand="1"/>
      </w:tblPr>
      <w:tblGrid>
        <w:gridCol w:w="4158"/>
        <w:gridCol w:w="5280"/>
      </w:tblGrid>
      <w:tr w:rsidR="00A85ABE" w:rsidRPr="00A85ABE" w14:paraId="6A8A65EB" w14:textId="77777777" w:rsidTr="154FFC97">
        <w:trPr>
          <w:trHeight w:val="1412"/>
        </w:trPr>
        <w:tc>
          <w:tcPr>
            <w:tcW w:w="943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7A8B322" w14:textId="2D038280"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Student declaration</w:t>
            </w:r>
          </w:p>
          <w:p w14:paraId="1AC3F493" w14:textId="4751A2B0"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I certify that the assignment submission is entirely my own work. I fully understand the consequences of plagiarism. I understand that making a false declaration is a form of malpractice.</w:t>
            </w:r>
          </w:p>
        </w:tc>
      </w:tr>
      <w:tr w:rsidR="00A85ABE" w:rsidRPr="00A85ABE" w14:paraId="7A79510D" w14:textId="77777777" w:rsidTr="154FFC97">
        <w:trPr>
          <w:trHeight w:val="480"/>
        </w:trPr>
        <w:tc>
          <w:tcPr>
            <w:tcW w:w="4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hideMark/>
          </w:tcPr>
          <w:p w14:paraId="5A74E341" w14:textId="77777777" w:rsidR="00A85ABE" w:rsidRPr="00A85ABE" w:rsidRDefault="00A85ABE" w:rsidP="154FFC97">
            <w:pPr>
              <w:spacing w:after="160" w:line="278" w:lineRule="auto"/>
              <w:rPr>
                <w:rFonts w:ascii="Arial" w:eastAsia="Arial" w:hAnsi="Arial" w:cs="Arial"/>
                <w:b/>
                <w:bCs/>
              </w:rPr>
            </w:pPr>
            <w:r w:rsidRPr="154FFC97">
              <w:rPr>
                <w:rFonts w:ascii="Arial" w:eastAsia="Arial" w:hAnsi="Arial" w:cs="Arial"/>
                <w:b/>
                <w:bCs/>
              </w:rPr>
              <w:t>Student signature:</w:t>
            </w:r>
          </w:p>
        </w:tc>
        <w:tc>
          <w:tcPr>
            <w:tcW w:w="5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F0A41" w14:textId="36E4377A" w:rsidR="00A85ABE" w:rsidRPr="00A85ABE" w:rsidRDefault="00EF092E" w:rsidP="154FFC97">
            <w:pPr>
              <w:spacing w:after="160" w:line="278" w:lineRule="auto"/>
              <w:rPr>
                <w:rFonts w:ascii="Arial" w:eastAsia="Arial" w:hAnsi="Arial" w:cs="Arial"/>
                <w:b/>
                <w:bCs/>
              </w:rPr>
            </w:pPr>
            <w:r>
              <w:rPr>
                <w:rFonts w:ascii="Arial" w:eastAsia="Arial" w:hAnsi="Arial" w:cs="Arial"/>
                <w:b/>
                <w:bCs/>
              </w:rPr>
              <w:t>raza</w:t>
            </w:r>
          </w:p>
        </w:tc>
      </w:tr>
      <w:tr w:rsidR="00A85ABE" w:rsidRPr="00A85ABE" w14:paraId="48F38A9C" w14:textId="77777777" w:rsidTr="154FFC97">
        <w:trPr>
          <w:trHeight w:val="480"/>
        </w:trPr>
        <w:tc>
          <w:tcPr>
            <w:tcW w:w="4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hideMark/>
          </w:tcPr>
          <w:p w14:paraId="1B276014" w14:textId="77777777" w:rsidR="00A85ABE" w:rsidRPr="00A85ABE" w:rsidRDefault="00A85ABE" w:rsidP="154FFC97">
            <w:pPr>
              <w:spacing w:after="160" w:line="278" w:lineRule="auto"/>
              <w:rPr>
                <w:rFonts w:ascii="Arial" w:eastAsia="Arial" w:hAnsi="Arial" w:cs="Arial"/>
                <w:b/>
                <w:bCs/>
              </w:rPr>
            </w:pPr>
            <w:proofErr w:type="gramStart"/>
            <w:r w:rsidRPr="154FFC97">
              <w:rPr>
                <w:rFonts w:ascii="Arial" w:eastAsia="Arial" w:hAnsi="Arial" w:cs="Arial"/>
                <w:b/>
                <w:bCs/>
              </w:rPr>
              <w:t>Date :</w:t>
            </w:r>
            <w:proofErr w:type="gramEnd"/>
            <w:r w:rsidRPr="154FFC97">
              <w:rPr>
                <w:rFonts w:ascii="Arial" w:eastAsia="Arial" w:hAnsi="Arial" w:cs="Arial"/>
                <w:b/>
                <w:bCs/>
              </w:rPr>
              <w:t xml:space="preserve"> </w:t>
            </w:r>
          </w:p>
        </w:tc>
        <w:tc>
          <w:tcPr>
            <w:tcW w:w="5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9896" w14:textId="57A7B6FE" w:rsidR="00A85ABE" w:rsidRPr="00A85ABE" w:rsidRDefault="00EF092E" w:rsidP="154FFC97">
            <w:pPr>
              <w:spacing w:after="160" w:line="278" w:lineRule="auto"/>
              <w:rPr>
                <w:rFonts w:ascii="Arial" w:eastAsia="Arial" w:hAnsi="Arial" w:cs="Arial"/>
                <w:b/>
                <w:bCs/>
              </w:rPr>
            </w:pPr>
            <w:r>
              <w:rPr>
                <w:rFonts w:ascii="Arial" w:eastAsia="Arial" w:hAnsi="Arial" w:cs="Arial"/>
                <w:b/>
                <w:bCs/>
              </w:rPr>
              <w:t>11/04/2026</w:t>
            </w:r>
          </w:p>
        </w:tc>
      </w:tr>
    </w:tbl>
    <w:p w14:paraId="07506227" w14:textId="77777777" w:rsidR="00A85ABE" w:rsidRPr="00A85ABE" w:rsidRDefault="00A85ABE" w:rsidP="00A85ABE">
      <w:pPr>
        <w:rPr>
          <w:rFonts w:eastAsia="Times New Roman"/>
          <w:b/>
          <w:bCs/>
          <w:sz w:val="28"/>
          <w:szCs w:val="28"/>
          <w:u w:val="single"/>
        </w:rPr>
      </w:pPr>
    </w:p>
    <w:p w14:paraId="759515AB" w14:textId="779A9B07" w:rsidR="154FFC97" w:rsidRDefault="154FFC97" w:rsidP="154FFC97">
      <w:pPr>
        <w:rPr>
          <w:rFonts w:eastAsia="Times New Roman"/>
          <w:b/>
          <w:bCs/>
          <w:sz w:val="28"/>
          <w:szCs w:val="28"/>
          <w:u w:val="single"/>
        </w:rPr>
      </w:pPr>
    </w:p>
    <w:p w14:paraId="530640FF" w14:textId="71F533D7" w:rsidR="154FFC97" w:rsidRDefault="154FFC97" w:rsidP="154FFC97">
      <w:pPr>
        <w:jc w:val="center"/>
        <w:rPr>
          <w:rFonts w:eastAsia="Times New Roman"/>
          <w:b/>
          <w:bCs/>
          <w:sz w:val="28"/>
          <w:szCs w:val="28"/>
          <w:u w:val="single"/>
        </w:rPr>
      </w:pPr>
    </w:p>
    <w:p w14:paraId="06CA0A81" w14:textId="21B67DF1" w:rsidR="154FFC97" w:rsidRDefault="154FFC97" w:rsidP="154FFC97">
      <w:pPr>
        <w:jc w:val="center"/>
        <w:rPr>
          <w:rFonts w:eastAsia="Times New Roman"/>
          <w:b/>
          <w:bCs/>
          <w:sz w:val="28"/>
          <w:szCs w:val="28"/>
          <w:u w:val="single"/>
        </w:rPr>
      </w:pPr>
    </w:p>
    <w:p w14:paraId="7E18B169" w14:textId="14DB6C6C" w:rsidR="154FFC97" w:rsidRDefault="154FFC97" w:rsidP="154FFC97">
      <w:pPr>
        <w:jc w:val="center"/>
        <w:rPr>
          <w:rFonts w:eastAsia="Times New Roman"/>
          <w:b/>
          <w:bCs/>
          <w:sz w:val="28"/>
          <w:szCs w:val="28"/>
          <w:u w:val="single"/>
        </w:rPr>
      </w:pPr>
    </w:p>
    <w:p w14:paraId="3336564E" w14:textId="7089D39C" w:rsidR="154FFC97" w:rsidRDefault="154FFC97" w:rsidP="154FFC97">
      <w:pPr>
        <w:jc w:val="center"/>
        <w:rPr>
          <w:rFonts w:eastAsia="Times New Roman"/>
          <w:b/>
          <w:bCs/>
          <w:sz w:val="28"/>
          <w:szCs w:val="28"/>
          <w:u w:val="single"/>
        </w:rPr>
      </w:pPr>
    </w:p>
    <w:p w14:paraId="31D21888" w14:textId="77777777" w:rsidR="00A85ABE" w:rsidRPr="00A85ABE" w:rsidRDefault="00A85ABE" w:rsidP="154FFC97">
      <w:pPr>
        <w:jc w:val="center"/>
        <w:rPr>
          <w:rFonts w:eastAsia="Times New Roman"/>
          <w:b/>
          <w:bCs/>
          <w:sz w:val="28"/>
          <w:szCs w:val="28"/>
          <w:u w:val="single"/>
        </w:rPr>
      </w:pPr>
      <w:r w:rsidRPr="154FFC97">
        <w:rPr>
          <w:rFonts w:eastAsia="Times New Roman"/>
          <w:b/>
          <w:bCs/>
          <w:sz w:val="28"/>
          <w:szCs w:val="28"/>
          <w:u w:val="single"/>
        </w:rPr>
        <w:t xml:space="preserve">Table of content </w:t>
      </w:r>
    </w:p>
    <w:sdt>
      <w:sdtPr>
        <w:id w:val="1139460106"/>
        <w:docPartObj>
          <w:docPartGallery w:val="Table of Contents"/>
          <w:docPartUnique/>
        </w:docPartObj>
      </w:sdtPr>
      <w:sdtContent>
        <w:p w14:paraId="72B1B596" w14:textId="12D9C9DD" w:rsidR="154FFC97" w:rsidRDefault="154FFC97" w:rsidP="154FFC97">
          <w:pPr>
            <w:pStyle w:val="TOC1"/>
            <w:tabs>
              <w:tab w:val="right" w:leader="dot" w:pos="9360"/>
            </w:tabs>
            <w:rPr>
              <w:rStyle w:val="Hyperlink"/>
              <w:rFonts w:hint="eastAsia"/>
            </w:rPr>
          </w:pPr>
          <w:r>
            <w:fldChar w:fldCharType="begin"/>
          </w:r>
          <w:r>
            <w:instrText>TOC \o "1-9" \z \u \h</w:instrText>
          </w:r>
          <w:r>
            <w:fldChar w:fldCharType="separate"/>
          </w:r>
          <w:hyperlink w:anchor="_Toc411505708">
            <w:r w:rsidRPr="154FFC97">
              <w:rPr>
                <w:rStyle w:val="Hyperlink"/>
              </w:rPr>
              <w:t>Task 1: Reflection on the Importance of Principles of Health and Social Care</w:t>
            </w:r>
            <w:r>
              <w:tab/>
            </w:r>
            <w:r>
              <w:fldChar w:fldCharType="begin"/>
            </w:r>
            <w:r>
              <w:instrText>PAGEREF _Toc411505708 \h</w:instrText>
            </w:r>
            <w:r>
              <w:fldChar w:fldCharType="separate"/>
            </w:r>
            <w:r w:rsidRPr="154FFC97">
              <w:rPr>
                <w:rStyle w:val="Hyperlink"/>
              </w:rPr>
              <w:t>2</w:t>
            </w:r>
            <w:r>
              <w:fldChar w:fldCharType="end"/>
            </w:r>
          </w:hyperlink>
        </w:p>
        <w:p w14:paraId="5D25C6CC" w14:textId="3E153829" w:rsidR="154FFC97" w:rsidRDefault="154FFC97" w:rsidP="154FFC97">
          <w:pPr>
            <w:pStyle w:val="TOC1"/>
            <w:tabs>
              <w:tab w:val="right" w:leader="dot" w:pos="9360"/>
            </w:tabs>
            <w:rPr>
              <w:rStyle w:val="Hyperlink"/>
              <w:rFonts w:hint="eastAsia"/>
            </w:rPr>
          </w:pPr>
          <w:hyperlink w:anchor="_Toc1542144143">
            <w:r w:rsidRPr="154FFC97">
              <w:rPr>
                <w:rStyle w:val="Hyperlink"/>
              </w:rPr>
              <w:t>Task 2: Practical Examples of Concepts in Practice</w:t>
            </w:r>
            <w:r>
              <w:tab/>
            </w:r>
            <w:r>
              <w:fldChar w:fldCharType="begin"/>
            </w:r>
            <w:r>
              <w:instrText>PAGEREF _Toc1542144143 \h</w:instrText>
            </w:r>
            <w:r>
              <w:fldChar w:fldCharType="separate"/>
            </w:r>
            <w:r w:rsidRPr="154FFC97">
              <w:rPr>
                <w:rStyle w:val="Hyperlink"/>
              </w:rPr>
              <w:t>4</w:t>
            </w:r>
            <w:r>
              <w:fldChar w:fldCharType="end"/>
            </w:r>
          </w:hyperlink>
        </w:p>
        <w:p w14:paraId="74C00D2E" w14:textId="25E6FC85" w:rsidR="154FFC97" w:rsidRDefault="154FFC97" w:rsidP="154FFC97">
          <w:pPr>
            <w:pStyle w:val="TOC1"/>
            <w:tabs>
              <w:tab w:val="right" w:leader="dot" w:pos="9360"/>
            </w:tabs>
            <w:rPr>
              <w:rStyle w:val="Hyperlink"/>
              <w:rFonts w:hint="eastAsia"/>
            </w:rPr>
          </w:pPr>
          <w:hyperlink w:anchor="_Toc1993023082">
            <w:r w:rsidRPr="154FFC97">
              <w:rPr>
                <w:rStyle w:val="Hyperlink"/>
              </w:rPr>
              <w:t>Task 3: Self-Reflection as a Health and Social Care Professional</w:t>
            </w:r>
            <w:r>
              <w:tab/>
            </w:r>
            <w:r>
              <w:fldChar w:fldCharType="begin"/>
            </w:r>
            <w:r>
              <w:instrText>PAGEREF _Toc1993023082 \h</w:instrText>
            </w:r>
            <w:r>
              <w:fldChar w:fldCharType="separate"/>
            </w:r>
            <w:r w:rsidRPr="154FFC97">
              <w:rPr>
                <w:rStyle w:val="Hyperlink"/>
              </w:rPr>
              <w:t>5</w:t>
            </w:r>
            <w:r>
              <w:fldChar w:fldCharType="end"/>
            </w:r>
          </w:hyperlink>
        </w:p>
        <w:p w14:paraId="109115BD" w14:textId="3A11DF9C" w:rsidR="154FFC97" w:rsidRDefault="154FFC97" w:rsidP="154FFC97">
          <w:pPr>
            <w:pStyle w:val="TOC2"/>
            <w:tabs>
              <w:tab w:val="right" w:leader="dot" w:pos="9360"/>
            </w:tabs>
            <w:rPr>
              <w:rStyle w:val="Hyperlink"/>
              <w:rFonts w:hint="eastAsia"/>
            </w:rPr>
          </w:pPr>
          <w:hyperlink w:anchor="_Toc1032333802">
            <w:r w:rsidRPr="154FFC97">
              <w:rPr>
                <w:rStyle w:val="Hyperlink"/>
              </w:rPr>
              <w:t>Applying Principles in Day-to-Day Practice</w:t>
            </w:r>
            <w:r>
              <w:tab/>
            </w:r>
            <w:r>
              <w:fldChar w:fldCharType="begin"/>
            </w:r>
            <w:r>
              <w:instrText>PAGEREF _Toc1032333802 \h</w:instrText>
            </w:r>
            <w:r>
              <w:fldChar w:fldCharType="separate"/>
            </w:r>
            <w:r w:rsidRPr="154FFC97">
              <w:rPr>
                <w:rStyle w:val="Hyperlink"/>
              </w:rPr>
              <w:t>5</w:t>
            </w:r>
            <w:r>
              <w:fldChar w:fldCharType="end"/>
            </w:r>
          </w:hyperlink>
        </w:p>
        <w:p w14:paraId="448FBBC8" w14:textId="3C2C75F3" w:rsidR="154FFC97" w:rsidRDefault="154FFC97" w:rsidP="154FFC97">
          <w:pPr>
            <w:pStyle w:val="TOC2"/>
            <w:tabs>
              <w:tab w:val="right" w:leader="dot" w:pos="9360"/>
            </w:tabs>
            <w:rPr>
              <w:rStyle w:val="Hyperlink"/>
              <w:rFonts w:hint="eastAsia"/>
            </w:rPr>
          </w:pPr>
          <w:hyperlink w:anchor="_Toc973079432">
            <w:r w:rsidRPr="154FFC97">
              <w:rPr>
                <w:rStyle w:val="Hyperlink"/>
              </w:rPr>
              <w:t>Reflection on Skills, Strengths, and Areas for Improvement</w:t>
            </w:r>
            <w:r>
              <w:tab/>
            </w:r>
            <w:r>
              <w:fldChar w:fldCharType="begin"/>
            </w:r>
            <w:r>
              <w:instrText>PAGEREF _Toc973079432 \h</w:instrText>
            </w:r>
            <w:r>
              <w:fldChar w:fldCharType="separate"/>
            </w:r>
            <w:r w:rsidRPr="154FFC97">
              <w:rPr>
                <w:rStyle w:val="Hyperlink"/>
              </w:rPr>
              <w:t>6</w:t>
            </w:r>
            <w:r>
              <w:fldChar w:fldCharType="end"/>
            </w:r>
          </w:hyperlink>
        </w:p>
        <w:p w14:paraId="1D2DC020" w14:textId="31413058" w:rsidR="154FFC97" w:rsidRDefault="154FFC97" w:rsidP="154FFC97">
          <w:pPr>
            <w:pStyle w:val="TOC2"/>
            <w:tabs>
              <w:tab w:val="right" w:leader="dot" w:pos="9360"/>
            </w:tabs>
            <w:rPr>
              <w:rStyle w:val="Hyperlink"/>
              <w:rFonts w:hint="eastAsia"/>
            </w:rPr>
          </w:pPr>
          <w:hyperlink w:anchor="_Toc714608404">
            <w:r w:rsidRPr="154FFC97">
              <w:rPr>
                <w:rStyle w:val="Hyperlink"/>
              </w:rPr>
              <w:t>Professional Growth and Future Development</w:t>
            </w:r>
            <w:r>
              <w:tab/>
            </w:r>
            <w:r>
              <w:fldChar w:fldCharType="begin"/>
            </w:r>
            <w:r>
              <w:instrText>PAGEREF _Toc714608404 \h</w:instrText>
            </w:r>
            <w:r>
              <w:fldChar w:fldCharType="separate"/>
            </w:r>
            <w:r w:rsidRPr="154FFC97">
              <w:rPr>
                <w:rStyle w:val="Hyperlink"/>
              </w:rPr>
              <w:t>7</w:t>
            </w:r>
            <w:r>
              <w:fldChar w:fldCharType="end"/>
            </w:r>
          </w:hyperlink>
        </w:p>
        <w:p w14:paraId="0E5DC9F6" w14:textId="6BAD241F" w:rsidR="154FFC97" w:rsidRDefault="154FFC97" w:rsidP="154FFC97">
          <w:pPr>
            <w:pStyle w:val="TOC1"/>
            <w:tabs>
              <w:tab w:val="right" w:leader="dot" w:pos="9360"/>
            </w:tabs>
            <w:rPr>
              <w:rStyle w:val="Hyperlink"/>
              <w:rFonts w:hint="eastAsia"/>
            </w:rPr>
          </w:pPr>
          <w:hyperlink w:anchor="_Toc2002955715">
            <w:r w:rsidRPr="154FFC97">
              <w:rPr>
                <w:rStyle w:val="Hyperlink"/>
              </w:rPr>
              <w:t>References</w:t>
            </w:r>
            <w:r>
              <w:tab/>
            </w:r>
            <w:r>
              <w:fldChar w:fldCharType="begin"/>
            </w:r>
            <w:r>
              <w:instrText>PAGEREF _Toc2002955715 \h</w:instrText>
            </w:r>
            <w:r>
              <w:fldChar w:fldCharType="separate"/>
            </w:r>
            <w:r w:rsidRPr="154FFC97">
              <w:rPr>
                <w:rStyle w:val="Hyperlink"/>
              </w:rPr>
              <w:t>8</w:t>
            </w:r>
            <w:r>
              <w:fldChar w:fldCharType="end"/>
            </w:r>
          </w:hyperlink>
          <w:r>
            <w:fldChar w:fldCharType="end"/>
          </w:r>
        </w:p>
      </w:sdtContent>
    </w:sdt>
    <w:p w14:paraId="5BA9039B" w14:textId="7AB7E2E9" w:rsidR="154FFC97" w:rsidRDefault="154FFC97" w:rsidP="154FFC97">
      <w:pPr>
        <w:rPr>
          <w:rFonts w:eastAsia="Times New Roman"/>
          <w:b/>
          <w:bCs/>
          <w:sz w:val="28"/>
          <w:szCs w:val="28"/>
        </w:rPr>
      </w:pPr>
    </w:p>
    <w:p w14:paraId="4C48AEB4" w14:textId="041DF063" w:rsidR="154FFC97" w:rsidRDefault="154FFC97" w:rsidP="154FFC97">
      <w:pPr>
        <w:rPr>
          <w:rFonts w:eastAsia="Times New Roman"/>
          <w:b/>
          <w:bCs/>
          <w:sz w:val="28"/>
          <w:szCs w:val="28"/>
        </w:rPr>
      </w:pPr>
    </w:p>
    <w:p w14:paraId="50AF22FC" w14:textId="16BF6F61" w:rsidR="154FFC97" w:rsidRDefault="154FFC97" w:rsidP="154FFC97">
      <w:pPr>
        <w:rPr>
          <w:rFonts w:eastAsia="Times New Roman"/>
          <w:b/>
          <w:bCs/>
          <w:sz w:val="28"/>
          <w:szCs w:val="28"/>
        </w:rPr>
      </w:pPr>
    </w:p>
    <w:p w14:paraId="6754E1F0" w14:textId="2F554FF6" w:rsidR="154FFC97" w:rsidRDefault="154FFC97" w:rsidP="154FFC97">
      <w:pPr>
        <w:rPr>
          <w:rFonts w:eastAsia="Times New Roman"/>
          <w:b/>
          <w:bCs/>
          <w:sz w:val="28"/>
          <w:szCs w:val="28"/>
        </w:rPr>
      </w:pPr>
    </w:p>
    <w:p w14:paraId="5CA5A881" w14:textId="6F776186" w:rsidR="154FFC97" w:rsidRDefault="154FFC97" w:rsidP="154FFC97">
      <w:pPr>
        <w:rPr>
          <w:rFonts w:eastAsia="Times New Roman"/>
          <w:b/>
          <w:bCs/>
          <w:sz w:val="28"/>
          <w:szCs w:val="28"/>
        </w:rPr>
      </w:pPr>
    </w:p>
    <w:p w14:paraId="1486EE70" w14:textId="25F707EE" w:rsidR="154FFC97" w:rsidRDefault="154FFC97" w:rsidP="154FFC97">
      <w:pPr>
        <w:rPr>
          <w:rFonts w:eastAsia="Times New Roman"/>
          <w:b/>
          <w:bCs/>
          <w:sz w:val="28"/>
          <w:szCs w:val="28"/>
        </w:rPr>
      </w:pPr>
    </w:p>
    <w:p w14:paraId="3A3A51D2" w14:textId="2104BDF5" w:rsidR="154FFC97" w:rsidRDefault="154FFC97" w:rsidP="154FFC97">
      <w:pPr>
        <w:rPr>
          <w:rFonts w:eastAsia="Times New Roman"/>
          <w:b/>
          <w:bCs/>
          <w:sz w:val="28"/>
          <w:szCs w:val="28"/>
        </w:rPr>
      </w:pPr>
    </w:p>
    <w:p w14:paraId="5D073D62" w14:textId="2BE1848B" w:rsidR="154FFC97" w:rsidRDefault="154FFC97" w:rsidP="154FFC97">
      <w:pPr>
        <w:rPr>
          <w:rFonts w:eastAsia="Times New Roman"/>
          <w:b/>
          <w:bCs/>
          <w:sz w:val="28"/>
          <w:szCs w:val="28"/>
        </w:rPr>
      </w:pPr>
    </w:p>
    <w:p w14:paraId="5CCD5170" w14:textId="44A793DE" w:rsidR="154FFC97" w:rsidRDefault="154FFC97" w:rsidP="154FFC97">
      <w:pPr>
        <w:rPr>
          <w:rFonts w:eastAsia="Times New Roman"/>
          <w:b/>
          <w:bCs/>
          <w:sz w:val="28"/>
          <w:szCs w:val="28"/>
        </w:rPr>
      </w:pPr>
    </w:p>
    <w:p w14:paraId="1AC556B9" w14:textId="7B46ACD9" w:rsidR="154FFC97" w:rsidRDefault="154FFC97" w:rsidP="154FFC97">
      <w:pPr>
        <w:rPr>
          <w:rFonts w:eastAsia="Times New Roman"/>
          <w:b/>
          <w:bCs/>
          <w:sz w:val="28"/>
          <w:szCs w:val="28"/>
        </w:rPr>
      </w:pPr>
    </w:p>
    <w:p w14:paraId="0669F6E1" w14:textId="71362C03" w:rsidR="154FFC97" w:rsidRDefault="154FFC97" w:rsidP="154FFC97">
      <w:pPr>
        <w:rPr>
          <w:rFonts w:eastAsia="Times New Roman"/>
          <w:b/>
          <w:bCs/>
          <w:sz w:val="28"/>
          <w:szCs w:val="28"/>
        </w:rPr>
      </w:pPr>
    </w:p>
    <w:p w14:paraId="418BC2DF" w14:textId="441A312E" w:rsidR="154FFC97" w:rsidRDefault="154FFC97" w:rsidP="154FFC97">
      <w:pPr>
        <w:rPr>
          <w:rFonts w:eastAsia="Times New Roman"/>
          <w:b/>
          <w:bCs/>
          <w:sz w:val="28"/>
          <w:szCs w:val="28"/>
        </w:rPr>
      </w:pPr>
    </w:p>
    <w:p w14:paraId="50311C69" w14:textId="2FA1DEEC" w:rsidR="154FFC97" w:rsidRDefault="154FFC97" w:rsidP="154FFC97">
      <w:pPr>
        <w:rPr>
          <w:rFonts w:eastAsia="Times New Roman"/>
          <w:b/>
          <w:bCs/>
          <w:sz w:val="28"/>
          <w:szCs w:val="28"/>
        </w:rPr>
      </w:pPr>
    </w:p>
    <w:p w14:paraId="07436B6F" w14:textId="289C6DC1" w:rsidR="0E4F4672" w:rsidRDefault="0E4F4672" w:rsidP="154FFC97">
      <w:pPr>
        <w:pStyle w:val="Heading1"/>
        <w:spacing w:line="360" w:lineRule="auto"/>
        <w:jc w:val="both"/>
        <w:rPr>
          <w:rFonts w:ascii="Arial" w:eastAsia="Arial" w:hAnsi="Arial" w:cs="Arial"/>
          <w:b/>
          <w:bCs/>
          <w:color w:val="0F4761" w:themeColor="accent1" w:themeShade="BF"/>
        </w:rPr>
      </w:pPr>
      <w:bookmarkStart w:id="0" w:name="_Toc411505708"/>
      <w:r w:rsidRPr="154FFC97">
        <w:rPr>
          <w:rFonts w:ascii="Arial" w:eastAsia="Arial" w:hAnsi="Arial" w:cs="Arial"/>
          <w:b/>
          <w:bCs/>
          <w:color w:val="0F4761" w:themeColor="accent1" w:themeShade="BF"/>
        </w:rPr>
        <w:t>Task 1: Reflection on the Importance of Principles of Health and Social Care</w:t>
      </w:r>
      <w:bookmarkEnd w:id="0"/>
    </w:p>
    <w:p w14:paraId="2B176564" w14:textId="6C929EB3" w:rsidR="0E4F4672" w:rsidRDefault="0E4F4672" w:rsidP="154FFC97">
      <w:pPr>
        <w:spacing w:line="360" w:lineRule="auto"/>
        <w:jc w:val="both"/>
        <w:rPr>
          <w:rFonts w:ascii="Arial" w:eastAsia="Arial" w:hAnsi="Arial" w:cs="Arial"/>
        </w:rPr>
      </w:pPr>
      <w:r w:rsidRPr="154FFC97">
        <w:rPr>
          <w:rFonts w:ascii="Arial" w:eastAsia="Arial" w:hAnsi="Arial" w:cs="Arial"/>
        </w:rPr>
        <w:lastRenderedPageBreak/>
        <w:t>The UK health and social care practice is based on the principles to facilitate safe, ethical, and effective service provision. This practice is based on person-centred care, partnership working and ethics. They make sure that people are treated with dignity, respect, and fairness and the individuals who work in the field are professionals and of high standards. Person-centred care is concerned with addressing the personal needs, preferences as well as values of the service users. An individual is regarded as an individual, and his or her experiences, desires, and capabilities will influence the assistance (Kitwood, 1997). The focus of this approach is on prioritising psychological, social, and emotional well-being. One of the main issues in this regard is that the care must be personalised realistically in a busy healthcare environment with scarce resources and time. The use of the hierarchy of needs allows emphasizing the fact that the focus should be on the security and belonging that are higher in the hierarchy of needs first, and the further targeting of more advanced goals such as self-esteem and independence afterwards (Maslow, 1943).</w:t>
      </w:r>
    </w:p>
    <w:p w14:paraId="59FDB509" w14:textId="6A47B77E" w:rsidR="0E4F4672" w:rsidRDefault="0E4F4672" w:rsidP="154FFC97">
      <w:pPr>
        <w:spacing w:line="360" w:lineRule="auto"/>
        <w:jc w:val="both"/>
        <w:rPr>
          <w:rFonts w:ascii="Arial" w:eastAsia="Arial" w:hAnsi="Arial" w:cs="Arial"/>
        </w:rPr>
      </w:pPr>
      <w:r w:rsidRPr="154FFC97">
        <w:rPr>
          <w:rFonts w:ascii="Arial" w:eastAsia="Arial" w:hAnsi="Arial" w:cs="Arial"/>
        </w:rPr>
        <w:t xml:space="preserve">Partnership working is a way of ensuring effective cooperation among various professionals, patients, families, and organisations in the provision of coordinated care. Patient outcomes can be </w:t>
      </w:r>
      <w:r w:rsidR="0B357548" w:rsidRPr="154FFC97">
        <w:rPr>
          <w:rFonts w:ascii="Arial" w:eastAsia="Arial" w:hAnsi="Arial" w:cs="Arial"/>
        </w:rPr>
        <w:t>enhanced,</w:t>
      </w:r>
      <w:r w:rsidRPr="154FFC97">
        <w:rPr>
          <w:rFonts w:ascii="Arial" w:eastAsia="Arial" w:hAnsi="Arial" w:cs="Arial"/>
        </w:rPr>
        <w:t xml:space="preserve"> and errors can be minimized through effective communication, joint decision-making and shared responsibility (Glasby &amp; Dickinson, 2014). This is not riskless, given that the mutual professional concerns and organisational demands may occasionally lead to the tension or confusion. To work together, it is necessary to balance such views, not forgetting about a focus on the service user. Professional conduct, behaviours and decisions are governed by ethics in health and social care. Ethical practices are based on principles like beneficence, non-maleficence, autonomy and justice. Informed consent, safeguarding, and confidentiality are the key elements (HCPC, 2016; NMC, 2018). This can be hard to accomplish when there are ethical issues like the one in which patient decisions go against clinical advice or organisational policies. Such situations require professionals to find a balance of various legislation, professional codes, and reflective practices. A combination of these principles contributes to the quality of care in the UK. Their provision of a safe, collaborative and ethical practice structure improves patient outcomes and professional accountability. The integration of theory and practical advice will enable the health and social care </w:t>
      </w:r>
      <w:r w:rsidRPr="154FFC97">
        <w:rPr>
          <w:rFonts w:ascii="Arial" w:eastAsia="Arial" w:hAnsi="Arial" w:cs="Arial"/>
        </w:rPr>
        <w:lastRenderedPageBreak/>
        <w:t>practitioners to provide care in a manner that is sensitive and responsive towards individual needs without violating the law or professional ethics. One of the problems is the ability to maintain such an approach regularly, particularly in multifaceted and high-pressure conditions.</w:t>
      </w:r>
    </w:p>
    <w:p w14:paraId="585C2291" w14:textId="41014439" w:rsidR="154FFC97" w:rsidRDefault="154FFC97" w:rsidP="154FFC97">
      <w:pPr>
        <w:spacing w:line="360" w:lineRule="auto"/>
        <w:jc w:val="both"/>
        <w:rPr>
          <w:rFonts w:ascii="Arial" w:eastAsia="Arial" w:hAnsi="Arial" w:cs="Arial"/>
        </w:rPr>
      </w:pPr>
    </w:p>
    <w:p w14:paraId="4F75A5BA" w14:textId="55EFEC06" w:rsidR="7F4135B5" w:rsidRDefault="7F4135B5" w:rsidP="154FFC97">
      <w:pPr>
        <w:pStyle w:val="Heading1"/>
        <w:spacing w:line="360" w:lineRule="auto"/>
        <w:jc w:val="both"/>
        <w:rPr>
          <w:rFonts w:ascii="Arial" w:eastAsia="Arial" w:hAnsi="Arial" w:cs="Arial"/>
          <w:b/>
          <w:bCs/>
          <w:color w:val="0F4761" w:themeColor="accent1" w:themeShade="BF"/>
        </w:rPr>
      </w:pPr>
      <w:bookmarkStart w:id="1" w:name="_Toc1542144143"/>
      <w:r w:rsidRPr="154FFC97">
        <w:rPr>
          <w:rFonts w:ascii="Arial" w:eastAsia="Arial" w:hAnsi="Arial" w:cs="Arial"/>
          <w:b/>
          <w:bCs/>
          <w:color w:val="0F4761" w:themeColor="accent1" w:themeShade="BF"/>
        </w:rPr>
        <w:t>Task 2: Practical Examples of Concepts in Practice</w:t>
      </w:r>
      <w:bookmarkEnd w:id="1"/>
    </w:p>
    <w:p w14:paraId="0C6A42C7" w14:textId="29CA46B4" w:rsidR="0C208DC8" w:rsidRDefault="0C208DC8" w:rsidP="154FFC97">
      <w:pPr>
        <w:spacing w:line="360" w:lineRule="auto"/>
        <w:jc w:val="both"/>
        <w:rPr>
          <w:rFonts w:ascii="Arial" w:eastAsia="Arial" w:hAnsi="Arial" w:cs="Arial"/>
        </w:rPr>
      </w:pPr>
      <w:r w:rsidRPr="154FFC97">
        <w:rPr>
          <w:rFonts w:ascii="Arial" w:eastAsia="Arial" w:hAnsi="Arial" w:cs="Arial"/>
        </w:rPr>
        <w:t xml:space="preserve">Person-centred care, partnership working and ethics are the key principles that are implemented </w:t>
      </w:r>
      <w:proofErr w:type="gramStart"/>
      <w:r w:rsidRPr="154FFC97">
        <w:rPr>
          <w:rFonts w:ascii="Arial" w:eastAsia="Arial" w:hAnsi="Arial" w:cs="Arial"/>
        </w:rPr>
        <w:t>on a daily basis</w:t>
      </w:r>
      <w:proofErr w:type="gramEnd"/>
      <w:r w:rsidRPr="154FFC97">
        <w:rPr>
          <w:rFonts w:ascii="Arial" w:eastAsia="Arial" w:hAnsi="Arial" w:cs="Arial"/>
        </w:rPr>
        <w:t xml:space="preserve"> in health and social care settings in the UK to enhance patient outcomes. A vivid example is in the community mental health services where people with complex needs in mental health are coordinately assisted by multi-disciplinary teams. Person-centred care is evident in situations where the care plans are made according to the likes, capabilities, and objectives of an individual. An example is that an individual dealing with depression might appreciate day by day schedules and socialization to make up his or her healing. Having these priorities in mind, the professionals will be able to develop a plan that will help to balance therapy sessions, social activities, and self-care strategies. These single needs are a sign of the Maslow hierarchy in which the security, belonging, and esteem needs are met before any other higher aspirations (Maslow, 1943). The most significant issue in this case is that it is difficult to sustain this degree of personalisation of several service users at once as time and organisational pressures may constrain flexibility</w:t>
      </w:r>
    </w:p>
    <w:p w14:paraId="771A77E4" w14:textId="39337EDF" w:rsidR="0C208DC8" w:rsidRDefault="0C208DC8" w:rsidP="154FFC97">
      <w:pPr>
        <w:spacing w:line="360" w:lineRule="auto"/>
        <w:jc w:val="both"/>
        <w:rPr>
          <w:rFonts w:ascii="Arial" w:eastAsia="Arial" w:hAnsi="Arial" w:cs="Arial"/>
        </w:rPr>
      </w:pPr>
      <w:r w:rsidRPr="154FFC97">
        <w:rPr>
          <w:rFonts w:ascii="Arial" w:eastAsia="Arial" w:hAnsi="Arial" w:cs="Arial"/>
        </w:rPr>
        <w:t>Effective delivery of care depends on partnership working. The collaboration of nurses, social workers, occupational therapists, and psychiatrists on a multidisciplinary basis enables them to share duties and take care of all the facets of work (Glasby &amp; Dickinson, 2014). This may involve periodic team meetings, in which updates are provided, risks are evaluated, and strategies are developed together. The family involvement is also necessary, as it may facilitate the recovery and offer useful insights into the needs of the service user. This does not come without a risk because it is possible that due to the disagreements or priorities among the professionals or even family members, decision-making may get tricky. These issues are dealt with through clear communication, scheduled meetings and common objectives.</w:t>
      </w:r>
    </w:p>
    <w:p w14:paraId="43836AB7" w14:textId="33B9FD95" w:rsidR="0C208DC8" w:rsidRDefault="0C208DC8" w:rsidP="154FFC97">
      <w:pPr>
        <w:spacing w:line="360" w:lineRule="auto"/>
        <w:jc w:val="both"/>
        <w:rPr>
          <w:rFonts w:ascii="Arial" w:eastAsia="Arial" w:hAnsi="Arial" w:cs="Arial"/>
        </w:rPr>
      </w:pPr>
      <w:r w:rsidRPr="154FFC97">
        <w:rPr>
          <w:rFonts w:ascii="Arial" w:eastAsia="Arial" w:hAnsi="Arial" w:cs="Arial"/>
        </w:rPr>
        <w:lastRenderedPageBreak/>
        <w:t>Ethical practice helps in decision-making during the process of care. To demonstrate, when a patient declines a certain treatment, the professionals should respect his/her autonomy and strike a balance between the duty of care. Laws like the Mental Capacity Act 2005 provide protection to those patients who might not have adequate capacity to make decisions and there are guardians that protect them against harm (HM Government, 2005). Ethical considerations such as beneficence and non-maleficence can be used to inform these decisions, making sure that interventions are as beneficial at as they can be and as harmless as possible. This could be hard to accomplish when patient decisions are against professional suggestions or organisational limits. The combination of the two principles improves the quality of care. Person-centred methods will make sure that the care provided is meaningful to the individual, partnership working will ensure coordination of support, ethical practice will guard the rights and well-being of the users of the services. It has been proven that this approach enhances engagement, satisfaction, and recovery in mental health environments (CQC, 2020). Also, the adherence to existing policies and guidelines, such as the protection standards, will guarantee legal responsiveness and professional responsibility.</w:t>
      </w:r>
    </w:p>
    <w:p w14:paraId="19839803" w14:textId="0986844E" w:rsidR="0C208DC8" w:rsidRDefault="0C208DC8" w:rsidP="154FFC97">
      <w:pPr>
        <w:spacing w:line="360" w:lineRule="auto"/>
        <w:jc w:val="both"/>
        <w:rPr>
          <w:rFonts w:ascii="Arial" w:eastAsia="Arial" w:hAnsi="Arial" w:cs="Arial"/>
        </w:rPr>
      </w:pPr>
      <w:r w:rsidRPr="154FFC97">
        <w:rPr>
          <w:rFonts w:ascii="Arial" w:eastAsia="Arial" w:hAnsi="Arial" w:cs="Arial"/>
        </w:rPr>
        <w:t>Finally, the practical use of these concepts in the real world shows that theory, policy, and ethics are used together to deliver holistic care. Individual needs identification, collaboration, and ethical principles allow working professionals to resolve issues efficiently and enhance patient care. One of the major obstacles is always to apply these principles in times of stress but they can be reduced through reflective practice and following instructions.</w:t>
      </w:r>
    </w:p>
    <w:p w14:paraId="08D01BB6" w14:textId="0FD3CBAE" w:rsidR="0C208DC8" w:rsidRDefault="0C208DC8" w:rsidP="154FFC97">
      <w:pPr>
        <w:pStyle w:val="Heading1"/>
        <w:spacing w:line="360" w:lineRule="auto"/>
        <w:jc w:val="both"/>
        <w:rPr>
          <w:rFonts w:ascii="Arial" w:eastAsia="Arial" w:hAnsi="Arial" w:cs="Arial"/>
          <w:b/>
          <w:bCs/>
          <w:color w:val="0F4761" w:themeColor="accent1" w:themeShade="BF"/>
        </w:rPr>
      </w:pPr>
      <w:bookmarkStart w:id="2" w:name="_Toc1993023082"/>
      <w:r w:rsidRPr="154FFC97">
        <w:rPr>
          <w:rFonts w:ascii="Arial" w:eastAsia="Arial" w:hAnsi="Arial" w:cs="Arial"/>
          <w:b/>
          <w:bCs/>
          <w:color w:val="0F4761" w:themeColor="accent1" w:themeShade="BF"/>
        </w:rPr>
        <w:t>Task 3: Self-Reflection as a Health and Social Care Professional</w:t>
      </w:r>
      <w:bookmarkEnd w:id="2"/>
    </w:p>
    <w:p w14:paraId="1B294422" w14:textId="0F112A28" w:rsidR="674C1064" w:rsidRDefault="674C1064" w:rsidP="154FFC97">
      <w:pPr>
        <w:pStyle w:val="Heading2"/>
        <w:spacing w:line="360" w:lineRule="auto"/>
        <w:jc w:val="both"/>
        <w:rPr>
          <w:rFonts w:ascii="Arial" w:eastAsia="Arial" w:hAnsi="Arial" w:cs="Arial"/>
          <w:b/>
          <w:bCs/>
        </w:rPr>
      </w:pPr>
      <w:bookmarkStart w:id="3" w:name="_Toc1032333802"/>
      <w:r w:rsidRPr="154FFC97">
        <w:rPr>
          <w:rFonts w:ascii="Arial" w:eastAsia="Arial" w:hAnsi="Arial" w:cs="Arial"/>
          <w:b/>
          <w:bCs/>
        </w:rPr>
        <w:t>Applying Principles in Day-to-Day Practice</w:t>
      </w:r>
      <w:bookmarkEnd w:id="3"/>
    </w:p>
    <w:p w14:paraId="36385DB2" w14:textId="206BAEDC" w:rsidR="4378BAF1" w:rsidRDefault="4378BAF1" w:rsidP="154FFC97">
      <w:pPr>
        <w:spacing w:line="360" w:lineRule="auto"/>
        <w:jc w:val="both"/>
        <w:rPr>
          <w:rFonts w:ascii="Arial" w:eastAsia="Arial" w:hAnsi="Arial" w:cs="Arial"/>
        </w:rPr>
      </w:pPr>
      <w:r w:rsidRPr="154FFC97">
        <w:rPr>
          <w:rFonts w:ascii="Arial" w:eastAsia="Arial" w:hAnsi="Arial" w:cs="Arial"/>
        </w:rPr>
        <w:t xml:space="preserve">Person-centred care, partnership working and ethics are the elements that I always strive to incorporate in my everyday practice as a health and social care professional. My practice is based on the concept of person-centred care because I would like to comprehend the preferences, abilities, and values of every individual. As an example, I do not impose standardised interventions on a person with long-term physical or mental health conditions, prioritising their personal objectives, i. e., to retain their independence </w:t>
      </w:r>
      <w:r w:rsidRPr="154FFC97">
        <w:rPr>
          <w:rFonts w:ascii="Arial" w:eastAsia="Arial" w:hAnsi="Arial" w:cs="Arial"/>
        </w:rPr>
        <w:lastRenderedPageBreak/>
        <w:t xml:space="preserve">or enjoy themselves in social life. This will be according to the hierarchy of needs, which Maslow highlighted, where the first needs to be secured will be safety and belonging before self-actualisation (Maslow, 1943). One difficulty in this regard is fulfilling these individualised methods with the demands of the organisation, time constraints or staffing demands that may at times hinder a person to care wholly to the individual. The other critical part of my day-to-day practice is partnership working. I also work closely with colleagues of other disciplines, such as nurses, social workers, and occupational therapists, to coordinate and make care plans comprehensive. This is frequently done in practice by participating in multi-disciplinary meetings, exchanging observations and reviewing progress together. Involvement of families and carers is also crucial since they have a different understanding of the needs of the person and can assist intervention even when there is no formal care facility. This comes at a cost, and this is because there are sometimes some strains arising out of divergent professional viewpoints or family demands. Open communication, respect and clearly defined roles assist me to cope with such situations and stay focused on the service user. All my decisions are made </w:t>
      </w:r>
      <w:proofErr w:type="gramStart"/>
      <w:r w:rsidRPr="154FFC97">
        <w:rPr>
          <w:rFonts w:ascii="Arial" w:eastAsia="Arial" w:hAnsi="Arial" w:cs="Arial"/>
        </w:rPr>
        <w:t>on the basis of</w:t>
      </w:r>
      <w:proofErr w:type="gramEnd"/>
      <w:r w:rsidRPr="154FFC97">
        <w:rPr>
          <w:rFonts w:ascii="Arial" w:eastAsia="Arial" w:hAnsi="Arial" w:cs="Arial"/>
        </w:rPr>
        <w:t xml:space="preserve"> ethical practice. Based on the recommendations provided by the Health and Care Professions Council (HCPC) and the Nursing and Midwifery Council (NMC), I value confidentiality, informed consent, and autonomy respect (HCPC, 2016; NMC, 2018). An example is when a service user decides to reject a recommended intervention, I will endeavor to find out the reasoning behind it, ensure that he or she is well informed on the risks and benefits of the intervention and respect his or her choice. This might prove to be a challenge when there is a concern of safety and ethics must be thought over and weighing the same with other colleagues. With these principles, I will be able to deliver a safe, ethical, and responsive individual-centered care through persistent applications of these principles. Looking back at my practice, I believe that I should incorporate theory, policy, and ethics into my daily decision-making by keeping not only care but also professionally responsible.</w:t>
      </w:r>
    </w:p>
    <w:p w14:paraId="38CBF42E" w14:textId="380E9AA8" w:rsidR="4378BAF1" w:rsidRDefault="4378BAF1" w:rsidP="154FFC97">
      <w:pPr>
        <w:pStyle w:val="Heading2"/>
        <w:spacing w:line="360" w:lineRule="auto"/>
        <w:jc w:val="both"/>
        <w:rPr>
          <w:rFonts w:ascii="Arial" w:eastAsia="Arial" w:hAnsi="Arial" w:cs="Arial"/>
          <w:b/>
          <w:bCs/>
        </w:rPr>
      </w:pPr>
      <w:bookmarkStart w:id="4" w:name="_Toc973079432"/>
      <w:r w:rsidRPr="154FFC97">
        <w:rPr>
          <w:rFonts w:ascii="Arial" w:eastAsia="Arial" w:hAnsi="Arial" w:cs="Arial"/>
          <w:b/>
          <w:bCs/>
        </w:rPr>
        <w:t>Reflection on Skills, Strengths, and Areas for Improvement</w:t>
      </w:r>
      <w:bookmarkEnd w:id="4"/>
    </w:p>
    <w:p w14:paraId="7B1ACCAD" w14:textId="0489181B" w:rsidR="4378BAF1" w:rsidRDefault="4378BAF1" w:rsidP="154FFC97">
      <w:pPr>
        <w:spacing w:line="360" w:lineRule="auto"/>
        <w:jc w:val="both"/>
        <w:rPr>
          <w:rFonts w:ascii="Arial" w:eastAsia="Arial" w:hAnsi="Arial" w:cs="Arial"/>
        </w:rPr>
      </w:pPr>
      <w:r w:rsidRPr="154FFC97">
        <w:rPr>
          <w:rFonts w:ascii="Arial" w:eastAsia="Arial" w:hAnsi="Arial" w:cs="Arial"/>
        </w:rPr>
        <w:t xml:space="preserve">In my reflection of my practice as a health and social care professional, I understand the strengths that I possess that can facilitate the provision of quality care. Communication is </w:t>
      </w:r>
      <w:r w:rsidRPr="154FFC97">
        <w:rPr>
          <w:rFonts w:ascii="Arial" w:eastAsia="Arial" w:hAnsi="Arial" w:cs="Arial"/>
        </w:rPr>
        <w:lastRenderedPageBreak/>
        <w:t xml:space="preserve">an essential skill; I am a good listener, I ensure the service users comprehend their care choice. This is in favour of person-centred care as it engages individuals in decision-making and consideration of their preferences as per Kitwoods perspective of personhood where personhood </w:t>
      </w:r>
      <w:proofErr w:type="gramStart"/>
      <w:r w:rsidRPr="154FFC97">
        <w:rPr>
          <w:rFonts w:ascii="Arial" w:eastAsia="Arial" w:hAnsi="Arial" w:cs="Arial"/>
        </w:rPr>
        <w:t>is considered to be</w:t>
      </w:r>
      <w:proofErr w:type="gramEnd"/>
      <w:r w:rsidRPr="154FFC97">
        <w:rPr>
          <w:rFonts w:ascii="Arial" w:eastAsia="Arial" w:hAnsi="Arial" w:cs="Arial"/>
        </w:rPr>
        <w:t xml:space="preserve"> valuable to the experience and identity of each person (Kitwood, 1997). Another strength is empathy that allows me to be sensitive to emotional and psychological needs especially those who are chronically ill or socially isolated. Addressing issues with validity leads to trust, engagement, and positive results. Confidence is also in partnership working. I engage in multi-disciplinary meetings, make observations, and facilitate the discussion of holistic care plans with colleagues. Carer and family involvement promotes continuity of the care and interventions that are realistic. Nonetheless, the incompatibility of professional values may be a source of conflict, and the major issue is to balance and remain effective in collaboration and respond to opposing views (Glasby and Dickinson, 2014). Although these strengths are there, I realise where I am weak. In complex situations like when the choice made by the service users is in opposition to the recommendations of the professional or organisational policies, a decision maker must think carefully. Designing principles of beneficence, non-maleficence, and autonomy under high pressure conditions may be challenging (HCPC, 2016). Also, as I consider the results of my practice, I will make more organized reflections with the help of systematic frameworks like the Reflective Cycle by Gibbs to assist learning and personal development (Gibbs, 1988). To accommodate these areas, I will consider a constant professional growth by participating in ethics, mentoring, and legislation review like the Care Act 2014 and the safeguarding guidelines (HM Government, 2014). By enhancing such skills, I will enhance the quality-of-care delivery and discover ways to make my practice consistent with the changing standards of health and social care in the UK.</w:t>
      </w:r>
    </w:p>
    <w:p w14:paraId="329B5440" w14:textId="3225501B" w:rsidR="4378BAF1" w:rsidRDefault="4378BAF1" w:rsidP="154FFC97">
      <w:pPr>
        <w:pStyle w:val="Heading2"/>
        <w:spacing w:line="360" w:lineRule="auto"/>
        <w:jc w:val="both"/>
        <w:rPr>
          <w:rFonts w:ascii="Arial" w:eastAsia="Arial" w:hAnsi="Arial" w:cs="Arial"/>
          <w:b/>
          <w:bCs/>
        </w:rPr>
      </w:pPr>
      <w:bookmarkStart w:id="5" w:name="_Toc714608404"/>
      <w:r w:rsidRPr="154FFC97">
        <w:rPr>
          <w:rFonts w:ascii="Arial" w:eastAsia="Arial" w:hAnsi="Arial" w:cs="Arial"/>
          <w:b/>
          <w:bCs/>
        </w:rPr>
        <w:t>Professional Growth and Future Development</w:t>
      </w:r>
      <w:bookmarkEnd w:id="5"/>
    </w:p>
    <w:p w14:paraId="4C99E79C" w14:textId="6F0E0AFA" w:rsidR="4378BAF1" w:rsidRDefault="4378BAF1" w:rsidP="154FFC97">
      <w:pPr>
        <w:spacing w:line="360" w:lineRule="auto"/>
        <w:jc w:val="both"/>
        <w:rPr>
          <w:rFonts w:ascii="Arial" w:eastAsia="Arial" w:hAnsi="Arial" w:cs="Arial"/>
        </w:rPr>
      </w:pPr>
      <w:r w:rsidRPr="154FFC97">
        <w:rPr>
          <w:rFonts w:ascii="Arial" w:eastAsia="Arial" w:hAnsi="Arial" w:cs="Arial"/>
        </w:rPr>
        <w:t xml:space="preserve">In the future, the philosophy of person-centred care, partnership working, and ethics will remain influential in my career development. I want to apply the principles on a regular basis by making sure that the care plans are personalized, include families and respect autonomy. Knowing about such theories as the hierarchy by Maslow makes me able to </w:t>
      </w:r>
      <w:r w:rsidRPr="154FFC97">
        <w:rPr>
          <w:rFonts w:ascii="Arial" w:eastAsia="Arial" w:hAnsi="Arial" w:cs="Arial"/>
        </w:rPr>
        <w:lastRenderedPageBreak/>
        <w:t xml:space="preserve">prioritize my needs, and codes of practice and law, such as the Care Act 2014 and the safeguarding guidance can offer me a framework of safe and responsible practice (Maslow, 1943; HM Government, 2014). As a way of growing, I intend to undertake </w:t>
      </w:r>
      <w:proofErr w:type="gramStart"/>
      <w:r w:rsidRPr="154FFC97">
        <w:rPr>
          <w:rFonts w:ascii="Arial" w:eastAsia="Arial" w:hAnsi="Arial" w:cs="Arial"/>
        </w:rPr>
        <w:t>life long</w:t>
      </w:r>
      <w:proofErr w:type="gramEnd"/>
      <w:r w:rsidRPr="154FFC97">
        <w:rPr>
          <w:rFonts w:ascii="Arial" w:eastAsia="Arial" w:hAnsi="Arial" w:cs="Arial"/>
        </w:rPr>
        <w:t xml:space="preserve"> learning by engaging in continuous professional development. This involves attending ethical practice workshops, having reflective practice sessions and getting advice on his/her practice form more experienced colleagues. Applying such structured models as the Reflective Cycle by Gibbs will enable me to critique my choices and find what I have learned and implement some improvements in the practice in the future (Gibbs, 1988). I also intend to improve collaboration skills through improving inter-professional communication and conflict management so that partnership working is effective. One of the most significant issues will be the constant incorporation of ethical decision-making in areas of fast-paced and high pressure. By doing so, I will be able to improve my competence, confidence and the capacity to deliver high-quality and person-centred care. These measures will aid my continuous growth and make sure that I am able to serve the sector of health and social care in UK constructively. </w:t>
      </w:r>
    </w:p>
    <w:p w14:paraId="504CFD0B" w14:textId="24C99D33" w:rsidR="154FFC97" w:rsidRDefault="154FFC97" w:rsidP="154FFC97">
      <w:pPr>
        <w:spacing w:line="360" w:lineRule="auto"/>
        <w:jc w:val="both"/>
        <w:rPr>
          <w:rFonts w:ascii="Arial" w:eastAsia="Arial" w:hAnsi="Arial" w:cs="Arial"/>
        </w:rPr>
      </w:pPr>
    </w:p>
    <w:p w14:paraId="684EBD79" w14:textId="6C64CE05" w:rsidR="154FFC97" w:rsidRDefault="154FFC97" w:rsidP="154FFC97">
      <w:pPr>
        <w:spacing w:line="360" w:lineRule="auto"/>
        <w:jc w:val="both"/>
        <w:rPr>
          <w:rFonts w:ascii="Arial" w:eastAsia="Arial" w:hAnsi="Arial" w:cs="Arial"/>
        </w:rPr>
      </w:pPr>
    </w:p>
    <w:p w14:paraId="74AC6A5D" w14:textId="60A3EB7E" w:rsidR="154FFC97" w:rsidRDefault="154FFC97" w:rsidP="154FFC97">
      <w:pPr>
        <w:spacing w:line="360" w:lineRule="auto"/>
        <w:jc w:val="both"/>
        <w:rPr>
          <w:rFonts w:ascii="Arial" w:eastAsia="Arial" w:hAnsi="Arial" w:cs="Arial"/>
        </w:rPr>
      </w:pPr>
    </w:p>
    <w:p w14:paraId="14835258" w14:textId="7DA61470" w:rsidR="154FFC97" w:rsidRDefault="154FFC97" w:rsidP="154FFC97">
      <w:pPr>
        <w:spacing w:line="360" w:lineRule="auto"/>
        <w:jc w:val="both"/>
        <w:rPr>
          <w:rFonts w:ascii="Arial" w:eastAsia="Arial" w:hAnsi="Arial" w:cs="Arial"/>
        </w:rPr>
      </w:pPr>
    </w:p>
    <w:p w14:paraId="05D9A757" w14:textId="5960A9B0" w:rsidR="154FFC97" w:rsidRDefault="154FFC97" w:rsidP="154FFC97">
      <w:pPr>
        <w:spacing w:line="360" w:lineRule="auto"/>
        <w:jc w:val="both"/>
        <w:rPr>
          <w:rFonts w:ascii="Arial" w:eastAsia="Arial" w:hAnsi="Arial" w:cs="Arial"/>
        </w:rPr>
      </w:pPr>
    </w:p>
    <w:p w14:paraId="4E0744F4" w14:textId="409DEC19" w:rsidR="088C2068" w:rsidRDefault="088C2068" w:rsidP="154FFC97">
      <w:pPr>
        <w:pStyle w:val="Heading1"/>
        <w:rPr>
          <w:rFonts w:hint="eastAsia"/>
          <w:b/>
          <w:bCs/>
          <w:color w:val="0F4761" w:themeColor="accent1" w:themeShade="BF"/>
        </w:rPr>
      </w:pPr>
      <w:bookmarkStart w:id="6" w:name="_Toc2002955715"/>
      <w:r w:rsidRPr="154FFC97">
        <w:rPr>
          <w:b/>
          <w:bCs/>
          <w:color w:val="0F4761" w:themeColor="accent1" w:themeShade="BF"/>
        </w:rPr>
        <w:t>References</w:t>
      </w:r>
      <w:bookmarkEnd w:id="6"/>
      <w:r w:rsidRPr="154FFC97">
        <w:rPr>
          <w:b/>
          <w:bCs/>
          <w:color w:val="0F4761" w:themeColor="accent1" w:themeShade="BF"/>
        </w:rPr>
        <w:t xml:space="preserve"> </w:t>
      </w:r>
    </w:p>
    <w:p w14:paraId="429CF4E4" w14:textId="7609D76F"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Care Quality Commission (CQC) (2020) </w:t>
      </w:r>
      <w:r w:rsidRPr="154FFC97">
        <w:rPr>
          <w:rFonts w:ascii="Aptos" w:eastAsia="Aptos" w:hAnsi="Aptos" w:cs="Aptos"/>
          <w:i/>
          <w:iCs/>
        </w:rPr>
        <w:t>Guidance for providers on person-centred care</w:t>
      </w:r>
      <w:r w:rsidRPr="154FFC97">
        <w:rPr>
          <w:rFonts w:ascii="Aptos" w:eastAsia="Aptos" w:hAnsi="Aptos" w:cs="Aptos"/>
        </w:rPr>
        <w:t>. London: Care Quality Commission.</w:t>
      </w:r>
    </w:p>
    <w:p w14:paraId="5063B50B" w14:textId="66165EBF"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Department of Health (2015) </w:t>
      </w:r>
      <w:r w:rsidRPr="154FFC97">
        <w:rPr>
          <w:rFonts w:ascii="Aptos" w:eastAsia="Aptos" w:hAnsi="Aptos" w:cs="Aptos"/>
          <w:i/>
          <w:iCs/>
        </w:rPr>
        <w:t>The NHS Constitution for England</w:t>
      </w:r>
      <w:r w:rsidRPr="154FFC97">
        <w:rPr>
          <w:rFonts w:ascii="Aptos" w:eastAsia="Aptos" w:hAnsi="Aptos" w:cs="Aptos"/>
        </w:rPr>
        <w:t>. London: Department of Health.</w:t>
      </w:r>
    </w:p>
    <w:p w14:paraId="0AE5B6DF" w14:textId="173DD9CA"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Glasby, J. and Dickinson, H. (2014) </w:t>
      </w:r>
      <w:r w:rsidRPr="154FFC97">
        <w:rPr>
          <w:rFonts w:ascii="Aptos" w:eastAsia="Aptos" w:hAnsi="Aptos" w:cs="Aptos"/>
          <w:i/>
          <w:iCs/>
        </w:rPr>
        <w:t>Partnership working in health and social care</w:t>
      </w:r>
      <w:r w:rsidRPr="154FFC97">
        <w:rPr>
          <w:rFonts w:ascii="Aptos" w:eastAsia="Aptos" w:hAnsi="Aptos" w:cs="Aptos"/>
        </w:rPr>
        <w:t>. 2nd edn. Bristol: Policy Press.</w:t>
      </w:r>
    </w:p>
    <w:p w14:paraId="748A65C0" w14:textId="47F0A5EE" w:rsidR="20C23A15" w:rsidRDefault="20C23A15" w:rsidP="154FFC97">
      <w:pPr>
        <w:spacing w:before="240" w:after="240"/>
        <w:ind w:left="283" w:hanging="283"/>
        <w:rPr>
          <w:rFonts w:ascii="Aptos" w:eastAsia="Aptos" w:hAnsi="Aptos" w:cs="Aptos"/>
        </w:rPr>
      </w:pPr>
      <w:r w:rsidRPr="154FFC97">
        <w:rPr>
          <w:rFonts w:ascii="Aptos" w:eastAsia="Aptos" w:hAnsi="Aptos" w:cs="Aptos"/>
        </w:rPr>
        <w:lastRenderedPageBreak/>
        <w:t xml:space="preserve">Health and Care Professions Council (HCPC) (2016) </w:t>
      </w:r>
      <w:r w:rsidRPr="154FFC97">
        <w:rPr>
          <w:rFonts w:ascii="Aptos" w:eastAsia="Aptos" w:hAnsi="Aptos" w:cs="Aptos"/>
          <w:i/>
          <w:iCs/>
        </w:rPr>
        <w:t>Standards of conduct, performance, and ethics</w:t>
      </w:r>
      <w:r w:rsidRPr="154FFC97">
        <w:rPr>
          <w:rFonts w:ascii="Aptos" w:eastAsia="Aptos" w:hAnsi="Aptos" w:cs="Aptos"/>
        </w:rPr>
        <w:t>. London: Health and Care Professions Council.</w:t>
      </w:r>
    </w:p>
    <w:p w14:paraId="641AE22B" w14:textId="4718287F"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HM Government (2005) </w:t>
      </w:r>
      <w:r w:rsidRPr="154FFC97">
        <w:rPr>
          <w:rFonts w:ascii="Aptos" w:eastAsia="Aptos" w:hAnsi="Aptos" w:cs="Aptos"/>
          <w:i/>
          <w:iCs/>
        </w:rPr>
        <w:t>Mental Capacity Act 2005</w:t>
      </w:r>
      <w:r w:rsidRPr="154FFC97">
        <w:rPr>
          <w:rFonts w:ascii="Aptos" w:eastAsia="Aptos" w:hAnsi="Aptos" w:cs="Aptos"/>
        </w:rPr>
        <w:t>. London: HMSO.</w:t>
      </w:r>
    </w:p>
    <w:p w14:paraId="04400D0F" w14:textId="1BB10E31"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HM Government (2014) </w:t>
      </w:r>
      <w:r w:rsidRPr="154FFC97">
        <w:rPr>
          <w:rFonts w:ascii="Aptos" w:eastAsia="Aptos" w:hAnsi="Aptos" w:cs="Aptos"/>
          <w:i/>
          <w:iCs/>
        </w:rPr>
        <w:t>Care Act 2014</w:t>
      </w:r>
      <w:r w:rsidRPr="154FFC97">
        <w:rPr>
          <w:rFonts w:ascii="Aptos" w:eastAsia="Aptos" w:hAnsi="Aptos" w:cs="Aptos"/>
        </w:rPr>
        <w:t>. London: HMSO.</w:t>
      </w:r>
    </w:p>
    <w:p w14:paraId="40F967DD" w14:textId="7AACD666"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Kitwood, T. (1997) </w:t>
      </w:r>
      <w:r w:rsidRPr="154FFC97">
        <w:rPr>
          <w:rFonts w:ascii="Aptos" w:eastAsia="Aptos" w:hAnsi="Aptos" w:cs="Aptos"/>
          <w:i/>
          <w:iCs/>
        </w:rPr>
        <w:t>Dementia reconsidered: The person comes first</w:t>
      </w:r>
      <w:r w:rsidRPr="154FFC97">
        <w:rPr>
          <w:rFonts w:ascii="Aptos" w:eastAsia="Aptos" w:hAnsi="Aptos" w:cs="Aptos"/>
        </w:rPr>
        <w:t>. Buckingham: Open University Press.</w:t>
      </w:r>
    </w:p>
    <w:p w14:paraId="6287B23E" w14:textId="27597B1D"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Maslow, A.H. (1943) </w:t>
      </w:r>
      <w:r w:rsidRPr="154FFC97">
        <w:rPr>
          <w:rFonts w:ascii="Aptos" w:eastAsia="Aptos" w:hAnsi="Aptos" w:cs="Aptos"/>
          <w:i/>
          <w:iCs/>
        </w:rPr>
        <w:t>A theory of human motivation</w:t>
      </w:r>
      <w:r w:rsidRPr="154FFC97">
        <w:rPr>
          <w:rFonts w:ascii="Aptos" w:eastAsia="Aptos" w:hAnsi="Aptos" w:cs="Aptos"/>
        </w:rPr>
        <w:t xml:space="preserve">. </w:t>
      </w:r>
      <w:r w:rsidRPr="154FFC97">
        <w:rPr>
          <w:rFonts w:ascii="Aptos" w:eastAsia="Aptos" w:hAnsi="Aptos" w:cs="Aptos"/>
          <w:i/>
          <w:iCs/>
        </w:rPr>
        <w:t>Psychological Review</w:t>
      </w:r>
      <w:r w:rsidRPr="154FFC97">
        <w:rPr>
          <w:rFonts w:ascii="Aptos" w:eastAsia="Aptos" w:hAnsi="Aptos" w:cs="Aptos"/>
        </w:rPr>
        <w:t>, 50(4), pp.370–396.</w:t>
      </w:r>
    </w:p>
    <w:p w14:paraId="58EC4444" w14:textId="6AE63EBB"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Nursing and Midwifery Council (NMC) (2018) </w:t>
      </w:r>
      <w:r w:rsidRPr="154FFC97">
        <w:rPr>
          <w:rFonts w:ascii="Aptos" w:eastAsia="Aptos" w:hAnsi="Aptos" w:cs="Aptos"/>
          <w:i/>
          <w:iCs/>
        </w:rPr>
        <w:t>The code: Professional standards of practice and behaviour for nurses, midwives and nursing associates</w:t>
      </w:r>
      <w:r w:rsidRPr="154FFC97">
        <w:rPr>
          <w:rFonts w:ascii="Aptos" w:eastAsia="Aptos" w:hAnsi="Aptos" w:cs="Aptos"/>
        </w:rPr>
        <w:t>. London: Nursing and Midwifery Council.</w:t>
      </w:r>
    </w:p>
    <w:p w14:paraId="6E2A938B" w14:textId="33E917F9" w:rsidR="20C23A15" w:rsidRDefault="20C23A15" w:rsidP="154FFC97">
      <w:pPr>
        <w:spacing w:before="240" w:after="240"/>
        <w:ind w:left="283" w:hanging="283"/>
        <w:rPr>
          <w:rFonts w:ascii="Aptos" w:eastAsia="Aptos" w:hAnsi="Aptos" w:cs="Aptos"/>
        </w:rPr>
      </w:pPr>
      <w:r w:rsidRPr="154FFC97">
        <w:rPr>
          <w:rFonts w:ascii="Aptos" w:eastAsia="Aptos" w:hAnsi="Aptos" w:cs="Aptos"/>
        </w:rPr>
        <w:t xml:space="preserve">Gibbs, G. (1988) </w:t>
      </w:r>
      <w:r w:rsidRPr="154FFC97">
        <w:rPr>
          <w:rFonts w:ascii="Aptos" w:eastAsia="Aptos" w:hAnsi="Aptos" w:cs="Aptos"/>
          <w:i/>
          <w:iCs/>
        </w:rPr>
        <w:t>Learning by doing: A guide to teaching and learning methods</w:t>
      </w:r>
      <w:r w:rsidRPr="154FFC97">
        <w:rPr>
          <w:rFonts w:ascii="Aptos" w:eastAsia="Aptos" w:hAnsi="Aptos" w:cs="Aptos"/>
        </w:rPr>
        <w:t>. Oxford: Oxford Polytechnic</w:t>
      </w:r>
    </w:p>
    <w:p w14:paraId="51D85268" w14:textId="41E8CC71" w:rsidR="154FFC97" w:rsidRDefault="154FFC97" w:rsidP="154FFC97">
      <w:pPr>
        <w:rPr>
          <w:rFonts w:hint="eastAsia"/>
        </w:rPr>
      </w:pPr>
    </w:p>
    <w:sectPr w:rsidR="154FFC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D2BA6"/>
    <w:multiLevelType w:val="hybridMultilevel"/>
    <w:tmpl w:val="2F925C22"/>
    <w:lvl w:ilvl="0" w:tplc="D6A067D2">
      <w:start w:val="1"/>
      <w:numFmt w:val="bullet"/>
      <w:lvlText w:val=""/>
      <w:lvlJc w:val="left"/>
      <w:pPr>
        <w:ind w:left="720" w:hanging="360"/>
      </w:pPr>
      <w:rPr>
        <w:rFonts w:ascii="Symbol" w:hAnsi="Symbol" w:hint="default"/>
      </w:rPr>
    </w:lvl>
    <w:lvl w:ilvl="1" w:tplc="57CA5542">
      <w:start w:val="1"/>
      <w:numFmt w:val="bullet"/>
      <w:lvlText w:val="o"/>
      <w:lvlJc w:val="left"/>
      <w:pPr>
        <w:ind w:left="1440" w:hanging="360"/>
      </w:pPr>
      <w:rPr>
        <w:rFonts w:ascii="Courier New" w:hAnsi="Courier New" w:hint="default"/>
      </w:rPr>
    </w:lvl>
    <w:lvl w:ilvl="2" w:tplc="554EE130">
      <w:start w:val="1"/>
      <w:numFmt w:val="bullet"/>
      <w:lvlText w:val=""/>
      <w:lvlJc w:val="left"/>
      <w:pPr>
        <w:ind w:left="2160" w:hanging="360"/>
      </w:pPr>
      <w:rPr>
        <w:rFonts w:ascii="Wingdings" w:hAnsi="Wingdings" w:hint="default"/>
      </w:rPr>
    </w:lvl>
    <w:lvl w:ilvl="3" w:tplc="ABD49216">
      <w:start w:val="1"/>
      <w:numFmt w:val="bullet"/>
      <w:lvlText w:val=""/>
      <w:lvlJc w:val="left"/>
      <w:pPr>
        <w:ind w:left="2880" w:hanging="360"/>
      </w:pPr>
      <w:rPr>
        <w:rFonts w:ascii="Symbol" w:hAnsi="Symbol" w:hint="default"/>
      </w:rPr>
    </w:lvl>
    <w:lvl w:ilvl="4" w:tplc="CD90A3C4">
      <w:start w:val="1"/>
      <w:numFmt w:val="bullet"/>
      <w:lvlText w:val="o"/>
      <w:lvlJc w:val="left"/>
      <w:pPr>
        <w:ind w:left="3600" w:hanging="360"/>
      </w:pPr>
      <w:rPr>
        <w:rFonts w:ascii="Courier New" w:hAnsi="Courier New" w:hint="default"/>
      </w:rPr>
    </w:lvl>
    <w:lvl w:ilvl="5" w:tplc="04466CD8">
      <w:start w:val="1"/>
      <w:numFmt w:val="bullet"/>
      <w:lvlText w:val=""/>
      <w:lvlJc w:val="left"/>
      <w:pPr>
        <w:ind w:left="4320" w:hanging="360"/>
      </w:pPr>
      <w:rPr>
        <w:rFonts w:ascii="Wingdings" w:hAnsi="Wingdings" w:hint="default"/>
      </w:rPr>
    </w:lvl>
    <w:lvl w:ilvl="6" w:tplc="157821E6">
      <w:start w:val="1"/>
      <w:numFmt w:val="bullet"/>
      <w:lvlText w:val=""/>
      <w:lvlJc w:val="left"/>
      <w:pPr>
        <w:ind w:left="5040" w:hanging="360"/>
      </w:pPr>
      <w:rPr>
        <w:rFonts w:ascii="Symbol" w:hAnsi="Symbol" w:hint="default"/>
      </w:rPr>
    </w:lvl>
    <w:lvl w:ilvl="7" w:tplc="F6DA963A">
      <w:start w:val="1"/>
      <w:numFmt w:val="bullet"/>
      <w:lvlText w:val="o"/>
      <w:lvlJc w:val="left"/>
      <w:pPr>
        <w:ind w:left="5760" w:hanging="360"/>
      </w:pPr>
      <w:rPr>
        <w:rFonts w:ascii="Courier New" w:hAnsi="Courier New" w:hint="default"/>
      </w:rPr>
    </w:lvl>
    <w:lvl w:ilvl="8" w:tplc="DA28B00A">
      <w:start w:val="1"/>
      <w:numFmt w:val="bullet"/>
      <w:lvlText w:val=""/>
      <w:lvlJc w:val="left"/>
      <w:pPr>
        <w:ind w:left="6480" w:hanging="360"/>
      </w:pPr>
      <w:rPr>
        <w:rFonts w:ascii="Wingdings" w:hAnsi="Wingdings" w:hint="default"/>
      </w:rPr>
    </w:lvl>
  </w:abstractNum>
  <w:num w:numId="1" w16cid:durableId="1254972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C1"/>
    <w:rsid w:val="001022D6"/>
    <w:rsid w:val="001470A8"/>
    <w:rsid w:val="00425081"/>
    <w:rsid w:val="00430BA6"/>
    <w:rsid w:val="00461FE2"/>
    <w:rsid w:val="00481D14"/>
    <w:rsid w:val="00526AC1"/>
    <w:rsid w:val="006827F1"/>
    <w:rsid w:val="00862A67"/>
    <w:rsid w:val="009B46B2"/>
    <w:rsid w:val="00A85ABE"/>
    <w:rsid w:val="00AC297B"/>
    <w:rsid w:val="00D02079"/>
    <w:rsid w:val="00EF092E"/>
    <w:rsid w:val="088C2068"/>
    <w:rsid w:val="0B357548"/>
    <w:rsid w:val="0C208DC8"/>
    <w:rsid w:val="0E4F4672"/>
    <w:rsid w:val="101C0102"/>
    <w:rsid w:val="154FFC97"/>
    <w:rsid w:val="16454F3D"/>
    <w:rsid w:val="1D7A36FE"/>
    <w:rsid w:val="20C22E9D"/>
    <w:rsid w:val="20C23A15"/>
    <w:rsid w:val="2669BDAE"/>
    <w:rsid w:val="27053BB0"/>
    <w:rsid w:val="28B0E064"/>
    <w:rsid w:val="2DA61171"/>
    <w:rsid w:val="33AEC030"/>
    <w:rsid w:val="382F564E"/>
    <w:rsid w:val="3A94AB0A"/>
    <w:rsid w:val="4378BAF1"/>
    <w:rsid w:val="494F43B3"/>
    <w:rsid w:val="49C80495"/>
    <w:rsid w:val="5D4807B6"/>
    <w:rsid w:val="5DDBFDFA"/>
    <w:rsid w:val="5FB96C81"/>
    <w:rsid w:val="61B7FDEF"/>
    <w:rsid w:val="61C928D3"/>
    <w:rsid w:val="61F0DDC0"/>
    <w:rsid w:val="674C1064"/>
    <w:rsid w:val="7063D4AF"/>
    <w:rsid w:val="725DB2DA"/>
    <w:rsid w:val="72D7CA9C"/>
    <w:rsid w:val="7AD98CCE"/>
    <w:rsid w:val="7F4135B5"/>
    <w:rsid w:val="7FCD59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30D8"/>
  <w15:chartTrackingRefBased/>
  <w15:docId w15:val="{BF59CCDF-A12C-244A-B289-3F1AA336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154FFC97"/>
    <w:pPr>
      <w:outlineLvl w:val="0"/>
    </w:pPr>
  </w:style>
  <w:style w:type="paragraph" w:styleId="Heading2">
    <w:name w:val="heading 2"/>
    <w:basedOn w:val="Normal"/>
    <w:next w:val="Normal"/>
    <w:link w:val="Heading2Char"/>
    <w:uiPriority w:val="9"/>
    <w:semiHidden/>
    <w:unhideWhenUsed/>
    <w:qFormat/>
    <w:rsid w:val="154FFC97"/>
    <w:pPr>
      <w:outlineLvl w:val="1"/>
    </w:pPr>
  </w:style>
  <w:style w:type="paragraph" w:styleId="Heading3">
    <w:name w:val="heading 3"/>
    <w:basedOn w:val="Normal"/>
    <w:next w:val="Normal"/>
    <w:link w:val="Heading3Char"/>
    <w:uiPriority w:val="9"/>
    <w:semiHidden/>
    <w:unhideWhenUsed/>
    <w:qFormat/>
    <w:rsid w:val="00526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154FFC97"/>
    <w:rPr>
      <w:rFonts w:asciiTheme="minorHAnsi" w:eastAsiaTheme="minorEastAsia" w:hAnsiTheme="minorHAnsi" w:cstheme="minorBidi"/>
      <w:sz w:val="24"/>
      <w:szCs w:val="24"/>
    </w:rPr>
  </w:style>
  <w:style w:type="character" w:customStyle="1" w:styleId="Heading2Char">
    <w:name w:val="Heading 2 Char"/>
    <w:link w:val="Heading2"/>
    <w:uiPriority w:val="9"/>
    <w:semiHidden/>
    <w:rsid w:val="154FFC97"/>
    <w:rPr>
      <w:rFonts w:asciiTheme="minorHAnsi" w:eastAsiaTheme="minorEastAsia" w:hAnsiTheme="minorHAnsi" w:cstheme="minorBidi"/>
      <w:sz w:val="24"/>
      <w:szCs w:val="24"/>
    </w:rPr>
  </w:style>
  <w:style w:type="character" w:customStyle="1" w:styleId="Heading3Char">
    <w:name w:val="Heading 3 Char"/>
    <w:basedOn w:val="DefaultParagraphFont"/>
    <w:link w:val="Heading3"/>
    <w:uiPriority w:val="9"/>
    <w:semiHidden/>
    <w:rsid w:val="00526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AC1"/>
    <w:rPr>
      <w:rFonts w:eastAsiaTheme="majorEastAsia" w:cstheme="majorBidi"/>
      <w:color w:val="272727" w:themeColor="text1" w:themeTint="D8"/>
    </w:rPr>
  </w:style>
  <w:style w:type="paragraph" w:styleId="Title">
    <w:name w:val="Title"/>
    <w:basedOn w:val="Normal"/>
    <w:next w:val="Normal"/>
    <w:link w:val="TitleChar"/>
    <w:uiPriority w:val="10"/>
    <w:qFormat/>
    <w:rsid w:val="00526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AC1"/>
    <w:pPr>
      <w:spacing w:before="160"/>
      <w:jc w:val="center"/>
    </w:pPr>
    <w:rPr>
      <w:i/>
      <w:iCs/>
      <w:color w:val="404040" w:themeColor="text1" w:themeTint="BF"/>
    </w:rPr>
  </w:style>
  <w:style w:type="character" w:customStyle="1" w:styleId="QuoteChar">
    <w:name w:val="Quote Char"/>
    <w:basedOn w:val="DefaultParagraphFont"/>
    <w:link w:val="Quote"/>
    <w:uiPriority w:val="29"/>
    <w:rsid w:val="00526AC1"/>
    <w:rPr>
      <w:i/>
      <w:iCs/>
      <w:color w:val="404040" w:themeColor="text1" w:themeTint="BF"/>
    </w:rPr>
  </w:style>
  <w:style w:type="paragraph" w:styleId="ListParagraph">
    <w:name w:val="List Paragraph"/>
    <w:basedOn w:val="Normal"/>
    <w:uiPriority w:val="34"/>
    <w:qFormat/>
    <w:rsid w:val="00526AC1"/>
    <w:pPr>
      <w:ind w:left="720"/>
      <w:contextualSpacing/>
    </w:pPr>
  </w:style>
  <w:style w:type="character" w:styleId="IntenseEmphasis">
    <w:name w:val="Intense Emphasis"/>
    <w:basedOn w:val="DefaultParagraphFont"/>
    <w:uiPriority w:val="21"/>
    <w:qFormat/>
    <w:rsid w:val="00526AC1"/>
    <w:rPr>
      <w:i/>
      <w:iCs/>
      <w:color w:val="0F4761" w:themeColor="accent1" w:themeShade="BF"/>
    </w:rPr>
  </w:style>
  <w:style w:type="paragraph" w:styleId="IntenseQuote">
    <w:name w:val="Intense Quote"/>
    <w:basedOn w:val="Normal"/>
    <w:next w:val="Normal"/>
    <w:link w:val="IntenseQuoteChar"/>
    <w:uiPriority w:val="30"/>
    <w:qFormat/>
    <w:rsid w:val="00526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AC1"/>
    <w:rPr>
      <w:i/>
      <w:iCs/>
      <w:color w:val="0F4761" w:themeColor="accent1" w:themeShade="BF"/>
    </w:rPr>
  </w:style>
  <w:style w:type="character" w:styleId="IntenseReference">
    <w:name w:val="Intense Reference"/>
    <w:basedOn w:val="DefaultParagraphFont"/>
    <w:uiPriority w:val="32"/>
    <w:qFormat/>
    <w:rsid w:val="00526AC1"/>
    <w:rPr>
      <w:b/>
      <w:bCs/>
      <w:smallCaps/>
      <w:color w:val="0F4761" w:themeColor="accent1" w:themeShade="BF"/>
      <w:spacing w:val="5"/>
    </w:rPr>
  </w:style>
  <w:style w:type="table" w:styleId="TableGrid">
    <w:name w:val="Table Grid"/>
    <w:basedOn w:val="TableNormal"/>
    <w:uiPriority w:val="39"/>
    <w:rsid w:val="00A85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154FFC97"/>
    <w:rPr>
      <w:color w:val="467886"/>
      <w:u w:val="single"/>
    </w:rPr>
  </w:style>
  <w:style w:type="paragraph" w:styleId="TOC1">
    <w:name w:val="toc 1"/>
    <w:basedOn w:val="Normal"/>
    <w:next w:val="Normal"/>
    <w:uiPriority w:val="39"/>
    <w:unhideWhenUsed/>
    <w:rsid w:val="154FFC97"/>
    <w:pPr>
      <w:spacing w:after="100"/>
    </w:pPr>
  </w:style>
  <w:style w:type="paragraph" w:styleId="TOC2">
    <w:name w:val="toc 2"/>
    <w:basedOn w:val="Normal"/>
    <w:next w:val="Normal"/>
    <w:uiPriority w:val="39"/>
    <w:unhideWhenUsed/>
    <w:rsid w:val="154FFC9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40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2523</Words>
  <Characters>14385</Characters>
  <Application>Microsoft Office Word</Application>
  <DocSecurity>0</DocSecurity>
  <Lines>119</Lines>
  <Paragraphs>33</Paragraphs>
  <ScaleCrop>false</ScaleCrop>
  <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Saad</dc:creator>
  <cp:keywords/>
  <dc:description/>
  <cp:lastModifiedBy>Raza Khan Ahmadzai (2423995)</cp:lastModifiedBy>
  <cp:revision>2</cp:revision>
  <dcterms:created xsi:type="dcterms:W3CDTF">2026-04-11T09:10:00Z</dcterms:created>
  <dcterms:modified xsi:type="dcterms:W3CDTF">2026-04-11T09:10:00Z</dcterms:modified>
</cp:coreProperties>
</file>