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bottomFromText="160" w:vertAnchor="page" w:horzAnchor="margin" w:tblpXSpec="center" w:tblpY="3256"/>
        <w:tblW w:w="10348" w:type="dxa"/>
        <w:tblLook w:val="04A0" w:firstRow="1" w:lastRow="0" w:firstColumn="1" w:lastColumn="0" w:noHBand="0" w:noVBand="1"/>
      </w:tblPr>
      <w:tblGrid>
        <w:gridCol w:w="3439"/>
        <w:gridCol w:w="2300"/>
        <w:gridCol w:w="1920"/>
        <w:gridCol w:w="2689"/>
      </w:tblGrid>
      <w:tr w:rsidR="00742752" w:rsidRPr="00742752" w14:paraId="60F48CBD" w14:textId="77777777" w:rsidTr="00572AEE">
        <w:trPr>
          <w:trHeight w:val="420"/>
        </w:trPr>
        <w:tc>
          <w:tcPr>
            <w:tcW w:w="3439" w:type="dxa"/>
            <w:tcBorders>
              <w:top w:val="single" w:sz="4" w:space="0" w:color="auto"/>
              <w:left w:val="single" w:sz="4" w:space="0" w:color="auto"/>
              <w:bottom w:val="nil"/>
              <w:right w:val="single" w:sz="4" w:space="0" w:color="auto"/>
            </w:tcBorders>
            <w:noWrap/>
            <w:vAlign w:val="center"/>
          </w:tcPr>
          <w:p w14:paraId="31BF5E41"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p>
          <w:p w14:paraId="158FA4F4"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r w:rsidRPr="00742752">
              <w:rPr>
                <w:rFonts w:ascii="Times" w:eastAsia="Times New Roman" w:hAnsi="Times" w:cs="Arial"/>
                <w:b/>
                <w:bCs/>
                <w:color w:val="000000" w:themeColor="text1"/>
                <w:sz w:val="28"/>
                <w:szCs w:val="28"/>
                <w:lang w:eastAsia="en-GB"/>
              </w:rPr>
              <w:t xml:space="preserve">Student ID Number/ Name </w:t>
            </w:r>
          </w:p>
          <w:p w14:paraId="42B7E71A"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p>
        </w:tc>
        <w:tc>
          <w:tcPr>
            <w:tcW w:w="6909" w:type="dxa"/>
            <w:gridSpan w:val="3"/>
            <w:tcBorders>
              <w:top w:val="single" w:sz="4" w:space="0" w:color="auto"/>
              <w:left w:val="nil"/>
              <w:bottom w:val="single" w:sz="4" w:space="0" w:color="auto"/>
              <w:right w:val="single" w:sz="4" w:space="0" w:color="000000"/>
            </w:tcBorders>
            <w:noWrap/>
            <w:vAlign w:val="center"/>
            <w:hideMark/>
          </w:tcPr>
          <w:p w14:paraId="2429AEB5" w14:textId="77777777" w:rsidR="00742752" w:rsidRPr="00742752" w:rsidRDefault="00742752" w:rsidP="00742752">
            <w:pPr>
              <w:spacing w:after="0" w:line="240" w:lineRule="auto"/>
              <w:jc w:val="center"/>
              <w:rPr>
                <w:rFonts w:ascii="Arial" w:eastAsia="Times New Roman" w:hAnsi="Arial" w:cs="Arial"/>
                <w:bCs/>
                <w:color w:val="000000"/>
                <w:sz w:val="28"/>
                <w:szCs w:val="28"/>
                <w:lang w:eastAsia="en-GB"/>
              </w:rPr>
            </w:pPr>
            <w:r w:rsidRPr="00742752">
              <w:rPr>
                <w:rFonts w:ascii="Arial" w:eastAsia="Times New Roman" w:hAnsi="Arial" w:cs="Arial"/>
                <w:bCs/>
                <w:color w:val="000000"/>
                <w:sz w:val="28"/>
                <w:szCs w:val="28"/>
                <w:lang w:eastAsia="en-GB"/>
              </w:rPr>
              <w:t>2009079</w:t>
            </w:r>
          </w:p>
          <w:p w14:paraId="6E201C8F" w14:textId="77777777" w:rsidR="00742752" w:rsidRPr="00742752" w:rsidRDefault="00742752" w:rsidP="00742752">
            <w:pPr>
              <w:spacing w:after="0" w:line="240" w:lineRule="auto"/>
              <w:jc w:val="center"/>
              <w:rPr>
                <w:rFonts w:ascii="Times" w:eastAsia="Times New Roman" w:hAnsi="Times" w:cs="Arial"/>
                <w:bCs/>
                <w:color w:val="000000" w:themeColor="text1"/>
                <w:sz w:val="28"/>
                <w:szCs w:val="28"/>
                <w:lang w:eastAsia="en-GB"/>
              </w:rPr>
            </w:pPr>
            <w:r w:rsidRPr="00742752">
              <w:rPr>
                <w:rFonts w:ascii="Times" w:eastAsia="Times New Roman" w:hAnsi="Times" w:cs="Arial"/>
                <w:bCs/>
                <w:color w:val="000000" w:themeColor="text1"/>
                <w:sz w:val="28"/>
                <w:szCs w:val="28"/>
                <w:lang w:eastAsia="en-GB"/>
              </w:rPr>
              <w:t>IONUT PAUL MARINCU</w:t>
            </w:r>
          </w:p>
        </w:tc>
      </w:tr>
      <w:tr w:rsidR="00742752" w:rsidRPr="00742752" w14:paraId="0FF5427E" w14:textId="77777777" w:rsidTr="00572AEE">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20C812FE"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p>
          <w:p w14:paraId="368D5611"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r w:rsidRPr="00742752">
              <w:rPr>
                <w:rFonts w:ascii="Times" w:eastAsia="Times New Roman" w:hAnsi="Times" w:cs="Arial"/>
                <w:b/>
                <w:bCs/>
                <w:color w:val="000000" w:themeColor="text1"/>
                <w:sz w:val="28"/>
                <w:szCs w:val="28"/>
                <w:lang w:eastAsia="en-GB"/>
              </w:rPr>
              <w:t>Programme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672BA211" w14:textId="77777777" w:rsidR="00742752" w:rsidRPr="00742752" w:rsidRDefault="00742752" w:rsidP="00742752">
            <w:pPr>
              <w:spacing w:after="0" w:line="240" w:lineRule="auto"/>
              <w:jc w:val="center"/>
              <w:rPr>
                <w:rFonts w:ascii="Times" w:eastAsia="Times New Roman" w:hAnsi="Times" w:cs="Arial"/>
                <w:color w:val="000000" w:themeColor="text1"/>
                <w:sz w:val="28"/>
                <w:szCs w:val="28"/>
                <w:lang w:eastAsia="en-GB"/>
              </w:rPr>
            </w:pPr>
            <w:r w:rsidRPr="00742752">
              <w:rPr>
                <w:rFonts w:ascii="Times" w:eastAsia="Times New Roman" w:hAnsi="Times" w:cs="Arial"/>
                <w:color w:val="000000" w:themeColor="text1"/>
                <w:sz w:val="28"/>
                <w:szCs w:val="28"/>
                <w:lang w:eastAsia="en-GB"/>
              </w:rPr>
              <w:t>BA Business Management</w:t>
            </w:r>
          </w:p>
        </w:tc>
      </w:tr>
      <w:tr w:rsidR="00742752" w:rsidRPr="00742752" w14:paraId="201CF25F" w14:textId="77777777" w:rsidTr="00572AEE">
        <w:trPr>
          <w:trHeight w:val="435"/>
        </w:trPr>
        <w:tc>
          <w:tcPr>
            <w:tcW w:w="3439" w:type="dxa"/>
            <w:tcBorders>
              <w:top w:val="nil"/>
              <w:left w:val="single" w:sz="4" w:space="0" w:color="auto"/>
              <w:bottom w:val="nil"/>
              <w:right w:val="single" w:sz="4" w:space="0" w:color="auto"/>
            </w:tcBorders>
            <w:noWrap/>
            <w:vAlign w:val="center"/>
            <w:hideMark/>
          </w:tcPr>
          <w:p w14:paraId="4F0486DB"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r w:rsidRPr="00742752">
              <w:rPr>
                <w:rFonts w:ascii="Times" w:eastAsia="Times New Roman" w:hAnsi="Times" w:cs="Arial"/>
                <w:b/>
                <w:bCs/>
                <w:color w:val="000000" w:themeColor="text1"/>
                <w:sz w:val="28"/>
                <w:szCs w:val="28"/>
                <w:lang w:eastAsia="en-GB"/>
              </w:rPr>
              <w:t>Module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7BB66A67" w14:textId="77777777" w:rsidR="00742752" w:rsidRPr="00742752" w:rsidRDefault="00742752" w:rsidP="00742752">
            <w:pPr>
              <w:spacing w:after="0" w:line="240" w:lineRule="auto"/>
              <w:jc w:val="center"/>
              <w:rPr>
                <w:rFonts w:ascii="Times" w:eastAsia="Times New Roman" w:hAnsi="Times" w:cs="Arial"/>
                <w:color w:val="000000" w:themeColor="text1"/>
                <w:sz w:val="28"/>
                <w:szCs w:val="28"/>
                <w:lang w:eastAsia="en-GB"/>
              </w:rPr>
            </w:pPr>
            <w:r w:rsidRPr="00742752">
              <w:rPr>
                <w:rFonts w:ascii="Times" w:eastAsia="Times New Roman" w:hAnsi="Times" w:cs="Arial"/>
                <w:color w:val="000000" w:themeColor="text1"/>
                <w:sz w:val="28"/>
                <w:szCs w:val="28"/>
                <w:lang w:eastAsia="en-GB"/>
              </w:rPr>
              <w:t>Project Management</w:t>
            </w:r>
          </w:p>
        </w:tc>
      </w:tr>
      <w:tr w:rsidR="00742752" w:rsidRPr="00742752" w14:paraId="4D49DDA3" w14:textId="77777777" w:rsidTr="00572AEE">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118AF138"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r w:rsidRPr="00742752">
              <w:rPr>
                <w:rFonts w:ascii="Times" w:eastAsia="Times New Roman" w:hAnsi="Times" w:cs="Arial"/>
                <w:b/>
                <w:bCs/>
                <w:color w:val="000000" w:themeColor="text1"/>
                <w:sz w:val="28"/>
                <w:szCs w:val="28"/>
                <w:lang w:eastAsia="en-GB"/>
              </w:rPr>
              <w:t xml:space="preserve">Module Code </w:t>
            </w:r>
          </w:p>
        </w:tc>
        <w:tc>
          <w:tcPr>
            <w:tcW w:w="6909" w:type="dxa"/>
            <w:gridSpan w:val="3"/>
            <w:tcBorders>
              <w:top w:val="single" w:sz="4" w:space="0" w:color="auto"/>
              <w:left w:val="nil"/>
              <w:bottom w:val="single" w:sz="4" w:space="0" w:color="auto"/>
              <w:right w:val="single" w:sz="4" w:space="0" w:color="000000"/>
            </w:tcBorders>
            <w:noWrap/>
            <w:vAlign w:val="center"/>
          </w:tcPr>
          <w:p w14:paraId="1A54A87E" w14:textId="77777777" w:rsidR="00742752" w:rsidRPr="00742752" w:rsidRDefault="00742752" w:rsidP="00742752">
            <w:pPr>
              <w:spacing w:after="0" w:line="240" w:lineRule="auto"/>
              <w:jc w:val="both"/>
              <w:rPr>
                <w:rFonts w:ascii="Times" w:eastAsia="Times New Roman" w:hAnsi="Times" w:cs="Arial"/>
                <w:color w:val="000000" w:themeColor="text1"/>
                <w:sz w:val="28"/>
                <w:szCs w:val="28"/>
                <w:lang w:eastAsia="en-GB"/>
              </w:rPr>
            </w:pPr>
          </w:p>
          <w:p w14:paraId="3CD0B7A0" w14:textId="77777777" w:rsidR="00742752" w:rsidRPr="00742752" w:rsidRDefault="00742752" w:rsidP="00742752">
            <w:pPr>
              <w:spacing w:before="100" w:beforeAutospacing="1" w:after="100" w:afterAutospacing="1" w:line="240" w:lineRule="auto"/>
              <w:jc w:val="center"/>
              <w:rPr>
                <w:rFonts w:ascii="Times" w:eastAsia="Times New Roman" w:hAnsi="Times" w:cs="Arial"/>
                <w:color w:val="000000" w:themeColor="text1"/>
                <w:sz w:val="28"/>
                <w:szCs w:val="28"/>
                <w:lang w:eastAsia="en-GB"/>
              </w:rPr>
            </w:pPr>
            <w:r w:rsidRPr="00742752">
              <w:rPr>
                <w:rFonts w:ascii="Times" w:eastAsia="Times New Roman" w:hAnsi="Times" w:cs="Arial"/>
                <w:color w:val="000000" w:themeColor="text1"/>
                <w:sz w:val="28"/>
                <w:szCs w:val="28"/>
                <w:shd w:val="clear" w:color="auto" w:fill="FFFFFF"/>
                <w:lang w:eastAsia="en-GB"/>
              </w:rPr>
              <w:t>LCBB5005</w:t>
            </w:r>
          </w:p>
          <w:p w14:paraId="2E214467" w14:textId="77777777" w:rsidR="00742752" w:rsidRPr="00742752" w:rsidRDefault="00742752" w:rsidP="00742752">
            <w:pPr>
              <w:spacing w:after="0" w:line="240" w:lineRule="auto"/>
              <w:jc w:val="both"/>
              <w:rPr>
                <w:rFonts w:ascii="Times" w:eastAsia="Times New Roman" w:hAnsi="Times" w:cs="Arial"/>
                <w:color w:val="000000" w:themeColor="text1"/>
                <w:sz w:val="28"/>
                <w:szCs w:val="28"/>
                <w:lang w:eastAsia="en-GB"/>
              </w:rPr>
            </w:pPr>
          </w:p>
        </w:tc>
      </w:tr>
      <w:tr w:rsidR="00742752" w:rsidRPr="00742752" w14:paraId="0ABE99DE" w14:textId="77777777" w:rsidTr="00572AEE">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25C8953A"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r w:rsidRPr="00742752">
              <w:rPr>
                <w:rFonts w:ascii="Times" w:eastAsia="Times New Roman" w:hAnsi="Times" w:cs="Arial"/>
                <w:b/>
                <w:bCs/>
                <w:color w:val="000000" w:themeColor="text1"/>
                <w:sz w:val="28"/>
                <w:szCs w:val="28"/>
                <w:lang w:eastAsia="en-GB"/>
              </w:rPr>
              <w:t xml:space="preserve">Lecture`s name </w:t>
            </w:r>
          </w:p>
        </w:tc>
        <w:tc>
          <w:tcPr>
            <w:tcW w:w="6909" w:type="dxa"/>
            <w:gridSpan w:val="3"/>
            <w:tcBorders>
              <w:top w:val="single" w:sz="4" w:space="0" w:color="auto"/>
              <w:left w:val="nil"/>
              <w:bottom w:val="single" w:sz="4" w:space="0" w:color="auto"/>
              <w:right w:val="single" w:sz="4" w:space="0" w:color="000000"/>
            </w:tcBorders>
            <w:noWrap/>
            <w:vAlign w:val="center"/>
          </w:tcPr>
          <w:p w14:paraId="1B1191D6" w14:textId="77777777" w:rsidR="00742752" w:rsidRPr="00742752" w:rsidRDefault="00742752" w:rsidP="00742752">
            <w:pPr>
              <w:spacing w:after="0" w:line="240" w:lineRule="auto"/>
              <w:jc w:val="both"/>
              <w:rPr>
                <w:rFonts w:ascii="Times" w:eastAsia="Times New Roman" w:hAnsi="Times" w:cs="Arial"/>
                <w:color w:val="000000" w:themeColor="text1"/>
                <w:sz w:val="28"/>
                <w:szCs w:val="28"/>
                <w:lang w:eastAsia="en-GB"/>
              </w:rPr>
            </w:pPr>
            <w:r w:rsidRPr="00742752">
              <w:rPr>
                <w:rFonts w:ascii="Times" w:eastAsia="Times New Roman" w:hAnsi="Times" w:cs="Arial"/>
                <w:color w:val="000000" w:themeColor="text1"/>
                <w:sz w:val="28"/>
                <w:szCs w:val="28"/>
                <w:lang w:eastAsia="en-GB"/>
              </w:rPr>
              <w:t xml:space="preserve">                                   </w:t>
            </w:r>
            <w:proofErr w:type="spellStart"/>
            <w:r w:rsidRPr="00742752">
              <w:rPr>
                <w:rFonts w:ascii="Times" w:eastAsia="Times New Roman" w:hAnsi="Times" w:cs="Arial"/>
                <w:color w:val="000000" w:themeColor="text1"/>
                <w:sz w:val="28"/>
                <w:szCs w:val="28"/>
                <w:lang w:eastAsia="en-GB"/>
              </w:rPr>
              <w:t>Sadeque</w:t>
            </w:r>
            <w:proofErr w:type="spellEnd"/>
            <w:r w:rsidRPr="00742752">
              <w:rPr>
                <w:rFonts w:ascii="Times" w:eastAsia="Times New Roman" w:hAnsi="Times" w:cs="Arial"/>
                <w:color w:val="000000" w:themeColor="text1"/>
                <w:sz w:val="28"/>
                <w:szCs w:val="28"/>
                <w:lang w:eastAsia="en-GB"/>
              </w:rPr>
              <w:t xml:space="preserve"> Shaikh</w:t>
            </w:r>
          </w:p>
          <w:p w14:paraId="0C148853" w14:textId="77777777" w:rsidR="00742752" w:rsidRPr="00742752" w:rsidRDefault="00742752" w:rsidP="00742752">
            <w:pPr>
              <w:spacing w:after="0" w:line="240" w:lineRule="auto"/>
              <w:jc w:val="both"/>
              <w:rPr>
                <w:rFonts w:ascii="Times" w:eastAsia="Times New Roman" w:hAnsi="Times" w:cs="Arial"/>
                <w:color w:val="000000" w:themeColor="text1"/>
                <w:sz w:val="28"/>
                <w:szCs w:val="28"/>
                <w:lang w:eastAsia="en-GB"/>
              </w:rPr>
            </w:pPr>
          </w:p>
        </w:tc>
      </w:tr>
      <w:tr w:rsidR="00742752" w:rsidRPr="00742752" w14:paraId="5811EC3F" w14:textId="77777777" w:rsidTr="00572AEE">
        <w:trPr>
          <w:trHeight w:val="825"/>
        </w:trPr>
        <w:tc>
          <w:tcPr>
            <w:tcW w:w="3439" w:type="dxa"/>
            <w:tcBorders>
              <w:top w:val="nil"/>
              <w:left w:val="single" w:sz="4" w:space="0" w:color="auto"/>
              <w:bottom w:val="single" w:sz="4" w:space="0" w:color="auto"/>
              <w:right w:val="single" w:sz="4" w:space="0" w:color="auto"/>
            </w:tcBorders>
            <w:noWrap/>
            <w:vAlign w:val="center"/>
            <w:hideMark/>
          </w:tcPr>
          <w:p w14:paraId="4D219896"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r w:rsidRPr="00742752">
              <w:rPr>
                <w:rFonts w:ascii="Times" w:eastAsia="Times New Roman" w:hAnsi="Times" w:cs="Arial"/>
                <w:b/>
                <w:bCs/>
                <w:color w:val="000000" w:themeColor="text1"/>
                <w:sz w:val="28"/>
                <w:szCs w:val="28"/>
                <w:lang w:eastAsia="en-GB"/>
              </w:rPr>
              <w:t>Coursework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1CE7A283" w14:textId="525AE680" w:rsidR="00742752" w:rsidRPr="00742752" w:rsidRDefault="00742752" w:rsidP="00742752">
            <w:pPr>
              <w:spacing w:after="0" w:line="240" w:lineRule="auto"/>
              <w:jc w:val="center"/>
              <w:rPr>
                <w:rFonts w:ascii="Times" w:eastAsia="Times New Roman" w:hAnsi="Times" w:cs="Arial"/>
                <w:color w:val="000000" w:themeColor="text1"/>
                <w:sz w:val="28"/>
                <w:szCs w:val="28"/>
                <w:lang w:eastAsia="en-GB"/>
              </w:rPr>
            </w:pPr>
            <w:r w:rsidRPr="00742752">
              <w:rPr>
                <w:rFonts w:ascii="Times" w:eastAsia="Times New Roman" w:hAnsi="Times" w:cs="Arial"/>
                <w:color w:val="000000" w:themeColor="text1"/>
                <w:sz w:val="28"/>
                <w:szCs w:val="28"/>
                <w:lang w:eastAsia="en-GB"/>
              </w:rPr>
              <w:t xml:space="preserve">Assessment </w:t>
            </w:r>
            <w:r>
              <w:rPr>
                <w:rFonts w:ascii="Times" w:eastAsia="Times New Roman" w:hAnsi="Times" w:cs="Arial"/>
                <w:color w:val="000000" w:themeColor="text1"/>
                <w:sz w:val="28"/>
                <w:szCs w:val="28"/>
                <w:lang w:eastAsia="en-GB"/>
              </w:rPr>
              <w:t>2</w:t>
            </w:r>
          </w:p>
          <w:p w14:paraId="7D524444" w14:textId="77777777" w:rsidR="00742752" w:rsidRPr="00742752" w:rsidRDefault="00742752" w:rsidP="00742752">
            <w:pPr>
              <w:spacing w:after="0" w:line="240" w:lineRule="auto"/>
              <w:jc w:val="center"/>
              <w:rPr>
                <w:rFonts w:eastAsia="Times New Roman" w:cs="Times New Roman"/>
                <w:color w:val="000000" w:themeColor="text1"/>
                <w:sz w:val="28"/>
                <w:szCs w:val="28"/>
                <w:lang w:eastAsia="en-GB"/>
              </w:rPr>
            </w:pPr>
          </w:p>
        </w:tc>
      </w:tr>
      <w:tr w:rsidR="00742752" w:rsidRPr="00742752" w14:paraId="461111E5" w14:textId="77777777" w:rsidTr="00572AEE">
        <w:trPr>
          <w:trHeight w:val="405"/>
        </w:trPr>
        <w:tc>
          <w:tcPr>
            <w:tcW w:w="10348" w:type="dxa"/>
            <w:gridSpan w:val="4"/>
            <w:tcBorders>
              <w:top w:val="nil"/>
              <w:left w:val="single" w:sz="4" w:space="0" w:color="auto"/>
              <w:bottom w:val="single" w:sz="4" w:space="0" w:color="auto"/>
              <w:right w:val="single" w:sz="4" w:space="0" w:color="000000"/>
            </w:tcBorders>
            <w:noWrap/>
            <w:vAlign w:val="center"/>
            <w:hideMark/>
          </w:tcPr>
          <w:p w14:paraId="42A11D5B"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r w:rsidRPr="00742752">
              <w:rPr>
                <w:rFonts w:ascii="Times" w:eastAsia="Times New Roman" w:hAnsi="Times" w:cs="Arial"/>
                <w:b/>
                <w:bCs/>
                <w:color w:val="000000" w:themeColor="text1"/>
                <w:sz w:val="28"/>
                <w:szCs w:val="28"/>
                <w:lang w:eastAsia="en-GB"/>
              </w:rPr>
              <w:t xml:space="preserve">Academic Declaration:                                               </w:t>
            </w:r>
          </w:p>
          <w:p w14:paraId="39EFF830" w14:textId="77777777" w:rsidR="00742752" w:rsidRPr="00742752" w:rsidRDefault="00742752" w:rsidP="00742752">
            <w:pPr>
              <w:spacing w:after="0" w:line="240" w:lineRule="auto"/>
              <w:jc w:val="both"/>
              <w:rPr>
                <w:rFonts w:ascii="Times" w:eastAsia="Calibri" w:hAnsi="Times" w:cs="Arial"/>
                <w:i/>
                <w:color w:val="000000" w:themeColor="text1"/>
                <w:sz w:val="28"/>
                <w:szCs w:val="28"/>
              </w:rPr>
            </w:pPr>
            <w:r w:rsidRPr="00742752">
              <w:rPr>
                <w:rFonts w:ascii="Calibri" w:eastAsia="Calibri" w:hAnsi="Calibri" w:cs="Times New Roman"/>
                <w:i/>
                <w:iCs/>
                <w:color w:val="000000" w:themeColor="text1"/>
                <w:sz w:val="22"/>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tc>
      </w:tr>
      <w:tr w:rsidR="00742752" w:rsidRPr="00742752" w14:paraId="35B71F72" w14:textId="77777777" w:rsidTr="00572AEE">
        <w:trPr>
          <w:trHeight w:val="405"/>
        </w:trPr>
        <w:tc>
          <w:tcPr>
            <w:tcW w:w="3439" w:type="dxa"/>
            <w:tcBorders>
              <w:top w:val="nil"/>
              <w:left w:val="single" w:sz="4" w:space="0" w:color="auto"/>
              <w:bottom w:val="single" w:sz="4" w:space="0" w:color="auto"/>
              <w:right w:val="single" w:sz="4" w:space="0" w:color="auto"/>
            </w:tcBorders>
            <w:noWrap/>
            <w:vAlign w:val="center"/>
            <w:hideMark/>
          </w:tcPr>
          <w:p w14:paraId="17E84A79"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r w:rsidRPr="00742752">
              <w:rPr>
                <w:rFonts w:ascii="Times" w:eastAsia="Times New Roman" w:hAnsi="Times" w:cs="Arial"/>
                <w:b/>
                <w:bCs/>
                <w:color w:val="000000" w:themeColor="text1"/>
                <w:sz w:val="28"/>
                <w:szCs w:val="28"/>
                <w:lang w:eastAsia="en-GB"/>
              </w:rPr>
              <w:t>Word Count</w:t>
            </w:r>
          </w:p>
        </w:tc>
        <w:tc>
          <w:tcPr>
            <w:tcW w:w="2300" w:type="dxa"/>
            <w:tcBorders>
              <w:top w:val="single" w:sz="4" w:space="0" w:color="auto"/>
              <w:left w:val="nil"/>
              <w:bottom w:val="single" w:sz="4" w:space="0" w:color="auto"/>
              <w:right w:val="nil"/>
            </w:tcBorders>
            <w:noWrap/>
            <w:vAlign w:val="center"/>
            <w:hideMark/>
          </w:tcPr>
          <w:p w14:paraId="457DB3FC" w14:textId="353429FE"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r w:rsidRPr="00742752">
              <w:rPr>
                <w:rFonts w:ascii="Times" w:eastAsia="Times New Roman" w:hAnsi="Times" w:cs="Arial"/>
                <w:b/>
                <w:bCs/>
                <w:color w:val="000000" w:themeColor="text1"/>
                <w:sz w:val="28"/>
                <w:szCs w:val="28"/>
                <w:lang w:eastAsia="en-GB"/>
              </w:rPr>
              <w:t> 2</w:t>
            </w:r>
            <w:r>
              <w:rPr>
                <w:rFonts w:ascii="Times" w:eastAsia="Times New Roman" w:hAnsi="Times" w:cs="Arial"/>
                <w:b/>
                <w:bCs/>
                <w:color w:val="000000" w:themeColor="text1"/>
                <w:sz w:val="28"/>
                <w:szCs w:val="28"/>
                <w:lang w:eastAsia="en-GB"/>
              </w:rPr>
              <w:t>390</w:t>
            </w:r>
          </w:p>
        </w:tc>
        <w:tc>
          <w:tcPr>
            <w:tcW w:w="1920" w:type="dxa"/>
            <w:tcBorders>
              <w:top w:val="single" w:sz="4" w:space="0" w:color="auto"/>
              <w:left w:val="single" w:sz="4" w:space="0" w:color="auto"/>
              <w:bottom w:val="single" w:sz="4" w:space="0" w:color="auto"/>
              <w:right w:val="single" w:sz="4" w:space="0" w:color="000000"/>
            </w:tcBorders>
            <w:noWrap/>
            <w:vAlign w:val="center"/>
            <w:hideMark/>
          </w:tcPr>
          <w:p w14:paraId="026EB4F3" w14:textId="77777777"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r w:rsidRPr="00742752">
              <w:rPr>
                <w:rFonts w:ascii="Times" w:eastAsia="Times New Roman" w:hAnsi="Times" w:cs="Arial"/>
                <w:b/>
                <w:bCs/>
                <w:color w:val="000000" w:themeColor="text1"/>
                <w:sz w:val="28"/>
                <w:szCs w:val="28"/>
                <w:lang w:eastAsia="en-GB"/>
              </w:rPr>
              <w:t>Date Submitted</w:t>
            </w:r>
          </w:p>
        </w:tc>
        <w:tc>
          <w:tcPr>
            <w:tcW w:w="2689" w:type="dxa"/>
            <w:tcBorders>
              <w:top w:val="single" w:sz="4" w:space="0" w:color="auto"/>
              <w:left w:val="nil"/>
              <w:bottom w:val="single" w:sz="4" w:space="0" w:color="auto"/>
              <w:right w:val="single" w:sz="4" w:space="0" w:color="000000"/>
            </w:tcBorders>
            <w:noWrap/>
            <w:vAlign w:val="center"/>
            <w:hideMark/>
          </w:tcPr>
          <w:p w14:paraId="6C207F0E" w14:textId="524437B5" w:rsidR="00742752" w:rsidRPr="00742752" w:rsidRDefault="00742752" w:rsidP="00742752">
            <w:pPr>
              <w:spacing w:after="0" w:line="240" w:lineRule="auto"/>
              <w:jc w:val="both"/>
              <w:rPr>
                <w:rFonts w:ascii="Times" w:eastAsia="Times New Roman" w:hAnsi="Times" w:cs="Arial"/>
                <w:b/>
                <w:bCs/>
                <w:color w:val="000000" w:themeColor="text1"/>
                <w:sz w:val="28"/>
                <w:szCs w:val="28"/>
                <w:lang w:eastAsia="en-GB"/>
              </w:rPr>
            </w:pPr>
            <w:r w:rsidRPr="00742752">
              <w:rPr>
                <w:rFonts w:ascii="Times" w:eastAsia="Times New Roman" w:hAnsi="Times" w:cs="Arial"/>
                <w:b/>
                <w:bCs/>
                <w:color w:val="000000" w:themeColor="text1"/>
                <w:sz w:val="28"/>
                <w:szCs w:val="28"/>
                <w:lang w:eastAsia="en-GB"/>
              </w:rPr>
              <w:t> </w:t>
            </w:r>
            <w:r>
              <w:rPr>
                <w:rFonts w:ascii="Times" w:eastAsia="Times New Roman" w:hAnsi="Times" w:cs="Arial"/>
                <w:b/>
                <w:bCs/>
                <w:color w:val="000000" w:themeColor="text1"/>
                <w:sz w:val="28"/>
                <w:szCs w:val="28"/>
                <w:lang w:eastAsia="en-GB"/>
              </w:rPr>
              <w:t>16</w:t>
            </w:r>
            <w:r w:rsidRPr="00742752">
              <w:rPr>
                <w:rFonts w:ascii="Times" w:eastAsia="Times New Roman" w:hAnsi="Times" w:cs="Arial"/>
                <w:b/>
                <w:bCs/>
                <w:color w:val="000000" w:themeColor="text1"/>
                <w:sz w:val="28"/>
                <w:szCs w:val="28"/>
                <w:lang w:eastAsia="en-GB"/>
              </w:rPr>
              <w:t>.</w:t>
            </w:r>
            <w:r>
              <w:rPr>
                <w:rFonts w:ascii="Times" w:eastAsia="Times New Roman" w:hAnsi="Times" w:cs="Arial"/>
                <w:b/>
                <w:bCs/>
                <w:color w:val="000000" w:themeColor="text1"/>
                <w:sz w:val="28"/>
                <w:szCs w:val="28"/>
                <w:lang w:eastAsia="en-GB"/>
              </w:rPr>
              <w:t>01</w:t>
            </w:r>
            <w:r w:rsidRPr="00742752">
              <w:rPr>
                <w:rFonts w:ascii="Times" w:eastAsia="Times New Roman" w:hAnsi="Times" w:cs="Arial"/>
                <w:b/>
                <w:bCs/>
                <w:color w:val="000000" w:themeColor="text1"/>
                <w:sz w:val="28"/>
                <w:szCs w:val="28"/>
                <w:lang w:eastAsia="en-GB"/>
              </w:rPr>
              <w:t>.202</w:t>
            </w:r>
            <w:r>
              <w:rPr>
                <w:rFonts w:ascii="Times" w:eastAsia="Times New Roman" w:hAnsi="Times" w:cs="Arial"/>
                <w:b/>
                <w:bCs/>
                <w:color w:val="000000" w:themeColor="text1"/>
                <w:sz w:val="28"/>
                <w:szCs w:val="28"/>
                <w:lang w:eastAsia="en-GB"/>
              </w:rPr>
              <w:t>3</w:t>
            </w:r>
          </w:p>
        </w:tc>
      </w:tr>
    </w:tbl>
    <w:p w14:paraId="7AC8D2FC" w14:textId="338F878A" w:rsidR="00540E5A" w:rsidRDefault="007E664D" w:rsidP="00294556">
      <w:pPr>
        <w:spacing w:line="360" w:lineRule="auto"/>
        <w:jc w:val="both"/>
      </w:pPr>
      <w:r>
        <w:rPr>
          <w:noProof/>
        </w:rPr>
        <w:drawing>
          <wp:anchor distT="0" distB="0" distL="114300" distR="114300" simplePos="0" relativeHeight="251659264" behindDoc="1" locked="0" layoutInCell="1" allowOverlap="1" wp14:anchorId="244F796C" wp14:editId="223A55AD">
            <wp:simplePos x="0" y="0"/>
            <wp:positionH relativeFrom="column">
              <wp:posOffset>-342900</wp:posOffset>
            </wp:positionH>
            <wp:positionV relativeFrom="page">
              <wp:posOffset>411480</wp:posOffset>
            </wp:positionV>
            <wp:extent cx="769620" cy="729116"/>
            <wp:effectExtent l="0" t="0" r="0"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9620" cy="729116"/>
                    </a:xfrm>
                    <a:prstGeom prst="rect">
                      <a:avLst/>
                    </a:prstGeom>
                    <a:noFill/>
                  </pic:spPr>
                </pic:pic>
              </a:graphicData>
            </a:graphic>
            <wp14:sizeRelH relativeFrom="margin">
              <wp14:pctWidth>0</wp14:pctWidth>
            </wp14:sizeRelH>
            <wp14:sizeRelV relativeFrom="margin">
              <wp14:pctHeight>0</wp14:pctHeight>
            </wp14:sizeRelV>
          </wp:anchor>
        </w:drawing>
      </w:r>
    </w:p>
    <w:p w14:paraId="58A30271" w14:textId="00A18943" w:rsidR="00B666D4" w:rsidRDefault="00B666D4" w:rsidP="00294556">
      <w:pPr>
        <w:spacing w:line="360" w:lineRule="auto"/>
        <w:jc w:val="both"/>
      </w:pPr>
      <w:r>
        <w:br w:type="page"/>
      </w:r>
    </w:p>
    <w:sdt>
      <w:sdtPr>
        <w:rPr>
          <w:rFonts w:asciiTheme="majorBidi" w:eastAsiaTheme="minorHAnsi" w:hAnsiTheme="majorBidi" w:cstheme="minorBidi"/>
          <w:color w:val="auto"/>
          <w:sz w:val="24"/>
          <w:szCs w:val="22"/>
          <w:lang w:val="en-GB"/>
        </w:rPr>
        <w:id w:val="208541967"/>
        <w:docPartObj>
          <w:docPartGallery w:val="Table of Contents"/>
          <w:docPartUnique/>
        </w:docPartObj>
      </w:sdtPr>
      <w:sdtEndPr>
        <w:rPr>
          <w:b/>
          <w:bCs/>
          <w:noProof/>
        </w:rPr>
      </w:sdtEndPr>
      <w:sdtContent>
        <w:p w14:paraId="4229F93D" w14:textId="6BE25AB3" w:rsidR="00A470F2" w:rsidRPr="003951A7" w:rsidRDefault="00A470F2" w:rsidP="00A470F2">
          <w:pPr>
            <w:pStyle w:val="TOCHeading"/>
            <w:spacing w:line="360" w:lineRule="auto"/>
            <w:jc w:val="both"/>
            <w:rPr>
              <w:rFonts w:asciiTheme="majorBidi" w:hAnsiTheme="majorBidi"/>
              <w:b/>
              <w:bCs/>
              <w:color w:val="auto"/>
            </w:rPr>
          </w:pPr>
          <w:r w:rsidRPr="003951A7">
            <w:rPr>
              <w:rFonts w:asciiTheme="majorBidi" w:hAnsiTheme="majorBidi"/>
              <w:b/>
              <w:bCs/>
              <w:color w:val="auto"/>
            </w:rPr>
            <w:t>Table of Contents</w:t>
          </w:r>
        </w:p>
        <w:p w14:paraId="2D11DE5F" w14:textId="58D3A237" w:rsidR="00A470F2" w:rsidRPr="00A470F2" w:rsidRDefault="00A470F2" w:rsidP="00A470F2">
          <w:pPr>
            <w:pStyle w:val="TOC1"/>
            <w:tabs>
              <w:tab w:val="right" w:leader="dot" w:pos="9350"/>
            </w:tabs>
            <w:spacing w:line="360" w:lineRule="auto"/>
            <w:jc w:val="both"/>
            <w:rPr>
              <w:rFonts w:asciiTheme="majorBidi" w:hAnsiTheme="majorBidi" w:cstheme="majorBidi"/>
              <w:noProof/>
            </w:rPr>
          </w:pPr>
          <w:r w:rsidRPr="00A470F2">
            <w:rPr>
              <w:rFonts w:asciiTheme="majorBidi" w:hAnsiTheme="majorBidi" w:cstheme="majorBidi"/>
            </w:rPr>
            <w:fldChar w:fldCharType="begin"/>
          </w:r>
          <w:r w:rsidRPr="00A470F2">
            <w:rPr>
              <w:rFonts w:asciiTheme="majorBidi" w:hAnsiTheme="majorBidi" w:cstheme="majorBidi"/>
            </w:rPr>
            <w:instrText xml:space="preserve"> TOC \o "1-3" \h \z \u </w:instrText>
          </w:r>
          <w:r w:rsidRPr="00A470F2">
            <w:rPr>
              <w:rFonts w:asciiTheme="majorBidi" w:hAnsiTheme="majorBidi" w:cstheme="majorBidi"/>
            </w:rPr>
            <w:fldChar w:fldCharType="separate"/>
          </w:r>
          <w:hyperlink w:anchor="_Toc124027792" w:history="1">
            <w:r w:rsidRPr="00A470F2">
              <w:rPr>
                <w:rStyle w:val="Hyperlink"/>
                <w:rFonts w:asciiTheme="majorBidi" w:hAnsiTheme="majorBidi" w:cstheme="majorBidi"/>
                <w:noProof/>
                <w:color w:val="auto"/>
              </w:rPr>
              <w:t>Introduction</w:t>
            </w:r>
            <w:r w:rsidRPr="00A470F2">
              <w:rPr>
                <w:rFonts w:asciiTheme="majorBidi" w:hAnsiTheme="majorBidi" w:cstheme="majorBidi"/>
                <w:noProof/>
                <w:webHidden/>
              </w:rPr>
              <w:tab/>
            </w:r>
            <w:r w:rsidRPr="00A470F2">
              <w:rPr>
                <w:rFonts w:asciiTheme="majorBidi" w:hAnsiTheme="majorBidi" w:cstheme="majorBidi"/>
                <w:noProof/>
                <w:webHidden/>
              </w:rPr>
              <w:fldChar w:fldCharType="begin"/>
            </w:r>
            <w:r w:rsidRPr="00A470F2">
              <w:rPr>
                <w:rFonts w:asciiTheme="majorBidi" w:hAnsiTheme="majorBidi" w:cstheme="majorBidi"/>
                <w:noProof/>
                <w:webHidden/>
              </w:rPr>
              <w:instrText xml:space="preserve"> PAGEREF _Toc124027792 \h </w:instrText>
            </w:r>
            <w:r w:rsidRPr="00A470F2">
              <w:rPr>
                <w:rFonts w:asciiTheme="majorBidi" w:hAnsiTheme="majorBidi" w:cstheme="majorBidi"/>
                <w:noProof/>
                <w:webHidden/>
              </w:rPr>
            </w:r>
            <w:r w:rsidRPr="00A470F2">
              <w:rPr>
                <w:rFonts w:asciiTheme="majorBidi" w:hAnsiTheme="majorBidi" w:cstheme="majorBidi"/>
                <w:noProof/>
                <w:webHidden/>
              </w:rPr>
              <w:fldChar w:fldCharType="separate"/>
            </w:r>
            <w:r w:rsidRPr="00A470F2">
              <w:rPr>
                <w:rFonts w:asciiTheme="majorBidi" w:hAnsiTheme="majorBidi" w:cstheme="majorBidi"/>
                <w:noProof/>
                <w:webHidden/>
              </w:rPr>
              <w:t>3</w:t>
            </w:r>
            <w:r w:rsidRPr="00A470F2">
              <w:rPr>
                <w:rFonts w:asciiTheme="majorBidi" w:hAnsiTheme="majorBidi" w:cstheme="majorBidi"/>
                <w:noProof/>
                <w:webHidden/>
              </w:rPr>
              <w:fldChar w:fldCharType="end"/>
            </w:r>
          </w:hyperlink>
        </w:p>
        <w:p w14:paraId="218CA427" w14:textId="42D59066" w:rsidR="00A470F2" w:rsidRPr="00A470F2" w:rsidRDefault="00000000" w:rsidP="00A470F2">
          <w:pPr>
            <w:pStyle w:val="TOC1"/>
            <w:tabs>
              <w:tab w:val="right" w:leader="dot" w:pos="9350"/>
            </w:tabs>
            <w:spacing w:line="360" w:lineRule="auto"/>
            <w:jc w:val="both"/>
            <w:rPr>
              <w:rFonts w:asciiTheme="majorBidi" w:hAnsiTheme="majorBidi" w:cstheme="majorBidi"/>
              <w:noProof/>
            </w:rPr>
          </w:pPr>
          <w:hyperlink w:anchor="_Toc124027793" w:history="1">
            <w:r w:rsidR="00A470F2" w:rsidRPr="00A470F2">
              <w:rPr>
                <w:rStyle w:val="Hyperlink"/>
                <w:rFonts w:asciiTheme="majorBidi" w:hAnsiTheme="majorBidi" w:cstheme="majorBidi"/>
                <w:noProof/>
                <w:color w:val="auto"/>
              </w:rPr>
              <w:t>Evaluating the Elizabeth Line Project</w:t>
            </w:r>
            <w:r w:rsidR="00A470F2" w:rsidRPr="00A470F2">
              <w:rPr>
                <w:rFonts w:asciiTheme="majorBidi" w:hAnsiTheme="majorBidi" w:cstheme="majorBidi"/>
                <w:noProof/>
                <w:webHidden/>
              </w:rPr>
              <w:tab/>
            </w:r>
            <w:r w:rsidR="00A470F2" w:rsidRPr="00A470F2">
              <w:rPr>
                <w:rFonts w:asciiTheme="majorBidi" w:hAnsiTheme="majorBidi" w:cstheme="majorBidi"/>
                <w:noProof/>
                <w:webHidden/>
              </w:rPr>
              <w:fldChar w:fldCharType="begin"/>
            </w:r>
            <w:r w:rsidR="00A470F2" w:rsidRPr="00A470F2">
              <w:rPr>
                <w:rFonts w:asciiTheme="majorBidi" w:hAnsiTheme="majorBidi" w:cstheme="majorBidi"/>
                <w:noProof/>
                <w:webHidden/>
              </w:rPr>
              <w:instrText xml:space="preserve"> PAGEREF _Toc124027793 \h </w:instrText>
            </w:r>
            <w:r w:rsidR="00A470F2" w:rsidRPr="00A470F2">
              <w:rPr>
                <w:rFonts w:asciiTheme="majorBidi" w:hAnsiTheme="majorBidi" w:cstheme="majorBidi"/>
                <w:noProof/>
                <w:webHidden/>
              </w:rPr>
            </w:r>
            <w:r w:rsidR="00A470F2" w:rsidRPr="00A470F2">
              <w:rPr>
                <w:rFonts w:asciiTheme="majorBidi" w:hAnsiTheme="majorBidi" w:cstheme="majorBidi"/>
                <w:noProof/>
                <w:webHidden/>
              </w:rPr>
              <w:fldChar w:fldCharType="separate"/>
            </w:r>
            <w:r w:rsidR="00A470F2" w:rsidRPr="00A470F2">
              <w:rPr>
                <w:rFonts w:asciiTheme="majorBidi" w:hAnsiTheme="majorBidi" w:cstheme="majorBidi"/>
                <w:noProof/>
                <w:webHidden/>
              </w:rPr>
              <w:t>4</w:t>
            </w:r>
            <w:r w:rsidR="00A470F2" w:rsidRPr="00A470F2">
              <w:rPr>
                <w:rFonts w:asciiTheme="majorBidi" w:hAnsiTheme="majorBidi" w:cstheme="majorBidi"/>
                <w:noProof/>
                <w:webHidden/>
              </w:rPr>
              <w:fldChar w:fldCharType="end"/>
            </w:r>
          </w:hyperlink>
        </w:p>
        <w:p w14:paraId="2B822424" w14:textId="40068BD5" w:rsidR="00A470F2" w:rsidRPr="00A470F2" w:rsidRDefault="00000000" w:rsidP="00A470F2">
          <w:pPr>
            <w:pStyle w:val="TOC1"/>
            <w:tabs>
              <w:tab w:val="right" w:leader="dot" w:pos="9350"/>
            </w:tabs>
            <w:spacing w:line="360" w:lineRule="auto"/>
            <w:jc w:val="both"/>
            <w:rPr>
              <w:rFonts w:asciiTheme="majorBidi" w:hAnsiTheme="majorBidi" w:cstheme="majorBidi"/>
              <w:noProof/>
            </w:rPr>
          </w:pPr>
          <w:hyperlink w:anchor="_Toc124027794" w:history="1">
            <w:r w:rsidR="00A470F2" w:rsidRPr="00A470F2">
              <w:rPr>
                <w:rStyle w:val="Hyperlink"/>
                <w:rFonts w:asciiTheme="majorBidi" w:hAnsiTheme="majorBidi" w:cstheme="majorBidi"/>
                <w:noProof/>
                <w:color w:val="auto"/>
              </w:rPr>
              <w:t>Conclusion</w:t>
            </w:r>
            <w:r w:rsidR="00A470F2" w:rsidRPr="00A470F2">
              <w:rPr>
                <w:rFonts w:asciiTheme="majorBidi" w:hAnsiTheme="majorBidi" w:cstheme="majorBidi"/>
                <w:noProof/>
                <w:webHidden/>
              </w:rPr>
              <w:tab/>
            </w:r>
            <w:r w:rsidR="00A470F2" w:rsidRPr="00A470F2">
              <w:rPr>
                <w:rFonts w:asciiTheme="majorBidi" w:hAnsiTheme="majorBidi" w:cstheme="majorBidi"/>
                <w:noProof/>
                <w:webHidden/>
              </w:rPr>
              <w:fldChar w:fldCharType="begin"/>
            </w:r>
            <w:r w:rsidR="00A470F2" w:rsidRPr="00A470F2">
              <w:rPr>
                <w:rFonts w:asciiTheme="majorBidi" w:hAnsiTheme="majorBidi" w:cstheme="majorBidi"/>
                <w:noProof/>
                <w:webHidden/>
              </w:rPr>
              <w:instrText xml:space="preserve"> PAGEREF _Toc124027794 \h </w:instrText>
            </w:r>
            <w:r w:rsidR="00A470F2" w:rsidRPr="00A470F2">
              <w:rPr>
                <w:rFonts w:asciiTheme="majorBidi" w:hAnsiTheme="majorBidi" w:cstheme="majorBidi"/>
                <w:noProof/>
                <w:webHidden/>
              </w:rPr>
            </w:r>
            <w:r w:rsidR="00A470F2" w:rsidRPr="00A470F2">
              <w:rPr>
                <w:rFonts w:asciiTheme="majorBidi" w:hAnsiTheme="majorBidi" w:cstheme="majorBidi"/>
                <w:noProof/>
                <w:webHidden/>
              </w:rPr>
              <w:fldChar w:fldCharType="separate"/>
            </w:r>
            <w:r w:rsidR="00A470F2" w:rsidRPr="00A470F2">
              <w:rPr>
                <w:rFonts w:asciiTheme="majorBidi" w:hAnsiTheme="majorBidi" w:cstheme="majorBidi"/>
                <w:noProof/>
                <w:webHidden/>
              </w:rPr>
              <w:t>9</w:t>
            </w:r>
            <w:r w:rsidR="00A470F2" w:rsidRPr="00A470F2">
              <w:rPr>
                <w:rFonts w:asciiTheme="majorBidi" w:hAnsiTheme="majorBidi" w:cstheme="majorBidi"/>
                <w:noProof/>
                <w:webHidden/>
              </w:rPr>
              <w:fldChar w:fldCharType="end"/>
            </w:r>
          </w:hyperlink>
        </w:p>
        <w:p w14:paraId="3AB146DB" w14:textId="08C02E71" w:rsidR="00A470F2" w:rsidRPr="00A470F2" w:rsidRDefault="00000000" w:rsidP="00A470F2">
          <w:pPr>
            <w:pStyle w:val="TOC1"/>
            <w:tabs>
              <w:tab w:val="right" w:leader="dot" w:pos="9350"/>
            </w:tabs>
            <w:spacing w:line="360" w:lineRule="auto"/>
            <w:jc w:val="both"/>
            <w:rPr>
              <w:rFonts w:asciiTheme="majorBidi" w:hAnsiTheme="majorBidi" w:cstheme="majorBidi"/>
              <w:noProof/>
            </w:rPr>
          </w:pPr>
          <w:hyperlink w:anchor="_Toc124027795" w:history="1">
            <w:r w:rsidR="00A470F2" w:rsidRPr="00A470F2">
              <w:rPr>
                <w:rStyle w:val="Hyperlink"/>
                <w:rFonts w:asciiTheme="majorBidi" w:hAnsiTheme="majorBidi" w:cstheme="majorBidi"/>
                <w:noProof/>
                <w:color w:val="auto"/>
              </w:rPr>
              <w:t>References</w:t>
            </w:r>
            <w:r w:rsidR="00A470F2" w:rsidRPr="00A470F2">
              <w:rPr>
                <w:rFonts w:asciiTheme="majorBidi" w:hAnsiTheme="majorBidi" w:cstheme="majorBidi"/>
                <w:noProof/>
                <w:webHidden/>
              </w:rPr>
              <w:tab/>
            </w:r>
            <w:r w:rsidR="00A470F2" w:rsidRPr="00A470F2">
              <w:rPr>
                <w:rFonts w:asciiTheme="majorBidi" w:hAnsiTheme="majorBidi" w:cstheme="majorBidi"/>
                <w:noProof/>
                <w:webHidden/>
              </w:rPr>
              <w:fldChar w:fldCharType="begin"/>
            </w:r>
            <w:r w:rsidR="00A470F2" w:rsidRPr="00A470F2">
              <w:rPr>
                <w:rFonts w:asciiTheme="majorBidi" w:hAnsiTheme="majorBidi" w:cstheme="majorBidi"/>
                <w:noProof/>
                <w:webHidden/>
              </w:rPr>
              <w:instrText xml:space="preserve"> PAGEREF _Toc124027795 \h </w:instrText>
            </w:r>
            <w:r w:rsidR="00A470F2" w:rsidRPr="00A470F2">
              <w:rPr>
                <w:rFonts w:asciiTheme="majorBidi" w:hAnsiTheme="majorBidi" w:cstheme="majorBidi"/>
                <w:noProof/>
                <w:webHidden/>
              </w:rPr>
            </w:r>
            <w:r w:rsidR="00A470F2" w:rsidRPr="00A470F2">
              <w:rPr>
                <w:rFonts w:asciiTheme="majorBidi" w:hAnsiTheme="majorBidi" w:cstheme="majorBidi"/>
                <w:noProof/>
                <w:webHidden/>
              </w:rPr>
              <w:fldChar w:fldCharType="separate"/>
            </w:r>
            <w:r w:rsidR="00A470F2" w:rsidRPr="00A470F2">
              <w:rPr>
                <w:rFonts w:asciiTheme="majorBidi" w:hAnsiTheme="majorBidi" w:cstheme="majorBidi"/>
                <w:noProof/>
                <w:webHidden/>
              </w:rPr>
              <w:t>10</w:t>
            </w:r>
            <w:r w:rsidR="00A470F2" w:rsidRPr="00A470F2">
              <w:rPr>
                <w:rFonts w:asciiTheme="majorBidi" w:hAnsiTheme="majorBidi" w:cstheme="majorBidi"/>
                <w:noProof/>
                <w:webHidden/>
              </w:rPr>
              <w:fldChar w:fldCharType="end"/>
            </w:r>
          </w:hyperlink>
        </w:p>
        <w:p w14:paraId="5F4B7672" w14:textId="4FC24BCA" w:rsidR="00A470F2" w:rsidRDefault="00A470F2" w:rsidP="00A470F2">
          <w:pPr>
            <w:spacing w:line="360" w:lineRule="auto"/>
            <w:jc w:val="both"/>
          </w:pPr>
          <w:r w:rsidRPr="00A470F2">
            <w:rPr>
              <w:rFonts w:asciiTheme="majorBidi" w:hAnsiTheme="majorBidi" w:cstheme="majorBidi"/>
              <w:b/>
              <w:bCs/>
              <w:noProof/>
            </w:rPr>
            <w:fldChar w:fldCharType="end"/>
          </w:r>
        </w:p>
      </w:sdtContent>
    </w:sdt>
    <w:p w14:paraId="501B8B82" w14:textId="4BC3CE99" w:rsidR="00B666D4" w:rsidRDefault="00B666D4" w:rsidP="00294556">
      <w:pPr>
        <w:spacing w:line="360" w:lineRule="auto"/>
        <w:jc w:val="both"/>
      </w:pPr>
      <w:r>
        <w:br w:type="page"/>
      </w:r>
    </w:p>
    <w:p w14:paraId="31D996C1" w14:textId="12B4A9E9" w:rsidR="00B666D4" w:rsidRDefault="00B666D4" w:rsidP="00294556">
      <w:pPr>
        <w:pStyle w:val="Heading1"/>
        <w:spacing w:line="360" w:lineRule="auto"/>
        <w:jc w:val="both"/>
      </w:pPr>
      <w:bookmarkStart w:id="0" w:name="_Toc124027792"/>
      <w:r>
        <w:lastRenderedPageBreak/>
        <w:t>Introduction</w:t>
      </w:r>
      <w:bookmarkEnd w:id="0"/>
    </w:p>
    <w:p w14:paraId="15A99CD9" w14:textId="3442CC00" w:rsidR="009717AA" w:rsidRDefault="00B666D4" w:rsidP="00294556">
      <w:pPr>
        <w:spacing w:line="360" w:lineRule="auto"/>
        <w:jc w:val="both"/>
      </w:pPr>
      <w:r>
        <w:t>Crossrail, or the Elizabeth Line in London, is the greatest infrastructure project ever undertaken in Europe. Over £15.8 billion was projected to be needed to fund the endeavour. The Elizabeth line runs through the centre of London, linking the city's eastern and western boroughs. Its intended service area spans all the way from the western suburbs of Heathrow and Maidenhead to the eastern neighbourhoods of Abbey Wood &amp; Shenfield in London having a length of 118 km</w:t>
      </w:r>
      <w:r w:rsidR="005A11F2">
        <w:t xml:space="preserve"> </w:t>
      </w:r>
      <w:r w:rsidR="005A11F2" w:rsidRPr="005A11F2">
        <w:t>(Buck, 2017)</w:t>
      </w:r>
      <w:r>
        <w:t>. According to projections, between 200 to 280 million passengers would be moved each year. With a projected lifespan of 120 years, this is one of the nation's most significant construction projects in history. When finished, it will make it easier to travel quickly between Heathrow Airport as well as the Wharf business districts in eastern London. After receiving government permission in 2008 under the Crossrail Act of 2008, construction on the project began in 2009</w:t>
      </w:r>
      <w:r w:rsidR="00EA4805">
        <w:t xml:space="preserve"> </w:t>
      </w:r>
      <w:r w:rsidR="00EA4805" w:rsidRPr="00EA4805">
        <w:t>(King, Thomas and Stenning, 2017)</w:t>
      </w:r>
      <w:r>
        <w:t>. In 2018, it was expected that the project will be finished in full. Nonetheless, the project has been slowed by a number of reasons connected to railroad signalling systems and indeed the Covid-19 crisis. However, the Elizabeth line is expected to be finished by the middle of 2022.</w:t>
      </w:r>
      <w:r w:rsidR="00591571">
        <w:t xml:space="preserve"> </w:t>
      </w:r>
    </w:p>
    <w:p w14:paraId="1AC52078" w14:textId="4B66B51D" w:rsidR="009717AA" w:rsidRDefault="00B666D4" w:rsidP="00294556">
      <w:pPr>
        <w:spacing w:line="360" w:lineRule="auto"/>
        <w:jc w:val="both"/>
      </w:pPr>
      <w:r>
        <w:t xml:space="preserve">The purpose of this </w:t>
      </w:r>
      <w:r w:rsidR="00C1267C">
        <w:t>essay</w:t>
      </w:r>
      <w:r>
        <w:t xml:space="preserve"> is to provide a </w:t>
      </w:r>
      <w:r w:rsidR="00C1267C">
        <w:t xml:space="preserve">detailed narrative o the project. The essay also focused on </w:t>
      </w:r>
      <w:r w:rsidR="00831672">
        <w:t xml:space="preserve">the </w:t>
      </w:r>
      <w:r>
        <w:t xml:space="preserve">assessment of the </w:t>
      </w:r>
      <w:r w:rsidR="00591571">
        <w:t>success and failure</w:t>
      </w:r>
      <w:r>
        <w:t xml:space="preserve"> of the Elizabeth Crossrail project. In addition to evaluating and analysing the project for its usefulness, the </w:t>
      </w:r>
      <w:r w:rsidR="00591571">
        <w:t>essay</w:t>
      </w:r>
      <w:r>
        <w:t xml:space="preserve"> will provide suggestions for moving forward. </w:t>
      </w:r>
      <w:r w:rsidR="009717AA" w:rsidRPr="009717AA">
        <w:t xml:space="preserve">It is essential that the </w:t>
      </w:r>
      <w:r w:rsidR="009717AA">
        <w:t>essay</w:t>
      </w:r>
      <w:r w:rsidR="009717AA" w:rsidRPr="009717AA">
        <w:t>'s goals for the project's inception be addressed before attempting to determine the project's success or failure</w:t>
      </w:r>
      <w:r w:rsidR="00AF0FDB">
        <w:t xml:space="preserve"> </w:t>
      </w:r>
      <w:r w:rsidR="00AF0FDB" w:rsidRPr="00AF0FDB">
        <w:t>(Anderson et al., 2016)</w:t>
      </w:r>
      <w:r w:rsidR="009717AA" w:rsidRPr="009717AA">
        <w:t>. Success or failure may be assessed in relation to the project's stated goals. The initial goal of the project was to alleviate congestion in the city by making better use of the city's existing transportation infrastructure and lessening the strain on the current subterranean railway and train services. The project's goals included increasing London's rail coverage by 10% and reducing the number of journeys across the city by 10%.</w:t>
      </w:r>
    </w:p>
    <w:p w14:paraId="1169FA56" w14:textId="76D56F84" w:rsidR="00677B5C" w:rsidRDefault="00677B5C" w:rsidP="00294556">
      <w:pPr>
        <w:spacing w:line="360" w:lineRule="auto"/>
        <w:jc w:val="both"/>
      </w:pPr>
      <w:r>
        <w:br w:type="page"/>
      </w:r>
    </w:p>
    <w:p w14:paraId="75241C93" w14:textId="29E6DF96" w:rsidR="00B666D4" w:rsidRDefault="004A7589" w:rsidP="00294556">
      <w:pPr>
        <w:pStyle w:val="Heading1"/>
        <w:spacing w:line="360" w:lineRule="auto"/>
        <w:jc w:val="both"/>
      </w:pPr>
      <w:bookmarkStart w:id="1" w:name="_Toc124027793"/>
      <w:r>
        <w:lastRenderedPageBreak/>
        <w:t>Evaluating the Elizabeth Line Project</w:t>
      </w:r>
      <w:bookmarkEnd w:id="1"/>
    </w:p>
    <w:p w14:paraId="7447430A" w14:textId="1E75B56F" w:rsidR="00C1267C" w:rsidRDefault="00546FE4" w:rsidP="00294556">
      <w:pPr>
        <w:spacing w:line="360" w:lineRule="auto"/>
        <w:jc w:val="both"/>
      </w:pPr>
      <w:r w:rsidRPr="00546FE4">
        <w:t>Building a train line that size through the middle of a densely populated metropolis like London is very dangerous. Therefore, the project was handled with extreme caution and cutting-edge technology to minimise the impact of any potential problems. Crossrail Limited, the firm in charge of overseeing the project, assembled a group of specialists from a variety of fields to monitor its development and verify that it was carried out in accordance with the books</w:t>
      </w:r>
      <w:r w:rsidR="003C2E71">
        <w:t xml:space="preserve"> </w:t>
      </w:r>
      <w:r w:rsidR="003C2E71" w:rsidRPr="003C2E71">
        <w:t>(Tucker, 2017)</w:t>
      </w:r>
      <w:r w:rsidRPr="00546FE4">
        <w:t>. The committee was tasked with performing a thorough evaluation known as a Performance Assurance Assessment. Commercial benefits, promotion as well as adherence to health and safety measures, project quality, including quality compliance, environmental considerations like environmental risk assessment, the project's social and environmental sustainability effect, and community interaction were all assessed as part of the performance assurance assessment.</w:t>
      </w:r>
    </w:p>
    <w:p w14:paraId="0D882E81" w14:textId="57F1272D" w:rsidR="00415AC1" w:rsidRDefault="00415AC1" w:rsidP="00294556">
      <w:pPr>
        <w:spacing w:line="360" w:lineRule="auto"/>
        <w:jc w:val="both"/>
      </w:pPr>
      <w:r>
        <w:t>The economic, environmental, and social consequences are the three metrics used to evaluate the Elizabeth line project</w:t>
      </w:r>
      <w:r w:rsidR="00933C5C">
        <w:t xml:space="preserve"> </w:t>
      </w:r>
      <w:r w:rsidR="00933C5C" w:rsidRPr="00933C5C">
        <w:t>(Bennett, 2017)</w:t>
      </w:r>
      <w:r>
        <w:t>. The Elizabeth Line is anticipated to have substantial positive effects on the British economy. In sixty years, the project is anticipated to have a net present value of more than $42 billion</w:t>
      </w:r>
      <w:r w:rsidR="00452662">
        <w:t xml:space="preserve"> </w:t>
      </w:r>
      <w:r w:rsidR="00452662" w:rsidRPr="00452662">
        <w:t>(</w:t>
      </w:r>
      <w:proofErr w:type="spellStart"/>
      <w:r w:rsidR="00452662" w:rsidRPr="00452662">
        <w:t>Chodorowski</w:t>
      </w:r>
      <w:proofErr w:type="spellEnd"/>
      <w:r w:rsidR="00452662" w:rsidRPr="00452662">
        <w:t>, Ingram and Black, 2021)</w:t>
      </w:r>
      <w:r>
        <w:t>. Once the project is completed by the end of 2018, it was predicted that the country's economy will gain by an estimated £5.5 billion by 2020. The analysis was repeated in 2017, and the results showed an increase of about £11 billion in GDP by the year 2020. These studies demonstrated the project's potential and economic value. Because of this, businesses and investors were eager to set up shop along the Crossrail route.</w:t>
      </w:r>
    </w:p>
    <w:p w14:paraId="3C6CBE6A" w14:textId="4399FBFE" w:rsidR="00415AC1" w:rsidRDefault="00415AC1" w:rsidP="00294556">
      <w:pPr>
        <w:spacing w:line="360" w:lineRule="auto"/>
        <w:jc w:val="both"/>
      </w:pPr>
      <w:r>
        <w:t>London's congestion will be reduced, travel times will be cut in half, and the city's west and east will be more easily accessible and connected thanks to the project's improved transportation infrastructure. It will also make it easier to build subterranean stations, which will provide new possibilities to the region. Along with the new possibilities afforded by this railway, approximately 3,000,000 square feet of corporate, housing, and retail shops will be built on top of or in close proximity to the new stations. As the Elizabeth train is built, new infrastructure will be established, which will boost economic activity in the surrounding districts. Over 90,000 new houses and over 4.5 million square feet of retail space are expected to be built because of this project. The project's execution has resulted in the creation of more than 55,000 employ</w:t>
      </w:r>
      <w:r w:rsidR="00831672">
        <w:t>ees</w:t>
      </w:r>
      <w:r>
        <w:t>, which has contributed to the country's economic growth and improved the quality of life for its citizens.</w:t>
      </w:r>
    </w:p>
    <w:p w14:paraId="33EBA413" w14:textId="018CF898" w:rsidR="00415AC1" w:rsidRDefault="00415AC1" w:rsidP="00294556">
      <w:pPr>
        <w:spacing w:line="360" w:lineRule="auto"/>
        <w:jc w:val="both"/>
      </w:pPr>
      <w:r>
        <w:lastRenderedPageBreak/>
        <w:t>While the nation as a whole will get economic advantages from the project, certain industries will reap those benefits more directly than others. Businesses in and around London, as well as those involved in real estate development near train stations, and those in the transportation industry, notably at Heathrow Airport, would all gain greatly from the initiative.</w:t>
      </w:r>
    </w:p>
    <w:p w14:paraId="5AB18C18" w14:textId="05652AE0" w:rsidR="00415AC1" w:rsidRDefault="00415AC1" w:rsidP="00294556">
      <w:pPr>
        <w:spacing w:line="360" w:lineRule="auto"/>
        <w:jc w:val="both"/>
      </w:pPr>
      <w:r>
        <w:t>The Elizabeth line, if finished, is intended to enhance the connectivity of London to around 1.5 million passengers daily, moved within 45 mins. Business expansion via clustering agglomeration, a key driver in development and productivity will be encouraged by the accessibility, which will direct traffic flows into the cluster locations. With more people able to easily commute to and from the city from East and West London, retail sales are expected to rise. Direct economic contributions from new companies formed as a result of the Elizabeth Line's development are estimated at between £2 billion and £3 billion.</w:t>
      </w:r>
    </w:p>
    <w:p w14:paraId="1F600EE6" w14:textId="2455C4A6" w:rsidR="00415AC1" w:rsidRDefault="00415AC1" w:rsidP="00294556">
      <w:pPr>
        <w:spacing w:line="360" w:lineRule="auto"/>
        <w:jc w:val="both"/>
      </w:pPr>
      <w:r>
        <w:t>The real estate industry is another sector that stands to gain greatly from the Elizabeth line's completion. By making the most of this window of opportunity, established and up-and-coming real estate firms alike stand to gain substantial rewards</w:t>
      </w:r>
      <w:r w:rsidR="001514A7">
        <w:t xml:space="preserve"> </w:t>
      </w:r>
      <w:r w:rsidR="001514A7" w:rsidRPr="001514A7">
        <w:t>(Kumar, 2022)</w:t>
      </w:r>
      <w:r>
        <w:t>. Those who own properties close to train stations will see a dramatic gain in their investment. Canary Wharf Group, hold</w:t>
      </w:r>
      <w:r w:rsidR="00831672">
        <w:t>ing</w:t>
      </w:r>
      <w:r>
        <w:t xml:space="preserve"> Canary Wharf Estates, and Berkeley Group, which controls Arsenal State in Woolwich, are just two examples of property development corporations that have benefited from the Elizabeth line's arrival. With the construction of the planned Canary Wharf station as well as their £150 million investment </w:t>
      </w:r>
      <w:r w:rsidR="00831672">
        <w:t>in</w:t>
      </w:r>
      <w:r>
        <w:t xml:space="preserve"> the project, Canary Wharf Group was one of the first businesses to grab this golden chance. The Canary company was authorised to create commercial and leisure amenities over the Canary railway station in exchange.</w:t>
      </w:r>
    </w:p>
    <w:p w14:paraId="7CA3C6EF" w14:textId="153DED13" w:rsidR="00415AC1" w:rsidRDefault="00415AC1" w:rsidP="00294556">
      <w:pPr>
        <w:spacing w:line="360" w:lineRule="auto"/>
        <w:jc w:val="both"/>
      </w:pPr>
      <w:r>
        <w:t xml:space="preserve">Heathrow Airport is one of several locations that will get substantial benefits from the project. Public transit is a vital factor in the success of airport infrastructure. The Elizabeth line project will provide a direct connection between Heathrow Airport, which is controlled and operated by Heathrow Airport Holdings Limited, and the heart of London. It is expected that the services </w:t>
      </w:r>
      <w:r w:rsidR="00831672">
        <w:t>at</w:t>
      </w:r>
      <w:r>
        <w:t xml:space="preserve"> Heathrow airport would greatly grow as trave</w:t>
      </w:r>
      <w:r w:rsidR="00831672">
        <w:t>l</w:t>
      </w:r>
      <w:r>
        <w:t>lers would be able to have rapid access to London CBD</w:t>
      </w:r>
      <w:r w:rsidR="001514A7">
        <w:t xml:space="preserve"> </w:t>
      </w:r>
      <w:r w:rsidR="001514A7" w:rsidRPr="001514A7">
        <w:t>(Lazarus, 2018)</w:t>
      </w:r>
      <w:r>
        <w:t xml:space="preserve">. As of now, the airport has experienced increasing traffic &amp; capacity of the consumers serviced by the airport. Upon considering the positive effects the Elizabeth line would have on Heathrow, the airport's management donated £70 million to the project's funding. Aviation businesses </w:t>
      </w:r>
      <w:r w:rsidR="00831672">
        <w:t>that</w:t>
      </w:r>
      <w:r>
        <w:t xml:space="preserve"> utilise the landing strip would pay landing fees that would replenish the fund.</w:t>
      </w:r>
    </w:p>
    <w:p w14:paraId="3213B9A2" w14:textId="73E14E47" w:rsidR="00415AC1" w:rsidRDefault="00415AC1" w:rsidP="00294556">
      <w:pPr>
        <w:spacing w:line="360" w:lineRule="auto"/>
        <w:jc w:val="both"/>
      </w:pPr>
      <w:r>
        <w:lastRenderedPageBreak/>
        <w:t xml:space="preserve">Successful environmental impact management is another key component of the Elizabeth line. For this reason, the building of the Elizabeth line was planned to cause as </w:t>
      </w:r>
      <w:r w:rsidR="00831672">
        <w:t>few</w:t>
      </w:r>
      <w:r>
        <w:t xml:space="preserve"> disruptions to the natural environment as feasible. Goals for slowing down environmental deterioration were established, and they were met. When it comes to the excavated materials, for example, the project management made sure that 99.7 per</w:t>
      </w:r>
      <w:r w:rsidR="00831672">
        <w:t xml:space="preserve"> </w:t>
      </w:r>
      <w:r>
        <w:t xml:space="preserve">cent of them were put to good use and not discarded. Over 8 million tonnes of excavated materials &amp; rubbish were recycled into parks, marshes, farmland, factories, and parks. </w:t>
      </w:r>
      <w:proofErr w:type="spellStart"/>
      <w:r>
        <w:t>Wall</w:t>
      </w:r>
      <w:r w:rsidR="00831672">
        <w:t>asea</w:t>
      </w:r>
      <w:proofErr w:type="spellEnd"/>
      <w:r>
        <w:t xml:space="preserve"> Island Nature Reserve in Essex is one of the most well-known landmarks built using uncovered materials. The facility has been created in collaboration with the "Royal Society for the Protection of Birds" (RSPB). </w:t>
      </w:r>
      <w:proofErr w:type="spellStart"/>
      <w:r>
        <w:t>Wallase</w:t>
      </w:r>
      <w:r w:rsidR="00831672">
        <w:t>a</w:t>
      </w:r>
      <w:proofErr w:type="spellEnd"/>
      <w:r>
        <w:t xml:space="preserve"> Island is an important stopover for migrating birds in Europe.</w:t>
      </w:r>
    </w:p>
    <w:p w14:paraId="42FF06A0" w14:textId="0BDF4896" w:rsidR="00546FE4" w:rsidRDefault="00415AC1" w:rsidP="00294556">
      <w:pPr>
        <w:spacing w:line="360" w:lineRule="auto"/>
        <w:jc w:val="both"/>
      </w:pPr>
      <w:r>
        <w:t xml:space="preserve">In addition, nearly 6.4 million tonnes of the excavated materials were carried by water and rail to lessen the impact on the environment. This cut down on the </w:t>
      </w:r>
      <w:r w:rsidR="00831672">
        <w:t>number</w:t>
      </w:r>
      <w:r>
        <w:t xml:space="preserve"> of trucks driving around London carrying excavated materials and thereby improved the city's air quality. It's also important to remember that certain buildings had to be demolished in order for the Elizabeth line to be built</w:t>
      </w:r>
      <w:r w:rsidR="00EB6E72">
        <w:t xml:space="preserve"> </w:t>
      </w:r>
      <w:r w:rsidR="00EB6E72" w:rsidRPr="00EB6E72">
        <w:t>(Linde-Arias, Lemmon and Ares, 2019)</w:t>
      </w:r>
      <w:r>
        <w:t xml:space="preserve">. More than 539 400 metric tonnes of debris were produced as a result of </w:t>
      </w:r>
      <w:r w:rsidR="00831672">
        <w:t xml:space="preserve">the </w:t>
      </w:r>
      <w:r>
        <w:t xml:space="preserve">demolishment. More </w:t>
      </w:r>
      <w:r w:rsidR="00831672">
        <w:t>than</w:t>
      </w:r>
      <w:r>
        <w:t xml:space="preserve"> 39% of these materials were put to use in recycling programmes, while the remainder ended up in landfills. The original goal for recycling was 20%, therefore the projection is 99% over that. The emissions from the many kinds of equipment necessary to complete such a vast project pose a substantial threat to local air quality. By equipping machinery with emission controls, this effort considerably mitigated the deterioration of air quality. Analyses of the potential effects of a tunnel's construction on the environment revealed that it would have a devastating effect on wildlife populations</w:t>
      </w:r>
      <w:r w:rsidR="00C84ADB">
        <w:t xml:space="preserve"> </w:t>
      </w:r>
      <w:r w:rsidR="00C84ADB" w:rsidRPr="00C84ADB">
        <w:t>(Thomas, 2021)</w:t>
      </w:r>
      <w:r>
        <w:t>. The use of landscaping as well as green roofing materials helped mitigate this problem. Although the original goal was to restore 80% of the lost biodiversity, the current figure of 91% shows tremendous success in reducing the environmental repercussions of the project.</w:t>
      </w:r>
    </w:p>
    <w:p w14:paraId="5C8669D5" w14:textId="77777777" w:rsidR="00DA5795" w:rsidRDefault="00DA5795" w:rsidP="00294556">
      <w:pPr>
        <w:spacing w:line="360" w:lineRule="auto"/>
        <w:jc w:val="both"/>
      </w:pPr>
      <w:r>
        <w:t>Managing and carrying out an undertaking of this scale is exceedingly difficult. Some parts of the project did not proceed as anticipated because of the intricacy of the whole. These aspects represent setbacks or difficulties encountered throughout the project's execution. Possible pitfalls will be discussed, along with suggestions for avoiding them in the future.</w:t>
      </w:r>
    </w:p>
    <w:p w14:paraId="2B96FA2E" w14:textId="6EE1204C" w:rsidR="00DA5795" w:rsidRDefault="00DA5795" w:rsidP="00294556">
      <w:pPr>
        <w:spacing w:line="360" w:lineRule="auto"/>
        <w:jc w:val="both"/>
      </w:pPr>
      <w:r>
        <w:lastRenderedPageBreak/>
        <w:t>All deliverables for a given project have a set due date. A beginning and an ending date are typical for each project</w:t>
      </w:r>
      <w:r w:rsidR="007736B4">
        <w:t xml:space="preserve"> </w:t>
      </w:r>
      <w:r w:rsidR="007736B4" w:rsidRPr="007736B4">
        <w:t>(Cervone, 2014)</w:t>
      </w:r>
      <w:r>
        <w:t>. Deliverables for this project included but were not limited to, building the 118 km of subterranean railway, building all train stops, installing lighting facilities, and installing train control systems by the end of 2018. The project, however, was unable to finish on time for a number of reasons. Delays have occurred due in part to the complexity involved in integrating signalling technologies that would improve train operations. There were four separate signalling systems put in place for the Elizabeth train. In the end, the difficulty of integrating these with Crossrail was more than had been anticipated. As a result, the firm asked for an extra 18 months to finish integrating the signalling systems. It was predicted that all stops along the Elizabeth line will be open to the public by the year 2020.</w:t>
      </w:r>
    </w:p>
    <w:p w14:paraId="5A087C78" w14:textId="26BD777A" w:rsidR="00DA5795" w:rsidRDefault="00DA5795" w:rsidP="00294556">
      <w:pPr>
        <w:spacing w:line="360" w:lineRule="auto"/>
        <w:jc w:val="both"/>
      </w:pPr>
      <w:r>
        <w:t xml:space="preserve">However, significant setbacks in completing the project were encountered as a result of operational difficulties brought on by the Covid-19 epidemic at the start of 2020. The government declared lockdowns and a nationwide halt to all movement when the epidemic crippled all operations. Therefore, due to people being compelled to stay inside, the building activity came to an abrupt stop. It's been nearly a year </w:t>
      </w:r>
      <w:r w:rsidR="00831672">
        <w:t>since</w:t>
      </w:r>
      <w:r>
        <w:t xml:space="preserve"> the virus stopped everything from operating as it should. Only a select few have returned to work in order to maintain social distance and lower the spread of the disease. However, completion of the project is expected somewhere in the middle of 2022.</w:t>
      </w:r>
    </w:p>
    <w:p w14:paraId="0EAE1FAD" w14:textId="4D9D4602" w:rsidR="00415AC1" w:rsidRDefault="00DA5795" w:rsidP="00294556">
      <w:pPr>
        <w:spacing w:line="360" w:lineRule="auto"/>
        <w:jc w:val="both"/>
      </w:pPr>
      <w:r>
        <w:t>The original estimate for this project was £16 billion, however</w:t>
      </w:r>
      <w:r w:rsidR="00831672">
        <w:t>,</w:t>
      </w:r>
      <w:r>
        <w:t xml:space="preserve"> it was reduced to the current estimate of £14.8 billion. Yet, the project has gone over budget, and the final cost was determined after a review to be £15.4 billion. The budgeted sum was exceeded, but it is still less than what was predicted. One of the biggest problems the project had was a limited budget. The delay in the project's completion has also caused financial difficulties. Over £800 million in ticket sales were lost in 2019/2020, and an additional £900 million is expected to be lost, according to estimates made by TfL.</w:t>
      </w:r>
    </w:p>
    <w:p w14:paraId="66C78103" w14:textId="0BF1BED7" w:rsidR="00ED61A6" w:rsidRDefault="007941DB" w:rsidP="00294556">
      <w:pPr>
        <w:spacing w:line="360" w:lineRule="auto"/>
        <w:jc w:val="both"/>
      </w:pPr>
      <w:r w:rsidRPr="007941DB">
        <w:t>Considering the above, it is appropriate to say that the project was a success. Project management is the single most important factor in determining the project's ultimate success or failure</w:t>
      </w:r>
      <w:r w:rsidR="00817BDE">
        <w:t xml:space="preserve"> </w:t>
      </w:r>
      <w:r w:rsidR="00817BDE" w:rsidRPr="00817BDE">
        <w:t>(Sears et al., 2015)</w:t>
      </w:r>
      <w:r w:rsidRPr="007941DB">
        <w:t xml:space="preserve">. Several elements contributed to the Elizabeth line's success, including sponsors' and stakeholders' cooperation, the delivery body's autonomy, and the delivery body's responsibility. Multiple sponsors are common in large projects. The United Kingdom's Department of Transport, the Greater London Authority, as well as Transportation for London all provided funding for this </w:t>
      </w:r>
      <w:r w:rsidRPr="007941DB">
        <w:lastRenderedPageBreak/>
        <w:t>initiative. Heathrow Airport and Canary Wharf Groups are two more generous contributors. Leadership, particularly interpersonal skills, are needed to manage all sponsors and shareholders. This is due to the fact that successful fundraising requires solid connections with monetary backers. It has become clear that effective communication and interpersonal skills are crucial to the completion of the project.</w:t>
      </w:r>
    </w:p>
    <w:p w14:paraId="55E556CB" w14:textId="14CE3719" w:rsidR="00294556" w:rsidRDefault="00294556" w:rsidP="00294556">
      <w:pPr>
        <w:spacing w:line="360" w:lineRule="auto"/>
        <w:jc w:val="both"/>
      </w:pPr>
      <w:r>
        <w:t>Crossrail started out as a 118-kilomet</w:t>
      </w:r>
      <w:r w:rsidR="00831672">
        <w:t>re</w:t>
      </w:r>
      <w:r>
        <w:t xml:space="preserve"> railway system connecting the east, the middle, and the west of London, but it was only 70 per</w:t>
      </w:r>
      <w:r w:rsidR="00831672">
        <w:t xml:space="preserve"> </w:t>
      </w:r>
      <w:r>
        <w:t>cent complete by 2016. Technology efficiency is one of the key takeaways. Today's project management is vastly different from that of the past as a result of technological developments in communication, hardware, as well as software</w:t>
      </w:r>
      <w:r w:rsidR="00722C1E">
        <w:t xml:space="preserve"> </w:t>
      </w:r>
      <w:r w:rsidR="00722C1E" w:rsidRPr="00722C1E">
        <w:t>(Nixon, Harrington and Parker, 2019)</w:t>
      </w:r>
      <w:r>
        <w:t>. For instance, it has facilitated cross-departmental information sharing and enhanced collaboration. The likelihood of a project's success rises when managers, teams, suppliers, &amp; customers all work together effectively and share information and documents effectively, allowing for a smooth flow of knowledge from upper management to lower-level employees</w:t>
      </w:r>
      <w:r w:rsidR="00C73DB5">
        <w:t xml:space="preserve"> </w:t>
      </w:r>
      <w:r w:rsidR="00C73DB5" w:rsidRPr="00C73DB5">
        <w:t>(Joslin and Müller, 2016)</w:t>
      </w:r>
      <w:r>
        <w:t>. Life cycle</w:t>
      </w:r>
      <w:r w:rsidR="003951A7">
        <w:t>s</w:t>
      </w:r>
      <w:r>
        <w:t xml:space="preserve"> management applications like GIS, IoT, big data, and AI should be included in future rail link construction projects.</w:t>
      </w:r>
    </w:p>
    <w:p w14:paraId="5A3F7D97" w14:textId="561140E1" w:rsidR="00294556" w:rsidRDefault="00294556" w:rsidP="00294556">
      <w:pPr>
        <w:spacing w:line="360" w:lineRule="auto"/>
        <w:jc w:val="both"/>
      </w:pPr>
      <w:r>
        <w:t>The need of attracting highly trained workers was another takeaway from the Crossrail project. An ageing workforce poses a risk to the train</w:t>
      </w:r>
      <w:r w:rsidR="00831672">
        <w:t>ing</w:t>
      </w:r>
      <w:r>
        <w:t xml:space="preserve"> industry. Due to the specialised nature of the project, civil engineers of the next generation were in high demand across all sectors. Projects that are completed on time and within their allotted budgets are made possible by employing people with the appropriate set of talents</w:t>
      </w:r>
      <w:r w:rsidR="00E6196E">
        <w:t xml:space="preserve"> </w:t>
      </w:r>
      <w:r w:rsidR="00E6196E" w:rsidRPr="00E6196E">
        <w:t>(</w:t>
      </w:r>
      <w:proofErr w:type="spellStart"/>
      <w:r w:rsidR="00E6196E" w:rsidRPr="00E6196E">
        <w:t>Belout</w:t>
      </w:r>
      <w:proofErr w:type="spellEnd"/>
      <w:r w:rsidR="00E6196E" w:rsidRPr="00E6196E">
        <w:t xml:space="preserve"> and Gauvreau, 2020)</w:t>
      </w:r>
      <w:r>
        <w:t>. Accordingly, it will be important for future enterprises to seek out and hire individuals with the necessary expertise. Training older workers on a regular basis to update their skills in areas like safety &amp; machine operation is another option.</w:t>
      </w:r>
    </w:p>
    <w:p w14:paraId="2D0CE990" w14:textId="179CC8A4" w:rsidR="00ED61A6" w:rsidRDefault="00ED61A6" w:rsidP="00294556">
      <w:pPr>
        <w:spacing w:line="360" w:lineRule="auto"/>
        <w:jc w:val="both"/>
      </w:pPr>
      <w:r>
        <w:br w:type="page"/>
      </w:r>
    </w:p>
    <w:p w14:paraId="7614A965" w14:textId="778F3B7A" w:rsidR="00394338" w:rsidRDefault="00ED61A6" w:rsidP="00294556">
      <w:pPr>
        <w:pStyle w:val="Heading1"/>
        <w:spacing w:line="360" w:lineRule="auto"/>
        <w:jc w:val="both"/>
      </w:pPr>
      <w:bookmarkStart w:id="2" w:name="_Toc124027794"/>
      <w:r>
        <w:lastRenderedPageBreak/>
        <w:t>Conclusion</w:t>
      </w:r>
      <w:bookmarkEnd w:id="2"/>
    </w:p>
    <w:p w14:paraId="4CE9BDE4" w14:textId="75038093" w:rsidR="000C7EFB" w:rsidRDefault="00294556" w:rsidP="00294556">
      <w:pPr>
        <w:spacing w:line="360" w:lineRule="auto"/>
        <w:jc w:val="both"/>
      </w:pPr>
      <w:r>
        <w:t>The ability to define goals and a clear direction has been shown to be a hallmark of the Elizabeth project's exceptional leadership. There are requirements that must be met by each deliverable before the project can go further. This will guarantee that the project develops as expected. One example is environmental impact management, which had a number of goals it aimed to achieve. Twenty per</w:t>
      </w:r>
      <w:r w:rsidR="00831672">
        <w:t xml:space="preserve"> </w:t>
      </w:r>
      <w:r>
        <w:t>cent of demolition materials are slated for reuse or recycling as part of these goals. With this goal in mind, project managers were able to plot steps towards making it a reality. Surprisingly, 39% of the demolition waste from this project was reused or recycled. A project manager's actions should be guided by the SMART framework, as was discovered via experience.</w:t>
      </w:r>
    </w:p>
    <w:p w14:paraId="22687938" w14:textId="77777777" w:rsidR="000C7EFB" w:rsidRDefault="000C7EFB">
      <w:r>
        <w:br w:type="page"/>
      </w:r>
    </w:p>
    <w:p w14:paraId="73829E65" w14:textId="0F990350" w:rsidR="00ED61A6" w:rsidRDefault="000C7EFB" w:rsidP="00F92EC8">
      <w:pPr>
        <w:pStyle w:val="Heading1"/>
        <w:spacing w:line="360" w:lineRule="auto"/>
        <w:jc w:val="both"/>
      </w:pPr>
      <w:bookmarkStart w:id="3" w:name="_Toc124027795"/>
      <w:r>
        <w:lastRenderedPageBreak/>
        <w:t>References</w:t>
      </w:r>
      <w:bookmarkEnd w:id="3"/>
    </w:p>
    <w:p w14:paraId="5CAC20B6"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Andersen, E.S., Birchall, D., Jessen, S.A. and Money, A.H., 2016. Exploring project success. </w:t>
      </w:r>
      <w:r w:rsidRPr="00E16880">
        <w:rPr>
          <w:rFonts w:asciiTheme="majorBidi" w:hAnsiTheme="majorBidi" w:cstheme="majorBidi"/>
          <w:i/>
          <w:iCs/>
          <w:color w:val="222222"/>
          <w:szCs w:val="24"/>
          <w:shd w:val="clear" w:color="auto" w:fill="FFFFFF"/>
        </w:rPr>
        <w:t>Baltic journal of management</w:t>
      </w:r>
      <w:r w:rsidRPr="00E16880">
        <w:rPr>
          <w:rFonts w:asciiTheme="majorBidi" w:hAnsiTheme="majorBidi" w:cstheme="majorBidi"/>
          <w:color w:val="222222"/>
          <w:szCs w:val="24"/>
          <w:shd w:val="clear" w:color="auto" w:fill="FFFFFF"/>
        </w:rPr>
        <w:t>.</w:t>
      </w:r>
    </w:p>
    <w:p w14:paraId="526FBADC"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proofErr w:type="spellStart"/>
      <w:r w:rsidRPr="00E16880">
        <w:rPr>
          <w:rFonts w:asciiTheme="majorBidi" w:hAnsiTheme="majorBidi" w:cstheme="majorBidi"/>
          <w:color w:val="222222"/>
          <w:szCs w:val="24"/>
          <w:shd w:val="clear" w:color="auto" w:fill="FFFFFF"/>
        </w:rPr>
        <w:t>Belout</w:t>
      </w:r>
      <w:proofErr w:type="spellEnd"/>
      <w:r w:rsidRPr="00E16880">
        <w:rPr>
          <w:rFonts w:asciiTheme="majorBidi" w:hAnsiTheme="majorBidi" w:cstheme="majorBidi"/>
          <w:color w:val="222222"/>
          <w:szCs w:val="24"/>
          <w:shd w:val="clear" w:color="auto" w:fill="FFFFFF"/>
        </w:rPr>
        <w:t>, A. and Gauvreau, C., 2020. Factors influencing project success: the impact of human resource management. </w:t>
      </w:r>
      <w:r w:rsidRPr="00E16880">
        <w:rPr>
          <w:rFonts w:asciiTheme="majorBidi" w:hAnsiTheme="majorBidi" w:cstheme="majorBidi"/>
          <w:i/>
          <w:iCs/>
          <w:color w:val="222222"/>
          <w:szCs w:val="24"/>
          <w:shd w:val="clear" w:color="auto" w:fill="FFFFFF"/>
        </w:rPr>
        <w:t>International journal of project management</w:t>
      </w:r>
      <w:r w:rsidRPr="00E16880">
        <w:rPr>
          <w:rFonts w:asciiTheme="majorBidi" w:hAnsiTheme="majorBidi" w:cstheme="majorBidi"/>
          <w:color w:val="222222"/>
          <w:szCs w:val="24"/>
          <w:shd w:val="clear" w:color="auto" w:fill="FFFFFF"/>
        </w:rPr>
        <w:t>, </w:t>
      </w:r>
      <w:r w:rsidRPr="00E16880">
        <w:rPr>
          <w:rFonts w:asciiTheme="majorBidi" w:hAnsiTheme="majorBidi" w:cstheme="majorBidi"/>
          <w:i/>
          <w:iCs/>
          <w:color w:val="222222"/>
          <w:szCs w:val="24"/>
          <w:shd w:val="clear" w:color="auto" w:fill="FFFFFF"/>
        </w:rPr>
        <w:t>22</w:t>
      </w:r>
      <w:r w:rsidRPr="00E16880">
        <w:rPr>
          <w:rFonts w:asciiTheme="majorBidi" w:hAnsiTheme="majorBidi" w:cstheme="majorBidi"/>
          <w:color w:val="222222"/>
          <w:szCs w:val="24"/>
          <w:shd w:val="clear" w:color="auto" w:fill="FFFFFF"/>
        </w:rPr>
        <w:t>(1), pp.1-11.</w:t>
      </w:r>
    </w:p>
    <w:p w14:paraId="23607479"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Bennett, S., 2017, November. Crossrail project to deliver London’s Elizabeth line: from options to parliamentary bill. In </w:t>
      </w:r>
      <w:r w:rsidRPr="00E16880">
        <w:rPr>
          <w:rFonts w:asciiTheme="majorBidi" w:hAnsiTheme="majorBidi" w:cstheme="majorBidi"/>
          <w:i/>
          <w:iCs/>
          <w:color w:val="222222"/>
          <w:szCs w:val="24"/>
          <w:shd w:val="clear" w:color="auto" w:fill="FFFFFF"/>
        </w:rPr>
        <w:t>Proceedings of the Institution of Civil Engineers-Civil Engineering</w:t>
      </w:r>
      <w:r w:rsidRPr="00E16880">
        <w:rPr>
          <w:rFonts w:asciiTheme="majorBidi" w:hAnsiTheme="majorBidi" w:cstheme="majorBidi"/>
          <w:color w:val="222222"/>
          <w:szCs w:val="24"/>
          <w:shd w:val="clear" w:color="auto" w:fill="FFFFFF"/>
        </w:rPr>
        <w:t> (Vol. 170, No. 6, pp. 3-9). Thomas Telford Ltd.</w:t>
      </w:r>
    </w:p>
    <w:p w14:paraId="466104AC"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Buck, M., 2017, November. Crossrail project: finance, funding and value capture for London’s Elizabeth line. In </w:t>
      </w:r>
      <w:r w:rsidRPr="00E16880">
        <w:rPr>
          <w:rFonts w:asciiTheme="majorBidi" w:hAnsiTheme="majorBidi" w:cstheme="majorBidi"/>
          <w:i/>
          <w:iCs/>
          <w:color w:val="222222"/>
          <w:szCs w:val="24"/>
          <w:shd w:val="clear" w:color="auto" w:fill="FFFFFF"/>
        </w:rPr>
        <w:t>Proceedings of the Institution of Civil Engineers-Civil Engineering</w:t>
      </w:r>
      <w:r w:rsidRPr="00E16880">
        <w:rPr>
          <w:rFonts w:asciiTheme="majorBidi" w:hAnsiTheme="majorBidi" w:cstheme="majorBidi"/>
          <w:color w:val="222222"/>
          <w:szCs w:val="24"/>
          <w:shd w:val="clear" w:color="auto" w:fill="FFFFFF"/>
        </w:rPr>
        <w:t> (Vol. 170, No. 6, pp. 15-22). Thomas Telford Ltd.</w:t>
      </w:r>
    </w:p>
    <w:p w14:paraId="12FD159A"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Cervone, H.F., 2014. Effective communication for project success. </w:t>
      </w:r>
      <w:r w:rsidRPr="00E16880">
        <w:rPr>
          <w:rFonts w:asciiTheme="majorBidi" w:hAnsiTheme="majorBidi" w:cstheme="majorBidi"/>
          <w:i/>
          <w:iCs/>
          <w:color w:val="222222"/>
          <w:szCs w:val="24"/>
          <w:shd w:val="clear" w:color="auto" w:fill="FFFFFF"/>
        </w:rPr>
        <w:t>OCLC Systems and Services: International digital library perspectives</w:t>
      </w:r>
      <w:r w:rsidRPr="00E16880">
        <w:rPr>
          <w:rFonts w:asciiTheme="majorBidi" w:hAnsiTheme="majorBidi" w:cstheme="majorBidi"/>
          <w:color w:val="222222"/>
          <w:szCs w:val="24"/>
          <w:shd w:val="clear" w:color="auto" w:fill="FFFFFF"/>
        </w:rPr>
        <w:t>.</w:t>
      </w:r>
    </w:p>
    <w:p w14:paraId="123263A1"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proofErr w:type="spellStart"/>
      <w:r w:rsidRPr="00E16880">
        <w:rPr>
          <w:rFonts w:asciiTheme="majorBidi" w:hAnsiTheme="majorBidi" w:cstheme="majorBidi"/>
          <w:color w:val="222222"/>
          <w:szCs w:val="24"/>
          <w:shd w:val="clear" w:color="auto" w:fill="FFFFFF"/>
        </w:rPr>
        <w:t>Chodorowski</w:t>
      </w:r>
      <w:proofErr w:type="spellEnd"/>
      <w:r w:rsidRPr="00E16880">
        <w:rPr>
          <w:rFonts w:asciiTheme="majorBidi" w:hAnsiTheme="majorBidi" w:cstheme="majorBidi"/>
          <w:color w:val="222222"/>
          <w:szCs w:val="24"/>
          <w:shd w:val="clear" w:color="auto" w:fill="FFFFFF"/>
        </w:rPr>
        <w:t>, A., Ingram, P. and Black, M., 2021. Crossrail project: the impact of 4–18 Bishop's Bridge Road on the new Elizabeth line, London, UK. </w:t>
      </w:r>
      <w:r w:rsidRPr="00E16880">
        <w:rPr>
          <w:rFonts w:asciiTheme="majorBidi" w:hAnsiTheme="majorBidi" w:cstheme="majorBidi"/>
          <w:i/>
          <w:iCs/>
          <w:color w:val="222222"/>
          <w:szCs w:val="24"/>
          <w:shd w:val="clear" w:color="auto" w:fill="FFFFFF"/>
        </w:rPr>
        <w:t>Proceedings of the Institution of Civil Engineers-Geotechnical Engineering</w:t>
      </w:r>
      <w:r w:rsidRPr="00E16880">
        <w:rPr>
          <w:rFonts w:asciiTheme="majorBidi" w:hAnsiTheme="majorBidi" w:cstheme="majorBidi"/>
          <w:color w:val="222222"/>
          <w:szCs w:val="24"/>
          <w:shd w:val="clear" w:color="auto" w:fill="FFFFFF"/>
        </w:rPr>
        <w:t>, </w:t>
      </w:r>
      <w:r w:rsidRPr="00E16880">
        <w:rPr>
          <w:rFonts w:asciiTheme="majorBidi" w:hAnsiTheme="majorBidi" w:cstheme="majorBidi"/>
          <w:i/>
          <w:iCs/>
          <w:color w:val="222222"/>
          <w:szCs w:val="24"/>
          <w:shd w:val="clear" w:color="auto" w:fill="FFFFFF"/>
        </w:rPr>
        <w:t>174</w:t>
      </w:r>
      <w:r w:rsidRPr="00E16880">
        <w:rPr>
          <w:rFonts w:asciiTheme="majorBidi" w:hAnsiTheme="majorBidi" w:cstheme="majorBidi"/>
          <w:color w:val="222222"/>
          <w:szCs w:val="24"/>
          <w:shd w:val="clear" w:color="auto" w:fill="FFFFFF"/>
        </w:rPr>
        <w:t>(1), pp.83-90.</w:t>
      </w:r>
    </w:p>
    <w:p w14:paraId="3224D12F"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Joslin, R. and Müller, R., 2016. The impact of project methodologies on project success in different project environments. </w:t>
      </w:r>
      <w:r w:rsidRPr="00E16880">
        <w:rPr>
          <w:rFonts w:asciiTheme="majorBidi" w:hAnsiTheme="majorBidi" w:cstheme="majorBidi"/>
          <w:i/>
          <w:iCs/>
          <w:color w:val="222222"/>
          <w:szCs w:val="24"/>
          <w:shd w:val="clear" w:color="auto" w:fill="FFFFFF"/>
        </w:rPr>
        <w:t>International journal of managing projects in business</w:t>
      </w:r>
      <w:r w:rsidRPr="00E16880">
        <w:rPr>
          <w:rFonts w:asciiTheme="majorBidi" w:hAnsiTheme="majorBidi" w:cstheme="majorBidi"/>
          <w:color w:val="222222"/>
          <w:szCs w:val="24"/>
          <w:shd w:val="clear" w:color="auto" w:fill="FFFFFF"/>
        </w:rPr>
        <w:t>.</w:t>
      </w:r>
    </w:p>
    <w:p w14:paraId="4979CCAB"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King, M., Thomas, I. and Stenning, A., 2017, May. Crossrail project: machine-driven tunnels on the Elizabeth line, London. In </w:t>
      </w:r>
      <w:r w:rsidRPr="00E16880">
        <w:rPr>
          <w:rFonts w:asciiTheme="majorBidi" w:hAnsiTheme="majorBidi" w:cstheme="majorBidi"/>
          <w:i/>
          <w:iCs/>
          <w:color w:val="222222"/>
          <w:szCs w:val="24"/>
          <w:shd w:val="clear" w:color="auto" w:fill="FFFFFF"/>
        </w:rPr>
        <w:t>Proceedings of the Institution of Civil Engineers-Civil Engineering</w:t>
      </w:r>
      <w:r w:rsidRPr="00E16880">
        <w:rPr>
          <w:rFonts w:asciiTheme="majorBidi" w:hAnsiTheme="majorBidi" w:cstheme="majorBidi"/>
          <w:color w:val="222222"/>
          <w:szCs w:val="24"/>
          <w:shd w:val="clear" w:color="auto" w:fill="FFFFFF"/>
        </w:rPr>
        <w:t> (Vol. 170, No. 5, pp. 31-38). Thomas Telford Ltd.</w:t>
      </w:r>
    </w:p>
    <w:p w14:paraId="60AD98BB"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Kumar, B.R., 2022. Case 8: London Cross Rail Project. In </w:t>
      </w:r>
      <w:r w:rsidRPr="00E16880">
        <w:rPr>
          <w:rFonts w:asciiTheme="majorBidi" w:hAnsiTheme="majorBidi" w:cstheme="majorBidi"/>
          <w:i/>
          <w:iCs/>
          <w:color w:val="222222"/>
          <w:szCs w:val="24"/>
          <w:shd w:val="clear" w:color="auto" w:fill="FFFFFF"/>
        </w:rPr>
        <w:t>Project Finance</w:t>
      </w:r>
      <w:r w:rsidRPr="00E16880">
        <w:rPr>
          <w:rFonts w:asciiTheme="majorBidi" w:hAnsiTheme="majorBidi" w:cstheme="majorBidi"/>
          <w:color w:val="222222"/>
          <w:szCs w:val="24"/>
          <w:shd w:val="clear" w:color="auto" w:fill="FFFFFF"/>
        </w:rPr>
        <w:t> (pp. 131-137). Springer, Cham.</w:t>
      </w:r>
    </w:p>
    <w:p w14:paraId="7EC92B40"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Lazarus, D., 2018. Structural engineering for the Elizabeth line: Damage assessment and monitoring for buildings on the Elizabeth line. </w:t>
      </w:r>
      <w:r w:rsidRPr="00E16880">
        <w:rPr>
          <w:rFonts w:asciiTheme="majorBidi" w:hAnsiTheme="majorBidi" w:cstheme="majorBidi"/>
          <w:i/>
          <w:iCs/>
          <w:color w:val="222222"/>
          <w:szCs w:val="24"/>
          <w:shd w:val="clear" w:color="auto" w:fill="FFFFFF"/>
        </w:rPr>
        <w:t>The Structural Engineer: journal of the Institution of Structural Engineer</w:t>
      </w:r>
      <w:r w:rsidRPr="00E16880">
        <w:rPr>
          <w:rFonts w:asciiTheme="majorBidi" w:hAnsiTheme="majorBidi" w:cstheme="majorBidi"/>
          <w:color w:val="222222"/>
          <w:szCs w:val="24"/>
          <w:shd w:val="clear" w:color="auto" w:fill="FFFFFF"/>
        </w:rPr>
        <w:t>, </w:t>
      </w:r>
      <w:r w:rsidRPr="00E16880">
        <w:rPr>
          <w:rFonts w:asciiTheme="majorBidi" w:hAnsiTheme="majorBidi" w:cstheme="majorBidi"/>
          <w:i/>
          <w:iCs/>
          <w:color w:val="222222"/>
          <w:szCs w:val="24"/>
          <w:shd w:val="clear" w:color="auto" w:fill="FFFFFF"/>
        </w:rPr>
        <w:t>96</w:t>
      </w:r>
      <w:r w:rsidRPr="00E16880">
        <w:rPr>
          <w:rFonts w:asciiTheme="majorBidi" w:hAnsiTheme="majorBidi" w:cstheme="majorBidi"/>
          <w:color w:val="222222"/>
          <w:szCs w:val="24"/>
          <w:shd w:val="clear" w:color="auto" w:fill="FFFFFF"/>
        </w:rPr>
        <w:t>(7), pp.14-24.</w:t>
      </w:r>
    </w:p>
    <w:p w14:paraId="068D36FB"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lastRenderedPageBreak/>
        <w:t>Linde-Arias, E., Lemmon, M. and Ares, J., 2019. Development of a ground model, targeted ground investigation and risk mitigation for the excavation of an open face cross passage on the underground Elizabeth Line, London. </w:t>
      </w:r>
      <w:r w:rsidRPr="00E16880">
        <w:rPr>
          <w:rFonts w:asciiTheme="majorBidi" w:hAnsiTheme="majorBidi" w:cstheme="majorBidi"/>
          <w:i/>
          <w:iCs/>
          <w:color w:val="222222"/>
          <w:szCs w:val="24"/>
          <w:shd w:val="clear" w:color="auto" w:fill="FFFFFF"/>
        </w:rPr>
        <w:t>Tunnelling and Underground Space Technology</w:t>
      </w:r>
      <w:r w:rsidRPr="00E16880">
        <w:rPr>
          <w:rFonts w:asciiTheme="majorBidi" w:hAnsiTheme="majorBidi" w:cstheme="majorBidi"/>
          <w:color w:val="222222"/>
          <w:szCs w:val="24"/>
          <w:shd w:val="clear" w:color="auto" w:fill="FFFFFF"/>
        </w:rPr>
        <w:t>, </w:t>
      </w:r>
      <w:r w:rsidRPr="00E16880">
        <w:rPr>
          <w:rFonts w:asciiTheme="majorBidi" w:hAnsiTheme="majorBidi" w:cstheme="majorBidi"/>
          <w:i/>
          <w:iCs/>
          <w:color w:val="222222"/>
          <w:szCs w:val="24"/>
          <w:shd w:val="clear" w:color="auto" w:fill="FFFFFF"/>
        </w:rPr>
        <w:t>86</w:t>
      </w:r>
      <w:r w:rsidRPr="00E16880">
        <w:rPr>
          <w:rFonts w:asciiTheme="majorBidi" w:hAnsiTheme="majorBidi" w:cstheme="majorBidi"/>
          <w:color w:val="222222"/>
          <w:szCs w:val="24"/>
          <w:shd w:val="clear" w:color="auto" w:fill="FFFFFF"/>
        </w:rPr>
        <w:t>, pp.209-223.</w:t>
      </w:r>
    </w:p>
    <w:p w14:paraId="7282F10E"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Nixon, P., Harrington, M. and Parker, D., 2019. Leadership performance is significant to project success or failure: a critical analysis. </w:t>
      </w:r>
      <w:r w:rsidRPr="00E16880">
        <w:rPr>
          <w:rFonts w:asciiTheme="majorBidi" w:hAnsiTheme="majorBidi" w:cstheme="majorBidi"/>
          <w:i/>
          <w:iCs/>
          <w:color w:val="222222"/>
          <w:szCs w:val="24"/>
          <w:shd w:val="clear" w:color="auto" w:fill="FFFFFF"/>
        </w:rPr>
        <w:t>International Journal of productivity and performance management</w:t>
      </w:r>
      <w:r w:rsidRPr="00E16880">
        <w:rPr>
          <w:rFonts w:asciiTheme="majorBidi" w:hAnsiTheme="majorBidi" w:cstheme="majorBidi"/>
          <w:color w:val="222222"/>
          <w:szCs w:val="24"/>
          <w:shd w:val="clear" w:color="auto" w:fill="FFFFFF"/>
        </w:rPr>
        <w:t>.</w:t>
      </w:r>
    </w:p>
    <w:p w14:paraId="246696EE"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Sears, S.K., Sears, G.A., Clough, R.H., Rounds, J.L. and Segner, R.O., 2015. </w:t>
      </w:r>
      <w:r w:rsidRPr="00E16880">
        <w:rPr>
          <w:rFonts w:asciiTheme="majorBidi" w:hAnsiTheme="majorBidi" w:cstheme="majorBidi"/>
          <w:i/>
          <w:iCs/>
          <w:color w:val="222222"/>
          <w:szCs w:val="24"/>
          <w:shd w:val="clear" w:color="auto" w:fill="FFFFFF"/>
        </w:rPr>
        <w:t>Construction project management</w:t>
      </w:r>
      <w:r w:rsidRPr="00E16880">
        <w:rPr>
          <w:rFonts w:asciiTheme="majorBidi" w:hAnsiTheme="majorBidi" w:cstheme="majorBidi"/>
          <w:color w:val="222222"/>
          <w:szCs w:val="24"/>
          <w:shd w:val="clear" w:color="auto" w:fill="FFFFFF"/>
        </w:rPr>
        <w:t>. John Wiley &amp; Sons.</w:t>
      </w:r>
    </w:p>
    <w:p w14:paraId="0EB8F138"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Thomas, A., 2021. The design of the Crossrail tunnels in UK. </w:t>
      </w:r>
      <w:r w:rsidRPr="00E16880">
        <w:rPr>
          <w:rFonts w:asciiTheme="majorBidi" w:hAnsiTheme="majorBidi" w:cstheme="majorBidi"/>
          <w:i/>
          <w:iCs/>
          <w:color w:val="222222"/>
          <w:szCs w:val="24"/>
          <w:shd w:val="clear" w:color="auto" w:fill="FFFFFF"/>
        </w:rPr>
        <w:t>Geomechanics and Tunnelling</w:t>
      </w:r>
      <w:r w:rsidRPr="00E16880">
        <w:rPr>
          <w:rFonts w:asciiTheme="majorBidi" w:hAnsiTheme="majorBidi" w:cstheme="majorBidi"/>
          <w:color w:val="222222"/>
          <w:szCs w:val="24"/>
          <w:shd w:val="clear" w:color="auto" w:fill="FFFFFF"/>
        </w:rPr>
        <w:t>, </w:t>
      </w:r>
      <w:r w:rsidRPr="00E16880">
        <w:rPr>
          <w:rFonts w:asciiTheme="majorBidi" w:hAnsiTheme="majorBidi" w:cstheme="majorBidi"/>
          <w:i/>
          <w:iCs/>
          <w:color w:val="222222"/>
          <w:szCs w:val="24"/>
          <w:shd w:val="clear" w:color="auto" w:fill="FFFFFF"/>
        </w:rPr>
        <w:t>14</w:t>
      </w:r>
      <w:r w:rsidRPr="00E16880">
        <w:rPr>
          <w:rFonts w:asciiTheme="majorBidi" w:hAnsiTheme="majorBidi" w:cstheme="majorBidi"/>
          <w:color w:val="222222"/>
          <w:szCs w:val="24"/>
          <w:shd w:val="clear" w:color="auto" w:fill="FFFFFF"/>
        </w:rPr>
        <w:t>(4), pp.340-346.</w:t>
      </w:r>
    </w:p>
    <w:p w14:paraId="680AB321" w14:textId="77777777" w:rsidR="003951A7" w:rsidRPr="00E16880" w:rsidRDefault="003951A7" w:rsidP="003951A7">
      <w:pPr>
        <w:spacing w:line="360" w:lineRule="auto"/>
        <w:ind w:left="720" w:hanging="720"/>
        <w:jc w:val="both"/>
        <w:rPr>
          <w:rFonts w:asciiTheme="majorBidi" w:hAnsiTheme="majorBidi" w:cstheme="majorBidi"/>
          <w:color w:val="222222"/>
          <w:szCs w:val="24"/>
          <w:shd w:val="clear" w:color="auto" w:fill="FFFFFF"/>
        </w:rPr>
      </w:pPr>
      <w:r w:rsidRPr="00E16880">
        <w:rPr>
          <w:rFonts w:asciiTheme="majorBidi" w:hAnsiTheme="majorBidi" w:cstheme="majorBidi"/>
          <w:color w:val="222222"/>
          <w:szCs w:val="24"/>
          <w:shd w:val="clear" w:color="auto" w:fill="FFFFFF"/>
        </w:rPr>
        <w:t>Tucker, W., 2017, May. Crossrail project: the execution strategy for delivering London’s Elizabeth line. In </w:t>
      </w:r>
      <w:r w:rsidRPr="00E16880">
        <w:rPr>
          <w:rFonts w:asciiTheme="majorBidi" w:hAnsiTheme="majorBidi" w:cstheme="majorBidi"/>
          <w:i/>
          <w:iCs/>
          <w:color w:val="222222"/>
          <w:szCs w:val="24"/>
          <w:shd w:val="clear" w:color="auto" w:fill="FFFFFF"/>
        </w:rPr>
        <w:t>Proceedings of the Institution of Civil Engineers-Civil Engineering</w:t>
      </w:r>
      <w:r w:rsidRPr="00E16880">
        <w:rPr>
          <w:rFonts w:asciiTheme="majorBidi" w:hAnsiTheme="majorBidi" w:cstheme="majorBidi"/>
          <w:color w:val="222222"/>
          <w:szCs w:val="24"/>
          <w:shd w:val="clear" w:color="auto" w:fill="FFFFFF"/>
        </w:rPr>
        <w:t> (Vol. 170, No. 5, pp. 3-14). Thomas Telford Ltd.</w:t>
      </w:r>
    </w:p>
    <w:p w14:paraId="01A91826" w14:textId="77777777" w:rsidR="00E86559" w:rsidRPr="00E16880" w:rsidRDefault="00E86559" w:rsidP="00E86559">
      <w:pPr>
        <w:spacing w:line="360" w:lineRule="auto"/>
        <w:jc w:val="both"/>
        <w:rPr>
          <w:rFonts w:asciiTheme="majorBidi" w:hAnsiTheme="majorBidi" w:cstheme="majorBidi"/>
          <w:color w:val="222222"/>
          <w:szCs w:val="24"/>
          <w:shd w:val="clear" w:color="auto" w:fill="FFFFFF"/>
        </w:rPr>
      </w:pPr>
    </w:p>
    <w:p w14:paraId="4F101603" w14:textId="77777777" w:rsidR="00E86559" w:rsidRPr="00E16880" w:rsidRDefault="00E86559" w:rsidP="00E86559">
      <w:pPr>
        <w:spacing w:line="360" w:lineRule="auto"/>
        <w:jc w:val="both"/>
        <w:rPr>
          <w:rFonts w:asciiTheme="majorBidi" w:hAnsiTheme="majorBidi" w:cstheme="majorBidi"/>
          <w:sz w:val="32"/>
          <w:szCs w:val="32"/>
        </w:rPr>
      </w:pPr>
    </w:p>
    <w:p w14:paraId="7C20DE8A" w14:textId="77777777" w:rsidR="000C7EFB" w:rsidRDefault="000C7EFB" w:rsidP="00294556">
      <w:pPr>
        <w:spacing w:line="360" w:lineRule="auto"/>
        <w:jc w:val="both"/>
      </w:pPr>
    </w:p>
    <w:sectPr w:rsidR="000C7EFB" w:rsidSect="00A470F2">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9003A" w14:textId="77777777" w:rsidR="001C63E5" w:rsidRDefault="001C63E5" w:rsidP="00A470F2">
      <w:pPr>
        <w:spacing w:after="0" w:line="240" w:lineRule="auto"/>
      </w:pPr>
      <w:r>
        <w:separator/>
      </w:r>
    </w:p>
  </w:endnote>
  <w:endnote w:type="continuationSeparator" w:id="0">
    <w:p w14:paraId="769A547C" w14:textId="77777777" w:rsidR="001C63E5" w:rsidRDefault="001C63E5" w:rsidP="00A47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1765115"/>
      <w:docPartObj>
        <w:docPartGallery w:val="Page Numbers (Bottom of Page)"/>
        <w:docPartUnique/>
      </w:docPartObj>
    </w:sdtPr>
    <w:sdtEndPr>
      <w:rPr>
        <w:noProof/>
      </w:rPr>
    </w:sdtEndPr>
    <w:sdtContent>
      <w:p w14:paraId="0382BE99" w14:textId="47E85DBF" w:rsidR="00A470F2" w:rsidRDefault="00A470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2B6520" w14:textId="77777777" w:rsidR="00A470F2" w:rsidRDefault="00A47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E1F4E" w14:textId="77777777" w:rsidR="001C63E5" w:rsidRDefault="001C63E5" w:rsidP="00A470F2">
      <w:pPr>
        <w:spacing w:after="0" w:line="240" w:lineRule="auto"/>
      </w:pPr>
      <w:r>
        <w:separator/>
      </w:r>
    </w:p>
  </w:footnote>
  <w:footnote w:type="continuationSeparator" w:id="0">
    <w:p w14:paraId="6B92B3E6" w14:textId="77777777" w:rsidR="001C63E5" w:rsidRDefault="001C63E5" w:rsidP="00A470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1MDcwMbc0N7U0sjBW0lEKTi0uzszPAykwqgUA80g0MCwAAAA="/>
  </w:docVars>
  <w:rsids>
    <w:rsidRoot w:val="00535F1D"/>
    <w:rsid w:val="0004088D"/>
    <w:rsid w:val="000A02D2"/>
    <w:rsid w:val="000C7EFB"/>
    <w:rsid w:val="001514A7"/>
    <w:rsid w:val="001C63E5"/>
    <w:rsid w:val="001C660E"/>
    <w:rsid w:val="00294556"/>
    <w:rsid w:val="00317815"/>
    <w:rsid w:val="00394338"/>
    <w:rsid w:val="003951A7"/>
    <w:rsid w:val="003C2E71"/>
    <w:rsid w:val="00415AC1"/>
    <w:rsid w:val="00452662"/>
    <w:rsid w:val="004A7589"/>
    <w:rsid w:val="004C0BF3"/>
    <w:rsid w:val="00535F1D"/>
    <w:rsid w:val="00540E5A"/>
    <w:rsid w:val="00546FE4"/>
    <w:rsid w:val="00591571"/>
    <w:rsid w:val="005A11F2"/>
    <w:rsid w:val="00677B5C"/>
    <w:rsid w:val="006B7FA2"/>
    <w:rsid w:val="00722C1E"/>
    <w:rsid w:val="00742752"/>
    <w:rsid w:val="007736B4"/>
    <w:rsid w:val="007941DB"/>
    <w:rsid w:val="007E664D"/>
    <w:rsid w:val="00817BDE"/>
    <w:rsid w:val="00831672"/>
    <w:rsid w:val="008A10A7"/>
    <w:rsid w:val="00933C5C"/>
    <w:rsid w:val="00943BB6"/>
    <w:rsid w:val="009717AA"/>
    <w:rsid w:val="009B5EB3"/>
    <w:rsid w:val="00A470F2"/>
    <w:rsid w:val="00A819A9"/>
    <w:rsid w:val="00AF0FDB"/>
    <w:rsid w:val="00B42A53"/>
    <w:rsid w:val="00B666D4"/>
    <w:rsid w:val="00BE4A24"/>
    <w:rsid w:val="00C1267C"/>
    <w:rsid w:val="00C71E59"/>
    <w:rsid w:val="00C73DB5"/>
    <w:rsid w:val="00C84ADB"/>
    <w:rsid w:val="00D20C96"/>
    <w:rsid w:val="00DA5795"/>
    <w:rsid w:val="00E34D85"/>
    <w:rsid w:val="00E6196E"/>
    <w:rsid w:val="00E66B20"/>
    <w:rsid w:val="00E86559"/>
    <w:rsid w:val="00EA4805"/>
    <w:rsid w:val="00EB6E72"/>
    <w:rsid w:val="00ED61A6"/>
    <w:rsid w:val="00ED7842"/>
    <w:rsid w:val="00F92EC8"/>
    <w:rsid w:val="00FB76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245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A24"/>
    <w:rPr>
      <w:rFonts w:ascii="Times New Roman" w:hAnsi="Times New Roman"/>
      <w:sz w:val="24"/>
    </w:rPr>
  </w:style>
  <w:style w:type="paragraph" w:styleId="Heading1">
    <w:name w:val="heading 1"/>
    <w:basedOn w:val="Normal"/>
    <w:next w:val="Normal"/>
    <w:link w:val="Heading1Char"/>
    <w:uiPriority w:val="9"/>
    <w:qFormat/>
    <w:rsid w:val="00FB76EF"/>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1C660E"/>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9B5EB3"/>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6EF"/>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1C660E"/>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9B5EB3"/>
    <w:rPr>
      <w:rFonts w:asciiTheme="majorBidi" w:eastAsiaTheme="majorEastAsia" w:hAnsiTheme="majorBidi" w:cstheme="majorBidi"/>
      <w:b/>
      <w:sz w:val="24"/>
      <w:szCs w:val="24"/>
    </w:rPr>
  </w:style>
  <w:style w:type="paragraph" w:styleId="TOCHeading">
    <w:name w:val="TOC Heading"/>
    <w:basedOn w:val="Heading1"/>
    <w:next w:val="Normal"/>
    <w:uiPriority w:val="39"/>
    <w:unhideWhenUsed/>
    <w:qFormat/>
    <w:rsid w:val="00A470F2"/>
    <w:pPr>
      <w:spacing w:after="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470F2"/>
    <w:pPr>
      <w:spacing w:after="100"/>
    </w:pPr>
  </w:style>
  <w:style w:type="character" w:styleId="Hyperlink">
    <w:name w:val="Hyperlink"/>
    <w:basedOn w:val="DefaultParagraphFont"/>
    <w:uiPriority w:val="99"/>
    <w:unhideWhenUsed/>
    <w:rsid w:val="00A470F2"/>
    <w:rPr>
      <w:color w:val="0563C1" w:themeColor="hyperlink"/>
      <w:u w:val="single"/>
    </w:rPr>
  </w:style>
  <w:style w:type="paragraph" w:styleId="Header">
    <w:name w:val="header"/>
    <w:basedOn w:val="Normal"/>
    <w:link w:val="HeaderChar"/>
    <w:uiPriority w:val="99"/>
    <w:unhideWhenUsed/>
    <w:rsid w:val="00A47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0F2"/>
    <w:rPr>
      <w:rFonts w:ascii="Times New Roman" w:hAnsi="Times New Roman"/>
      <w:sz w:val="24"/>
    </w:rPr>
  </w:style>
  <w:style w:type="paragraph" w:styleId="Footer">
    <w:name w:val="footer"/>
    <w:basedOn w:val="Normal"/>
    <w:link w:val="FooterChar"/>
    <w:uiPriority w:val="99"/>
    <w:unhideWhenUsed/>
    <w:rsid w:val="00A47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0F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75CEB-E4EF-48E6-A8E8-C9CBC62B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2992</Words>
  <Characters>17059</Characters>
  <Application>Microsoft Office Word</Application>
  <DocSecurity>0</DocSecurity>
  <Lines>142</Lines>
  <Paragraphs>40</Paragraphs>
  <ScaleCrop>false</ScaleCrop>
  <Company/>
  <LinksUpToDate>false</LinksUpToDate>
  <CharactersWithSpaces>20011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2023-01-07T18:24:00Z</dcterms:created>
  <dcterms:modified xsi:type="dcterms:W3CDTF">2023-01-16T23:45:00Z</dcterms:modified>
</cp:coreProperties>
</file>