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C3D1F" w:rsidRDefault="000C3D1F">
      <w:pPr>
        <w:jc w:val="center"/>
        <w:rPr>
          <w:b/>
          <w:sz w:val="36"/>
          <w:szCs w:val="36"/>
        </w:rPr>
      </w:pPr>
    </w:p>
    <w:p w14:paraId="00000002" w14:textId="592CA10A" w:rsidR="000C3D1F" w:rsidRDefault="00DB6850">
      <w:pPr>
        <w:jc w:val="center"/>
        <w:rPr>
          <w:b/>
          <w:sz w:val="36"/>
          <w:szCs w:val="36"/>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202AD56D" wp14:editId="264A7371">
            <wp:extent cx="4459266" cy="1481648"/>
            <wp:effectExtent l="0" t="0" r="0" b="444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00000003" w14:textId="77777777" w:rsidR="000C3D1F" w:rsidRDefault="000C3D1F">
      <w:pPr>
        <w:jc w:val="center"/>
        <w:rPr>
          <w:b/>
          <w:sz w:val="36"/>
          <w:szCs w:val="36"/>
        </w:rPr>
      </w:pPr>
    </w:p>
    <w:p w14:paraId="00000004" w14:textId="77777777" w:rsidR="000C3D1F" w:rsidRDefault="000C3D1F">
      <w:pPr>
        <w:jc w:val="center"/>
        <w:rPr>
          <w:b/>
          <w:sz w:val="36"/>
          <w:szCs w:val="36"/>
        </w:rPr>
      </w:pPr>
    </w:p>
    <w:p w14:paraId="00000005" w14:textId="77777777" w:rsidR="000C3D1F" w:rsidRDefault="000C3D1F">
      <w:pPr>
        <w:jc w:val="center"/>
        <w:rPr>
          <w:b/>
          <w:sz w:val="36"/>
          <w:szCs w:val="36"/>
        </w:rPr>
      </w:pPr>
    </w:p>
    <w:p w14:paraId="00000006" w14:textId="77777777" w:rsidR="000C3D1F" w:rsidRDefault="000C3D1F">
      <w:pPr>
        <w:jc w:val="center"/>
        <w:rPr>
          <w:b/>
          <w:sz w:val="36"/>
          <w:szCs w:val="36"/>
        </w:rPr>
      </w:pPr>
    </w:p>
    <w:p w14:paraId="0000000A" w14:textId="78980210" w:rsidR="000C3D1F" w:rsidRPr="00DB6850" w:rsidRDefault="00000000" w:rsidP="00DB6850">
      <w:pPr>
        <w:jc w:val="center"/>
        <w:rPr>
          <w:b/>
          <w:sz w:val="56"/>
          <w:szCs w:val="56"/>
        </w:rPr>
      </w:pPr>
      <w:r w:rsidRPr="00DB6850">
        <w:rPr>
          <w:b/>
          <w:sz w:val="56"/>
          <w:szCs w:val="56"/>
        </w:rPr>
        <w:t>Project Management</w:t>
      </w:r>
    </w:p>
    <w:p w14:paraId="30C84637" w14:textId="690C6BC6" w:rsidR="00DB6850" w:rsidRDefault="00000000" w:rsidP="00DB6850">
      <w:pPr>
        <w:jc w:val="center"/>
        <w:rPr>
          <w:b/>
          <w:sz w:val="48"/>
          <w:szCs w:val="48"/>
        </w:rPr>
      </w:pPr>
      <w:r w:rsidRPr="00DB6850">
        <w:rPr>
          <w:b/>
          <w:sz w:val="48"/>
          <w:szCs w:val="48"/>
        </w:rPr>
        <w:t>Essay</w:t>
      </w:r>
    </w:p>
    <w:p w14:paraId="0EA1986E" w14:textId="77777777" w:rsidR="00DB6850" w:rsidRDefault="00DB6850" w:rsidP="00DB6850">
      <w:pPr>
        <w:jc w:val="center"/>
        <w:rPr>
          <w:b/>
          <w:sz w:val="48"/>
          <w:szCs w:val="48"/>
        </w:rPr>
      </w:pPr>
    </w:p>
    <w:p w14:paraId="007C75B2" w14:textId="77777777" w:rsidR="00DB6850" w:rsidRDefault="00DB6850" w:rsidP="00DB6850">
      <w:pPr>
        <w:jc w:val="center"/>
        <w:rPr>
          <w:sz w:val="36"/>
          <w:szCs w:val="36"/>
        </w:rPr>
      </w:pPr>
    </w:p>
    <w:p w14:paraId="601D8F39" w14:textId="77777777" w:rsidR="00DB6850" w:rsidRDefault="00DB6850" w:rsidP="00DB6850">
      <w:pPr>
        <w:jc w:val="center"/>
        <w:rPr>
          <w:sz w:val="36"/>
          <w:szCs w:val="36"/>
        </w:rPr>
      </w:pPr>
    </w:p>
    <w:p w14:paraId="686159D6" w14:textId="41BBE3C3" w:rsidR="00DB6850" w:rsidRPr="008D1664" w:rsidRDefault="00DB6850" w:rsidP="00DB6850">
      <w:pPr>
        <w:jc w:val="center"/>
        <w:rPr>
          <w:sz w:val="36"/>
          <w:szCs w:val="36"/>
        </w:rPr>
      </w:pPr>
      <w:r w:rsidRPr="008D1664">
        <w:rPr>
          <w:sz w:val="36"/>
          <w:szCs w:val="36"/>
        </w:rPr>
        <w:t>Student ID: 2215818</w:t>
      </w:r>
    </w:p>
    <w:p w14:paraId="79C04CD4" w14:textId="77777777" w:rsidR="00DB6850" w:rsidRPr="008D1664" w:rsidRDefault="00DB6850" w:rsidP="00DB6850">
      <w:pPr>
        <w:jc w:val="center"/>
        <w:rPr>
          <w:sz w:val="36"/>
          <w:szCs w:val="36"/>
        </w:rPr>
      </w:pPr>
      <w:r w:rsidRPr="008D1664">
        <w:rPr>
          <w:sz w:val="36"/>
          <w:szCs w:val="36"/>
        </w:rPr>
        <w:t>Student Name: Vasile Rosca</w:t>
      </w:r>
    </w:p>
    <w:p w14:paraId="5BE98097" w14:textId="77777777" w:rsidR="00DB6850" w:rsidRDefault="00DB6850" w:rsidP="00DB6850">
      <w:pPr>
        <w:jc w:val="center"/>
        <w:rPr>
          <w:sz w:val="36"/>
          <w:szCs w:val="36"/>
        </w:rPr>
      </w:pPr>
      <w:r w:rsidRPr="008D1664">
        <w:rPr>
          <w:sz w:val="36"/>
          <w:szCs w:val="36"/>
        </w:rPr>
        <w:t>Module Code:</w:t>
      </w:r>
      <w:r>
        <w:rPr>
          <w:sz w:val="36"/>
          <w:szCs w:val="36"/>
        </w:rPr>
        <w:t xml:space="preserve"> </w:t>
      </w:r>
      <w:r w:rsidRPr="008D1664">
        <w:rPr>
          <w:sz w:val="36"/>
          <w:szCs w:val="36"/>
        </w:rPr>
        <w:t>LCBB</w:t>
      </w:r>
      <w:r>
        <w:rPr>
          <w:sz w:val="36"/>
          <w:szCs w:val="36"/>
        </w:rPr>
        <w:t>5</w:t>
      </w:r>
      <w:r w:rsidRPr="008D1664">
        <w:rPr>
          <w:sz w:val="36"/>
          <w:szCs w:val="36"/>
        </w:rPr>
        <w:t>005</w:t>
      </w:r>
    </w:p>
    <w:p w14:paraId="24967EED" w14:textId="6D25BDA6" w:rsidR="00DB6850" w:rsidRPr="00DB6850" w:rsidRDefault="00DB6850" w:rsidP="00DB6850">
      <w:pPr>
        <w:jc w:val="center"/>
        <w:rPr>
          <w:sz w:val="36"/>
          <w:szCs w:val="36"/>
        </w:rPr>
      </w:pPr>
      <w:r w:rsidRPr="00DB6850">
        <w:rPr>
          <w:sz w:val="36"/>
          <w:szCs w:val="36"/>
        </w:rPr>
        <w:t>Lecturer name:</w:t>
      </w:r>
      <w:r w:rsidRPr="00DB6850">
        <w:rPr>
          <w:sz w:val="36"/>
          <w:szCs w:val="36"/>
        </w:rPr>
        <w:t xml:space="preserve"> </w:t>
      </w:r>
      <w:r w:rsidRPr="00DB6850">
        <w:rPr>
          <w:sz w:val="36"/>
          <w:szCs w:val="36"/>
        </w:rPr>
        <w:t>Dr Amandeep Sahota</w:t>
      </w:r>
    </w:p>
    <w:p w14:paraId="639A53EB" w14:textId="3C9009DD" w:rsidR="00DB6850" w:rsidRPr="008D1664" w:rsidRDefault="00DB6850" w:rsidP="00DB6850">
      <w:pPr>
        <w:jc w:val="center"/>
        <w:rPr>
          <w:sz w:val="36"/>
          <w:szCs w:val="36"/>
        </w:rPr>
      </w:pPr>
    </w:p>
    <w:p w14:paraId="0000000B" w14:textId="1EB13095" w:rsidR="000C3D1F" w:rsidRPr="00DB6850" w:rsidRDefault="00000000" w:rsidP="00DB6850">
      <w:pPr>
        <w:jc w:val="center"/>
        <w:rPr>
          <w:b/>
          <w:sz w:val="48"/>
          <w:szCs w:val="48"/>
        </w:rPr>
      </w:pPr>
      <w:r w:rsidRPr="00DB6850">
        <w:rPr>
          <w:sz w:val="48"/>
          <w:szCs w:val="48"/>
        </w:rPr>
        <w:br w:type="page"/>
      </w:r>
    </w:p>
    <w:p w14:paraId="0000000C" w14:textId="77777777" w:rsidR="000C3D1F" w:rsidRDefault="00000000">
      <w:pPr>
        <w:spacing w:after="200"/>
        <w:jc w:val="center"/>
        <w:rPr>
          <w:sz w:val="28"/>
          <w:szCs w:val="28"/>
        </w:rPr>
      </w:pPr>
      <w:r>
        <w:rPr>
          <w:b/>
          <w:sz w:val="28"/>
          <w:szCs w:val="28"/>
        </w:rPr>
        <w:lastRenderedPageBreak/>
        <w:t>Table of Content</w:t>
      </w:r>
    </w:p>
    <w:sdt>
      <w:sdtPr>
        <w:id w:val="-2065554754"/>
        <w:docPartObj>
          <w:docPartGallery w:val="Table of Contents"/>
          <w:docPartUnique/>
        </w:docPartObj>
      </w:sdtPr>
      <w:sdtContent>
        <w:p w14:paraId="0000000D" w14:textId="77777777" w:rsidR="000C3D1F" w:rsidRDefault="00000000">
          <w:pPr>
            <w:widowControl w:val="0"/>
            <w:tabs>
              <w:tab w:val="right" w:pos="9025"/>
            </w:tabs>
            <w:spacing w:before="60" w:after="200"/>
            <w:jc w:val="left"/>
            <w:rPr>
              <w:color w:val="000000"/>
            </w:rPr>
          </w:pPr>
          <w:r>
            <w:fldChar w:fldCharType="begin"/>
          </w:r>
          <w:r>
            <w:instrText xml:space="preserve"> TOC \h \u \z \t "Heading 1,1,Heading 2,2,Heading 3,3,Heading 4,4,Heading 5,5,Heading 6,6,"</w:instrText>
          </w:r>
          <w:r>
            <w:fldChar w:fldCharType="separate"/>
          </w:r>
          <w:hyperlink w:anchor="_1qjk3g1dgo12">
            <w:r>
              <w:rPr>
                <w:color w:val="000000"/>
              </w:rPr>
              <w:t>Introduction</w:t>
            </w:r>
            <w:r>
              <w:rPr>
                <w:color w:val="000000"/>
              </w:rPr>
              <w:tab/>
            </w:r>
          </w:hyperlink>
          <w:r>
            <w:fldChar w:fldCharType="begin"/>
          </w:r>
          <w:r>
            <w:instrText xml:space="preserve"> PAGEREF _1qjk3g1dgo12 \h </w:instrText>
          </w:r>
          <w:r>
            <w:fldChar w:fldCharType="separate"/>
          </w:r>
          <w:r>
            <w:t>3</w:t>
          </w:r>
          <w:r>
            <w:fldChar w:fldCharType="end"/>
          </w:r>
        </w:p>
        <w:p w14:paraId="0000000E" w14:textId="77777777" w:rsidR="000C3D1F" w:rsidRDefault="00000000">
          <w:pPr>
            <w:widowControl w:val="0"/>
            <w:tabs>
              <w:tab w:val="right" w:pos="9025"/>
            </w:tabs>
            <w:spacing w:before="60" w:after="200"/>
            <w:jc w:val="left"/>
            <w:rPr>
              <w:color w:val="000000"/>
            </w:rPr>
          </w:pPr>
          <w:hyperlink w:anchor="_ond3pnm5lb52">
            <w:r>
              <w:rPr>
                <w:color w:val="000000"/>
              </w:rPr>
              <w:t>Main Body</w:t>
            </w:r>
            <w:r>
              <w:rPr>
                <w:color w:val="000000"/>
              </w:rPr>
              <w:tab/>
            </w:r>
          </w:hyperlink>
          <w:r>
            <w:fldChar w:fldCharType="begin"/>
          </w:r>
          <w:r>
            <w:instrText xml:space="preserve"> PAGEREF _ond3pnm5lb52 \h </w:instrText>
          </w:r>
          <w:r>
            <w:fldChar w:fldCharType="separate"/>
          </w:r>
          <w:r>
            <w:t>3</w:t>
          </w:r>
          <w:r>
            <w:fldChar w:fldCharType="end"/>
          </w:r>
        </w:p>
        <w:p w14:paraId="0000000F" w14:textId="77777777" w:rsidR="000C3D1F" w:rsidRDefault="00000000">
          <w:pPr>
            <w:widowControl w:val="0"/>
            <w:tabs>
              <w:tab w:val="right" w:pos="9025"/>
            </w:tabs>
            <w:spacing w:before="60" w:after="200"/>
            <w:jc w:val="left"/>
            <w:rPr>
              <w:color w:val="000000"/>
            </w:rPr>
          </w:pPr>
          <w:hyperlink w:anchor="_a3l7qr12mlnf">
            <w:r>
              <w:rPr>
                <w:color w:val="000000"/>
              </w:rPr>
              <w:t>Conclusion</w:t>
            </w:r>
            <w:r>
              <w:rPr>
                <w:color w:val="000000"/>
              </w:rPr>
              <w:tab/>
            </w:r>
          </w:hyperlink>
          <w:r>
            <w:fldChar w:fldCharType="begin"/>
          </w:r>
          <w:r>
            <w:instrText xml:space="preserve"> PAGEREF _a3l7qr12mlnf \h </w:instrText>
          </w:r>
          <w:r>
            <w:fldChar w:fldCharType="separate"/>
          </w:r>
          <w:r>
            <w:t>8</w:t>
          </w:r>
          <w:r>
            <w:fldChar w:fldCharType="end"/>
          </w:r>
        </w:p>
        <w:p w14:paraId="00000010" w14:textId="77777777" w:rsidR="000C3D1F" w:rsidRDefault="00000000">
          <w:pPr>
            <w:widowControl w:val="0"/>
            <w:tabs>
              <w:tab w:val="right" w:pos="9025"/>
            </w:tabs>
            <w:spacing w:before="60" w:after="200"/>
            <w:jc w:val="left"/>
            <w:rPr>
              <w:color w:val="000000"/>
            </w:rPr>
          </w:pPr>
          <w:hyperlink w:anchor="_ab8rsflfholl">
            <w:r>
              <w:rPr>
                <w:color w:val="000000"/>
              </w:rPr>
              <w:t>References</w:t>
            </w:r>
            <w:r>
              <w:rPr>
                <w:color w:val="000000"/>
              </w:rPr>
              <w:tab/>
            </w:r>
          </w:hyperlink>
          <w:r>
            <w:fldChar w:fldCharType="begin"/>
          </w:r>
          <w:r>
            <w:instrText xml:space="preserve"> PAGEREF _ab8rsflfholl \h </w:instrText>
          </w:r>
          <w:r>
            <w:fldChar w:fldCharType="separate"/>
          </w:r>
          <w:r>
            <w:t>9</w:t>
          </w:r>
          <w:r>
            <w:fldChar w:fldCharType="end"/>
          </w:r>
          <w:r>
            <w:fldChar w:fldCharType="end"/>
          </w:r>
        </w:p>
      </w:sdtContent>
    </w:sdt>
    <w:p w14:paraId="00000011" w14:textId="77777777" w:rsidR="000C3D1F" w:rsidRDefault="00000000">
      <w:pPr>
        <w:spacing w:after="200"/>
      </w:pPr>
      <w:r>
        <w:br w:type="page"/>
      </w:r>
    </w:p>
    <w:p w14:paraId="00000012" w14:textId="77777777" w:rsidR="000C3D1F" w:rsidRDefault="00000000">
      <w:pPr>
        <w:pStyle w:val="Heading1"/>
      </w:pPr>
      <w:bookmarkStart w:id="0" w:name="_1qjk3g1dgo12" w:colFirst="0" w:colLast="0"/>
      <w:bookmarkEnd w:id="0"/>
      <w:r>
        <w:lastRenderedPageBreak/>
        <w:t>Introduction</w:t>
      </w:r>
    </w:p>
    <w:p w14:paraId="00000013" w14:textId="77777777" w:rsidR="000C3D1F" w:rsidRDefault="00000000">
      <w:r>
        <w:t>The Google Headquarters at King’s Cross, London is a distinctive project as it marks Google’s attempt to build its first paramount and solely owned structure in the world outside America. This grandiose planned project promises to be a landmark in London’s Knowledge Quarter that is home to a dense cluster of knowledge intensive businesses, cultural and academic institutions. The new headquarter shall cover over 61000 sq m of gross floor area of which 46000 sq m is of office space with 11 floors enabling accommodation of 4500 employees at a given time. This development is one of several buildings in the area including the screen left existing building at 6 Pancras Square and the proposed additional third building with the possible capacity to accommodate 7,000 employees of Google. The headquarter areas will consist common areas such as cafes, gym, multi-purpose play areas, terraced flooring with the option of having a running track and roof pavement features, all interrelating with Google’s primary company culture, creativity.</w:t>
      </w:r>
    </w:p>
    <w:p w14:paraId="00000014" w14:textId="77777777" w:rsidR="000C3D1F" w:rsidRDefault="00000000">
      <w:r>
        <w:t>Another paper’s aim is to critically assess the plan of Google Headquarters project basic concepts. In the life cycle of the project, it becomes necessary to evaluate the project performance on aspects such as budget, time and quality, stakeholders’ management, and risks. Awareness of these elements will make it possible to gain more information about the success of the project and what aspects need enhancement.</w:t>
      </w:r>
    </w:p>
    <w:p w14:paraId="00000015" w14:textId="77777777" w:rsidR="000C3D1F" w:rsidRDefault="00000000">
      <w:r>
        <w:t>In this essay, every essential part of the project plan shall be addressed depending on the structural plan used in the writing of this particular document. First, it will present a summary of the project’s purpose and goals and thereafter go to the area that discusses budget control and schedule control. The discussion will then proceed with an evaluation of the quality assurance processes and the management of stakeholder associations. Last, the essay in the area of risk management will be assessed before arriving at the conclusion and providing a recommendation section for any project management attempt in the future.</w:t>
      </w:r>
    </w:p>
    <w:p w14:paraId="00000016" w14:textId="77777777" w:rsidR="000C3D1F" w:rsidRDefault="000C3D1F"/>
    <w:p w14:paraId="00000017" w14:textId="77777777" w:rsidR="000C3D1F" w:rsidRDefault="00000000">
      <w:pPr>
        <w:pStyle w:val="Heading1"/>
      </w:pPr>
      <w:bookmarkStart w:id="1" w:name="_ond3pnm5lb52" w:colFirst="0" w:colLast="0"/>
      <w:bookmarkEnd w:id="1"/>
      <w:r>
        <w:t>Main Body</w:t>
      </w:r>
    </w:p>
    <w:p w14:paraId="00000018" w14:textId="77777777" w:rsidR="000C3D1F" w:rsidRDefault="00000000">
      <w:r>
        <w:t xml:space="preserve">The concept for the design of the Google Headquarters at King’s Cross is to develop a new paradigm for a contemporary and innovative corporate facility that incorporates advanced technology, sustainability, and the well-being of the employees as its main assets. The main goals and objectives focus on the creation of facilities that will effectively meet the company’s requirements for operations while at the same time acting as a vehicle for change and idea generation. Having a total floor area of more than 60400 sqm, the new offices will accommodate around 4500 staff and will consist of eleven storeys and retails and event/training </w:t>
      </w:r>
      <w:r>
        <w:lastRenderedPageBreak/>
        <w:t>facility at the ground floor. In the case of Google, the new headquarters are to contribute to improving productivity and creating a stimulating atmosphere and healthy organisational culture for Google employees. Some of the features complementing the building include cafes, a gym, multi use games areas, a running track on a rooftop, as well as landscaped terraces that are also part of Google’s attempt at giving its employees what could be considered as a complete and fun working environment. To the local community, the project will go a long way in helping transitioning the Knowledge Quarter into becoming one of the most significant innovation centres. They are expected to foster economic development in the region through development of thousands of construction and permanent roles, boosting local enterprises, along with strengthening the reputation of King’s Cross as both a lively and economically productive quarter.</w:t>
      </w:r>
    </w:p>
    <w:p w14:paraId="00000019" w14:textId="77777777" w:rsidR="000C3D1F" w:rsidRDefault="00000000">
      <w:r>
        <w:t xml:space="preserve">The opportunity to work on the Google Headquarters at King’s Cross is to cost around £1 billion and which is reasonably symptomatic about the nature and size of the scheme. Besides, this sizable budget accommodates different aspects that comprise land acquisition cost, construction cost, design cost, and fit-out cost. The budget is also informational and includes features related to energy-efficiency, advanced systems and certifications, which are an integral part of Google’s sustainability plan. Budgeting for such a keen and sensitive project is not easy and requires a clear and strict adherence to the laid down policies. Some of them include operating a sound cost control and giving careful financial analysis and cost control with the aid of the project finance personnel. Another key area that contributes to budget control includes formulating a sound procurement system to obtain the best deals for the offered prices and handling of the vendors’ contracts. The threat of increases in cost is always looming large in big ticket items that affect construction projects and can result from design modifications, unfavourable ground conditions, or inflations. To manage these risks, it is necessary to build the contingency component in the budget that has to be used in case of emergencies. Continuous risk analysis and selecting a project’s resources can also aid in the identification of possible complications that may occur and, therefore, modifications can be made in the future (Filippetto </w:t>
      </w:r>
      <w:r>
        <w:rPr>
          <w:i/>
        </w:rPr>
        <w:t>et al.,</w:t>
      </w:r>
      <w:r>
        <w:t xml:space="preserve"> 2021). Stakeholders’ communication and accurate and proper reporting provisions guarantee that they respond to budget misalignments appropriately and avoid hassles with corrective measures that could slow down progress, which would increase costs (El-Wafa </w:t>
      </w:r>
      <w:r>
        <w:rPr>
          <w:i/>
        </w:rPr>
        <w:t>et al.,</w:t>
      </w:r>
      <w:r>
        <w:t xml:space="preserve"> 2024).</w:t>
      </w:r>
    </w:p>
    <w:p w14:paraId="0000001A" w14:textId="423DB7E3" w:rsidR="000C3D1F" w:rsidRDefault="00000000">
      <w:r>
        <w:t xml:space="preserve">The Google Headquarters project at King’s Cross has a logical sequence of events that has been developed and put in a schedule, with the activities delineated and key phases defined so that timing is not an issue. The project started with preliminary activities as an introduction to the </w:t>
      </w:r>
      <w:r>
        <w:lastRenderedPageBreak/>
        <w:t xml:space="preserve">project where they include the main planning permission and the definite architectural and engineer designs. The tangible construction phase was carried out with construction of the building’s structure after carrying out site preparation and putting up the necessary foundation. Interior configurations of the project and incorporation of worthwhile systems like intelligent heating, ventilation, and air conditioning (HVAC), and appropriate lighting will begin halfway through the project. The creation of an elaborate project schedule with the help of project management tools makes it possible to measure the extent to which each activity has met the planned schedule (Rowe, 2020). The effectiveness of the plan is checked by frequently organised progress meetings and preparation of status reports to notice any departure from plan and take quick requisite action. Tools like critical path analysis and milestones help select concerns which bear the most significant responsibility concerning the completion of the project (Varajão </w:t>
      </w:r>
      <w:r>
        <w:rPr>
          <w:i/>
        </w:rPr>
        <w:t>et al.,</w:t>
      </w:r>
      <w:r>
        <w:t xml:space="preserve"> 2020). Further, structure progression with tangible project objectives does help in completion of the parameters of each phase before proceeding to the next phase. However, such likelihood of delay may be occasioned by one or many of the following factors; unfavourable site condition, supply system hindrances and alterations in the design specifications. Challenges which may cause such delays may affect the general project duration and cost (Sanni-Anibire </w:t>
      </w:r>
      <w:r>
        <w:rPr>
          <w:i/>
        </w:rPr>
        <w:t>et al.,</w:t>
      </w:r>
      <w:r>
        <w:t xml:space="preserve"> 2022). </w:t>
      </w:r>
      <w:proofErr w:type="gramStart"/>
      <w:r>
        <w:t>In order to</w:t>
      </w:r>
      <w:proofErr w:type="gramEnd"/>
      <w:r>
        <w:t xml:space="preserve"> eradicate these </w:t>
      </w:r>
      <w:r w:rsidR="00DB6850">
        <w:t>risks,</w:t>
      </w:r>
      <w:r>
        <w:t xml:space="preserve"> the project has included buffer periods and carries contingency plans in the project plan so as to have room for addressing issues as they occur if they are likely to affect the project. Risk assessments’ routine along with response tactics prevent excessive loss due to delay and keep the project as on-time as possible.</w:t>
      </w:r>
    </w:p>
    <w:p w14:paraId="0000001B" w14:textId="77777777" w:rsidR="000C3D1F" w:rsidRDefault="00000000">
      <w:r>
        <w:t xml:space="preserve">When it comes to quality, it is a very important factor when it comes to the final overarching result handed in for the project of Google Headquarters at King’s Cross. It is executed based on best practice standards including International Standards Organization: ISO 9001 standard for the management of quality and Building Research Establishment Environmental Assessment Methodology; BREEAM for sustainability and environmentally comfortable performance (Ferreira </w:t>
      </w:r>
      <w:r>
        <w:rPr>
          <w:i/>
        </w:rPr>
        <w:t>et al.,</w:t>
      </w:r>
      <w:r>
        <w:t xml:space="preserve"> 2023). These standards encompass severe provisions for construction procedures, materials, and performance of buildings. Such standards require the proper Quality assurance and control during the course of the project. This entails assigning a quality management personnel whose main task entails ensuring compliance to the set standards, conducting physical assessments in terms of the level of quality on a regular basis and during the different phases of construction projects. Also, documented checklists and work instructions are used for quality control of workmanship, materials, and construction techniques used so that work that is off the approved norms and standards can be quickly </w:t>
      </w:r>
      <w:r>
        <w:lastRenderedPageBreak/>
        <w:t xml:space="preserve">corrected (Fargo, 2021). Quality issues are controlled using a procedure that includes identification of the issue followed by documentation and lastly, implementation of procedures aimed at addressing the issue (Chiarini, 2020). If something is wrong or does not meet the established standards, immediate remedial action is done requiring reprocessing, material replacement or process changes. This is backed by the communication plan for the leadership, contractors and suppliers to ensure whatever concerns of quality are addressed promptly. Quality follow-up meetings also identify and study recurring problems in order to enhance preventive techniques. </w:t>
      </w:r>
    </w:p>
    <w:p w14:paraId="0000001C" w14:textId="77777777" w:rsidR="000C3D1F" w:rsidRDefault="00000000">
      <w:r>
        <w:t xml:space="preserve">Skills to comprehend different personalities, interests, and roles of numerous significant stakeholders are applied while discussing the Google Headquarters at King’s Cross. The first chain of stakeholders involves Google which is the client and user of the project with the desire to attain a classy building for its image and functionality as it aims at hosting its functions. Architects, engineers and construction contractors of the project are core to ensuring that the project is implemented to the recommended technical standards. Other stakeholders include the local authorities and regulatory agencies that are assigned the duties of monitoring and enforcement of the planning permission act, building control acts and environmental acts. On the same note, there are community interest and self-serving interests for the local businesses in King’s Cross since the project will improve upon economic capacities of the area. Managing stakeholders is an aspect that should be fully considered in any project. Some of them are as follows: to attend the meetings, share project updates and engage in public consultations to further explain the project and clarify possible issues that may arise (Toukola and Ahola, 2022). Such adjustments in communication assist in regulating the expectations of different groups of stakeholders and thereby the relationship with them. For Google, it is on how the project results are related to Google’s business-framing vision as well as operational requirements of the firm while those responsible for design and construction are motivated through properly drafted contracts and performance benchmarks subject to the project specifications. Police authorities work based on state oversight and reporting, which entails getting reports in and ensuring all local agencies comply with the set laws. The targeted population’s concerns are met by sharing information on project development and its impact on the community by creating job opportunities and stimulating economic growth (Surya </w:t>
      </w:r>
      <w:r>
        <w:rPr>
          <w:i/>
        </w:rPr>
        <w:t>et al.,</w:t>
      </w:r>
      <w:r>
        <w:t xml:space="preserve"> 2021). </w:t>
      </w:r>
    </w:p>
    <w:p w14:paraId="0000001D" w14:textId="77777777" w:rsidR="000C3D1F" w:rsidRDefault="00000000">
      <w:r>
        <w:t xml:space="preserve">The following are some of the risks that are associated with the project, which may affect the completion of the project in the stipulated measures. Others are likely to experience delays in construction because of the unforeseen conditions on the construction site or in the supply chain or because of increase in cost of construction materials and or labour; or changes in design </w:t>
      </w:r>
      <w:r>
        <w:lastRenderedPageBreak/>
        <w:t xml:space="preserve">because of new regulation on environmental aspects or on construction and structural designs. Other risks which would pose threat to the project and the project environment include health and safety incidents on-site as well as possible conflicts of interest among the project stakeholders (Osei-Asibey </w:t>
      </w:r>
      <w:r>
        <w:rPr>
          <w:i/>
        </w:rPr>
        <w:t>et al.,</w:t>
      </w:r>
      <w:r>
        <w:t xml:space="preserve"> 2021). In this context, risk identification starts with the assessment of the possible points of failure at the beginning of the project and with constant check at the construction phase. Some of the measures include the setting of a contingency fund with the aim of handling emergencies in the project as well as ensuring that flexibility is included in handling of the project time frame. In supply chain risks it is done by providing multiple suppliers and ensuring that there are other options in case of shutout. There is routine evaluation of risks and the organisation undertakes risk audits to detect new risks as they are likely to emerge in the future. In relation to compliance, there exist social units whose primary role is to ensure that all legal requirements such as permits and approvals are acquired; while constructing practices conform to the set standards. Acme has strict health and safety policies that help in reduction in the occurrence of accidents at the workplace; the company conducts safety training for its workers and complies with safety standards (Friend </w:t>
      </w:r>
      <w:r>
        <w:rPr>
          <w:i/>
        </w:rPr>
        <w:t>et al.,</w:t>
      </w:r>
      <w:r>
        <w:t xml:space="preserve"> 2023). In developing the above risk management plan, the following procedures are followed: This plan on risk management is then monitored and feedback mechanisms used to determine the success of the whole process. These risk management activities should undergo periodic scrutiny since they form part of organisational strategies that need to be checked to ascertain whether they are accomplishing their intended goals or not depending on the real-time events. </w:t>
      </w:r>
    </w:p>
    <w:p w14:paraId="0000001E" w14:textId="77777777" w:rsidR="000C3D1F" w:rsidRDefault="00000000">
      <w:r>
        <w:t xml:space="preserve">It has a substantial impact on the Knowledge Quarter since it strengthens people’s perceptions of the area as a technologically advanced district with innovative projects. This is particularly an important indication that King’s Cross is turning out to be one of the most important locations for high tech and knowledge intensive industries as the first wholly owned Google building out of the United States. This is an excellent example of an investment-attracting global development that consolidates the district’s role in the new knowledge economy. Thus, the economic gains for King’s Cross and the vicinity are considerable when it comes to the particular project. It generates several thousands of construction and permanent workforce, thus increasing the employment fraction in the region. Further, it generates requests for services and retail by new inhabitants such as Google employees, which in turn benefits other businesses. The new facilities, which are offered by the headquarters also include public areas such as leisure and recreation places, which also make a positive impact to the areas’ economy by offering better quality services to the communities thus, attracting more populace and clients to the areas. </w:t>
      </w:r>
    </w:p>
    <w:p w14:paraId="0000001F" w14:textId="77777777" w:rsidR="000C3D1F" w:rsidRDefault="000C3D1F"/>
    <w:p w14:paraId="00000020" w14:textId="77777777" w:rsidR="000C3D1F" w:rsidRDefault="00000000">
      <w:pPr>
        <w:pStyle w:val="Heading1"/>
      </w:pPr>
      <w:bookmarkStart w:id="2" w:name="_a3l7qr12mlnf" w:colFirst="0" w:colLast="0"/>
      <w:bookmarkEnd w:id="2"/>
      <w:r>
        <w:t>Conclusion</w:t>
      </w:r>
    </w:p>
    <w:p w14:paraId="00000021" w14:textId="77777777" w:rsidR="000C3D1F" w:rsidRDefault="00000000">
      <w:r>
        <w:t>Several observations can be made on the assessment of the Google Headquarters project at King’s Cross based on the following. With a massive budget of £1 billion the project looks at properly establishing a great facility that a company like Google would need to run while at the same time proving that innovation and sustainability are parts of the end-make. It has a clear sequence of activities on different timelines with clear milestones to guide the implementation of the project alongside other aspects including scheduling of projects as well as other evaluative techniques such as critical activities analysis. The processes of the quality management follow strict guidelines, which show that the building is up to certain excellence standards. There is active engagement with stakeholders via comprehensive and regular communication that seeks to accord consideration to their plural needs and interests, and in relation to risk there are adequate management techniques for management of potential problems such as the likelihood of project delays or cost increases. Concerning budgeting issues, it is possible to enhance the contingency fund and apply better cost forecasting procedures to respond to the unknown financial problems. Time management could use extra time addendums within the schedule to accommodate additional time that is very often required in the course of implementation. More effective methodologies, for instance, increasing the rate of audits and quality control assessments, would also help to improve the results of the project. In the case where the stakeholder management was better, the follow-up and communication activities to respond quickly to any negative feelings could occur more often. Last but not least, a better reactive risk management regime, as well as constant observing and readjusting of the threats and their solutions, may contribute to the project’s capability of meeting the challenges proactively and appropriately.</w:t>
      </w:r>
      <w:r>
        <w:br w:type="page"/>
      </w:r>
    </w:p>
    <w:p w14:paraId="00000022" w14:textId="77777777" w:rsidR="000C3D1F" w:rsidRDefault="00000000">
      <w:pPr>
        <w:pStyle w:val="Heading1"/>
      </w:pPr>
      <w:bookmarkStart w:id="3" w:name="_ab8rsflfholl" w:colFirst="0" w:colLast="0"/>
      <w:bookmarkEnd w:id="3"/>
      <w:r>
        <w:lastRenderedPageBreak/>
        <w:t>References</w:t>
      </w:r>
    </w:p>
    <w:p w14:paraId="00000023" w14:textId="77777777" w:rsidR="000C3D1F" w:rsidRDefault="00000000">
      <w:pPr>
        <w:spacing w:after="200"/>
        <w:rPr>
          <w:color w:val="222222"/>
          <w:highlight w:val="white"/>
        </w:rPr>
      </w:pPr>
      <w:r>
        <w:rPr>
          <w:color w:val="222222"/>
          <w:highlight w:val="white"/>
        </w:rPr>
        <w:t xml:space="preserve">Chiarini, A., 2020. Industry 4.0, quality management and TQM world. A systematic literature review and a proposed agenda for further research. </w:t>
      </w:r>
      <w:r>
        <w:rPr>
          <w:i/>
          <w:color w:val="222222"/>
          <w:highlight w:val="white"/>
        </w:rPr>
        <w:t>The TQM Journal</w:t>
      </w:r>
      <w:r>
        <w:rPr>
          <w:color w:val="222222"/>
          <w:highlight w:val="white"/>
        </w:rPr>
        <w:t xml:space="preserve">, </w:t>
      </w:r>
      <w:r>
        <w:rPr>
          <w:i/>
          <w:color w:val="222222"/>
          <w:highlight w:val="white"/>
        </w:rPr>
        <w:t>32</w:t>
      </w:r>
      <w:r>
        <w:rPr>
          <w:color w:val="222222"/>
          <w:highlight w:val="white"/>
        </w:rPr>
        <w:t>(4), pp.603-616.</w:t>
      </w:r>
    </w:p>
    <w:p w14:paraId="00000024" w14:textId="77777777" w:rsidR="000C3D1F" w:rsidRDefault="00000000">
      <w:pPr>
        <w:spacing w:after="200"/>
      </w:pPr>
      <w:r>
        <w:rPr>
          <w:color w:val="222222"/>
          <w:highlight w:val="white"/>
        </w:rPr>
        <w:t xml:space="preserve">El-Wafa, M.M.A. and Mosly, I., 2024. An extensive examination of the barriers faced by contractors leading to project delays. </w:t>
      </w:r>
      <w:r>
        <w:rPr>
          <w:i/>
          <w:color w:val="222222"/>
          <w:highlight w:val="white"/>
        </w:rPr>
        <w:t>Global Journal of Engineering and Technology Advances</w:t>
      </w:r>
      <w:r>
        <w:rPr>
          <w:color w:val="222222"/>
          <w:highlight w:val="white"/>
        </w:rPr>
        <w:t xml:space="preserve">, </w:t>
      </w:r>
      <w:r>
        <w:rPr>
          <w:i/>
          <w:color w:val="222222"/>
          <w:highlight w:val="white"/>
        </w:rPr>
        <w:t>18</w:t>
      </w:r>
      <w:r>
        <w:rPr>
          <w:color w:val="222222"/>
          <w:highlight w:val="white"/>
        </w:rPr>
        <w:t>(3), pp.152-167.</w:t>
      </w:r>
    </w:p>
    <w:p w14:paraId="00000025" w14:textId="77777777" w:rsidR="000C3D1F" w:rsidRDefault="00000000">
      <w:pPr>
        <w:spacing w:after="200"/>
        <w:rPr>
          <w:color w:val="222222"/>
          <w:highlight w:val="white"/>
        </w:rPr>
      </w:pPr>
      <w:r>
        <w:rPr>
          <w:color w:val="222222"/>
          <w:highlight w:val="white"/>
        </w:rPr>
        <w:t xml:space="preserve">Fargo, V.A., 2021. Technical specifications. </w:t>
      </w:r>
      <w:r>
        <w:rPr>
          <w:i/>
          <w:color w:val="222222"/>
          <w:highlight w:val="white"/>
        </w:rPr>
        <w:t>Gas</w:t>
      </w:r>
      <w:r>
        <w:rPr>
          <w:color w:val="222222"/>
          <w:highlight w:val="white"/>
        </w:rPr>
        <w:t xml:space="preserve">, </w:t>
      </w:r>
      <w:r>
        <w:rPr>
          <w:i/>
          <w:color w:val="222222"/>
          <w:highlight w:val="white"/>
        </w:rPr>
        <w:t>22</w:t>
      </w:r>
      <w:r>
        <w:rPr>
          <w:color w:val="222222"/>
          <w:highlight w:val="white"/>
        </w:rPr>
        <w:t>(62), p.00.</w:t>
      </w:r>
    </w:p>
    <w:p w14:paraId="00000026" w14:textId="77777777" w:rsidR="000C3D1F" w:rsidRDefault="00000000">
      <w:pPr>
        <w:spacing w:after="200"/>
        <w:rPr>
          <w:color w:val="222222"/>
          <w:highlight w:val="white"/>
        </w:rPr>
      </w:pPr>
      <w:r>
        <w:rPr>
          <w:color w:val="222222"/>
          <w:highlight w:val="white"/>
        </w:rPr>
        <w:t xml:space="preserve">Ferreira, A., Pinheiro, M.D., de Brito, J. and Mateus, R., 2023. A critical analysis of LEED, BREEAM and DGNB as sustainability assessment methods for retail buildings. </w:t>
      </w:r>
      <w:r>
        <w:rPr>
          <w:i/>
          <w:color w:val="222222"/>
          <w:highlight w:val="white"/>
        </w:rPr>
        <w:t>Journal of Building Engineering</w:t>
      </w:r>
      <w:r>
        <w:rPr>
          <w:color w:val="222222"/>
          <w:highlight w:val="white"/>
        </w:rPr>
        <w:t xml:space="preserve">, </w:t>
      </w:r>
      <w:r>
        <w:rPr>
          <w:i/>
          <w:color w:val="222222"/>
          <w:highlight w:val="white"/>
        </w:rPr>
        <w:t>66</w:t>
      </w:r>
      <w:r>
        <w:rPr>
          <w:color w:val="222222"/>
          <w:highlight w:val="white"/>
        </w:rPr>
        <w:t>, p.105825.</w:t>
      </w:r>
    </w:p>
    <w:p w14:paraId="00000027" w14:textId="77777777" w:rsidR="000C3D1F" w:rsidRDefault="00000000">
      <w:pPr>
        <w:spacing w:after="200"/>
      </w:pPr>
      <w:r>
        <w:rPr>
          <w:color w:val="222222"/>
          <w:highlight w:val="white"/>
        </w:rPr>
        <w:t xml:space="preserve">Filippetto, A.S., Lima, R. and Barbosa, J.L.V., 2021. A risk prediction model for software project management based on similarity analysis of context histories. </w:t>
      </w:r>
      <w:r>
        <w:rPr>
          <w:i/>
          <w:color w:val="222222"/>
          <w:highlight w:val="white"/>
        </w:rPr>
        <w:t>Information and Software Technology</w:t>
      </w:r>
      <w:r>
        <w:rPr>
          <w:color w:val="222222"/>
          <w:highlight w:val="white"/>
        </w:rPr>
        <w:t xml:space="preserve">, </w:t>
      </w:r>
      <w:r>
        <w:rPr>
          <w:i/>
          <w:color w:val="222222"/>
          <w:highlight w:val="white"/>
        </w:rPr>
        <w:t>131</w:t>
      </w:r>
      <w:r>
        <w:rPr>
          <w:color w:val="222222"/>
          <w:highlight w:val="white"/>
        </w:rPr>
        <w:t>, p.106497.</w:t>
      </w:r>
    </w:p>
    <w:p w14:paraId="00000028" w14:textId="77777777" w:rsidR="000C3D1F" w:rsidRDefault="00000000">
      <w:pPr>
        <w:spacing w:after="200"/>
        <w:rPr>
          <w:color w:val="222222"/>
          <w:highlight w:val="white"/>
        </w:rPr>
      </w:pPr>
      <w:r>
        <w:rPr>
          <w:color w:val="222222"/>
          <w:highlight w:val="white"/>
        </w:rPr>
        <w:t xml:space="preserve">Friend, M.A., Friend, M., Kohn, J.P. and Kohn, J., 2023. </w:t>
      </w:r>
      <w:r>
        <w:rPr>
          <w:i/>
          <w:color w:val="222222"/>
          <w:highlight w:val="white"/>
        </w:rPr>
        <w:t>Fundamentals of occupational safety and health</w:t>
      </w:r>
      <w:r>
        <w:rPr>
          <w:color w:val="222222"/>
          <w:highlight w:val="white"/>
        </w:rPr>
        <w:t>. Rowman &amp; Littlefield.</w:t>
      </w:r>
    </w:p>
    <w:p w14:paraId="00000029" w14:textId="77777777" w:rsidR="000C3D1F" w:rsidRDefault="00000000">
      <w:pPr>
        <w:spacing w:after="200"/>
        <w:rPr>
          <w:color w:val="222222"/>
          <w:highlight w:val="white"/>
        </w:rPr>
      </w:pPr>
      <w:r>
        <w:rPr>
          <w:color w:val="222222"/>
          <w:highlight w:val="white"/>
        </w:rPr>
        <w:t xml:space="preserve">Osei-Asibey, D., Ayarkwa, J., Adinyira, E., Acheampong, A. and Amoah, P., 2021. Roles and responsibilities of stakeholders towards ensuring health and safety at construction site. </w:t>
      </w:r>
      <w:r>
        <w:rPr>
          <w:i/>
          <w:color w:val="222222"/>
          <w:highlight w:val="white"/>
        </w:rPr>
        <w:t>Journal of Building Construction and Planning Research</w:t>
      </w:r>
      <w:r>
        <w:rPr>
          <w:color w:val="222222"/>
          <w:highlight w:val="white"/>
        </w:rPr>
        <w:t xml:space="preserve">, </w:t>
      </w:r>
      <w:r>
        <w:rPr>
          <w:i/>
          <w:color w:val="222222"/>
          <w:highlight w:val="white"/>
        </w:rPr>
        <w:t>9</w:t>
      </w:r>
      <w:r>
        <w:rPr>
          <w:color w:val="222222"/>
          <w:highlight w:val="white"/>
        </w:rPr>
        <w:t>(1), pp.90-114.</w:t>
      </w:r>
    </w:p>
    <w:p w14:paraId="0000002A" w14:textId="77777777" w:rsidR="000C3D1F" w:rsidRDefault="00000000">
      <w:pPr>
        <w:spacing w:after="200"/>
      </w:pPr>
      <w:r>
        <w:rPr>
          <w:color w:val="222222"/>
          <w:highlight w:val="white"/>
        </w:rPr>
        <w:t xml:space="preserve">Rowe, S.F., 2020. </w:t>
      </w:r>
      <w:r>
        <w:rPr>
          <w:i/>
          <w:color w:val="222222"/>
          <w:highlight w:val="white"/>
        </w:rPr>
        <w:t>Project management for small projects</w:t>
      </w:r>
      <w:r>
        <w:rPr>
          <w:color w:val="222222"/>
          <w:highlight w:val="white"/>
        </w:rPr>
        <w:t>. Berrett-Koehler Publishers.</w:t>
      </w:r>
    </w:p>
    <w:p w14:paraId="0000002B" w14:textId="77777777" w:rsidR="000C3D1F" w:rsidRDefault="00000000">
      <w:pPr>
        <w:spacing w:after="200"/>
        <w:rPr>
          <w:color w:val="222222"/>
          <w:highlight w:val="white"/>
        </w:rPr>
      </w:pPr>
      <w:r>
        <w:rPr>
          <w:color w:val="222222"/>
          <w:highlight w:val="white"/>
        </w:rPr>
        <w:t xml:space="preserve">Sanni-Anibire, M.O., Mohamad Zin, R. and Olatunji, S.O., 2022. Causes of delay in the global construction industry: a meta analytical review. </w:t>
      </w:r>
      <w:r>
        <w:rPr>
          <w:i/>
          <w:color w:val="222222"/>
          <w:highlight w:val="white"/>
        </w:rPr>
        <w:t>International Journal of Construction Management</w:t>
      </w:r>
      <w:r>
        <w:rPr>
          <w:color w:val="222222"/>
          <w:highlight w:val="white"/>
        </w:rPr>
        <w:t xml:space="preserve">, </w:t>
      </w:r>
      <w:r>
        <w:rPr>
          <w:i/>
          <w:color w:val="222222"/>
          <w:highlight w:val="white"/>
        </w:rPr>
        <w:t>22</w:t>
      </w:r>
      <w:r>
        <w:rPr>
          <w:color w:val="222222"/>
          <w:highlight w:val="white"/>
        </w:rPr>
        <w:t>(8), pp.1395-1407.</w:t>
      </w:r>
    </w:p>
    <w:p w14:paraId="0000002C" w14:textId="77777777" w:rsidR="000C3D1F" w:rsidRDefault="00000000">
      <w:pPr>
        <w:spacing w:after="200"/>
        <w:rPr>
          <w:color w:val="222222"/>
          <w:highlight w:val="white"/>
        </w:rPr>
      </w:pPr>
      <w:r>
        <w:rPr>
          <w:color w:val="222222"/>
          <w:highlight w:val="white"/>
        </w:rPr>
        <w:t xml:space="preserve">Surya, B., Menne, F., Sabhan, H., Suriani, S., Abubakar, H. and Idris, M., 2021. Economic growth, increasing productivity of SMEs, and open innovation. </w:t>
      </w:r>
      <w:r>
        <w:rPr>
          <w:i/>
          <w:color w:val="222222"/>
          <w:highlight w:val="white"/>
        </w:rPr>
        <w:t>Journal of Open Innovation: Technology, Market, and Complexity</w:t>
      </w:r>
      <w:r>
        <w:rPr>
          <w:color w:val="222222"/>
          <w:highlight w:val="white"/>
        </w:rPr>
        <w:t xml:space="preserve">, </w:t>
      </w:r>
      <w:r>
        <w:rPr>
          <w:i/>
          <w:color w:val="222222"/>
          <w:highlight w:val="white"/>
        </w:rPr>
        <w:t>7</w:t>
      </w:r>
      <w:r>
        <w:rPr>
          <w:color w:val="222222"/>
          <w:highlight w:val="white"/>
        </w:rPr>
        <w:t>(1), p.20.</w:t>
      </w:r>
    </w:p>
    <w:p w14:paraId="0000002D" w14:textId="77777777" w:rsidR="000C3D1F" w:rsidRDefault="00000000">
      <w:pPr>
        <w:spacing w:after="200"/>
        <w:rPr>
          <w:color w:val="222222"/>
          <w:highlight w:val="white"/>
        </w:rPr>
      </w:pPr>
      <w:r>
        <w:rPr>
          <w:color w:val="222222"/>
          <w:highlight w:val="white"/>
        </w:rPr>
        <w:t xml:space="preserve">Toukola, S. and Ahola, T., 2022. Digital tools for stakeholder participation in urban development projects. </w:t>
      </w:r>
      <w:r>
        <w:rPr>
          <w:i/>
          <w:color w:val="222222"/>
          <w:highlight w:val="white"/>
        </w:rPr>
        <w:t>Project leadership and society</w:t>
      </w:r>
      <w:r>
        <w:rPr>
          <w:color w:val="222222"/>
          <w:highlight w:val="white"/>
        </w:rPr>
        <w:t xml:space="preserve">, </w:t>
      </w:r>
      <w:r>
        <w:rPr>
          <w:i/>
          <w:color w:val="222222"/>
          <w:highlight w:val="white"/>
        </w:rPr>
        <w:t>3</w:t>
      </w:r>
      <w:r>
        <w:rPr>
          <w:color w:val="222222"/>
          <w:highlight w:val="white"/>
        </w:rPr>
        <w:t>, p.100053.</w:t>
      </w:r>
    </w:p>
    <w:p w14:paraId="0000002E" w14:textId="77777777" w:rsidR="000C3D1F" w:rsidRDefault="00000000">
      <w:pPr>
        <w:spacing w:after="200"/>
        <w:rPr>
          <w:color w:val="222222"/>
          <w:highlight w:val="white"/>
        </w:rPr>
      </w:pPr>
      <w:r>
        <w:rPr>
          <w:color w:val="222222"/>
          <w:highlight w:val="white"/>
        </w:rPr>
        <w:lastRenderedPageBreak/>
        <w:t xml:space="preserve">Varajão, J., Fernandes, G. and Silva, H., 2020. Most used project management tools and techniques in information systems projects. </w:t>
      </w:r>
      <w:r>
        <w:rPr>
          <w:i/>
          <w:color w:val="222222"/>
          <w:highlight w:val="white"/>
        </w:rPr>
        <w:t>Journal of Systems and Information Technology</w:t>
      </w:r>
      <w:r>
        <w:rPr>
          <w:color w:val="222222"/>
          <w:highlight w:val="white"/>
        </w:rPr>
        <w:t xml:space="preserve">, </w:t>
      </w:r>
      <w:r>
        <w:rPr>
          <w:i/>
          <w:color w:val="222222"/>
          <w:highlight w:val="white"/>
        </w:rPr>
        <w:t>22</w:t>
      </w:r>
      <w:r>
        <w:rPr>
          <w:color w:val="222222"/>
          <w:highlight w:val="white"/>
        </w:rPr>
        <w:t>(3), pp.225-242.</w:t>
      </w:r>
    </w:p>
    <w:p w14:paraId="0000002F" w14:textId="77777777" w:rsidR="000C3D1F" w:rsidRDefault="000C3D1F">
      <w:pPr>
        <w:widowControl w:val="0"/>
        <w:pBdr>
          <w:top w:val="nil"/>
          <w:left w:val="nil"/>
          <w:bottom w:val="nil"/>
          <w:right w:val="nil"/>
          <w:between w:val="nil"/>
        </w:pBdr>
        <w:spacing w:line="276" w:lineRule="auto"/>
        <w:jc w:val="left"/>
        <w:rPr>
          <w:color w:val="222222"/>
          <w:highlight w:val="white"/>
        </w:rPr>
      </w:pPr>
    </w:p>
    <w:sectPr w:rsidR="000C3D1F">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37A1F" w14:textId="77777777" w:rsidR="00165AE0" w:rsidRDefault="00165AE0">
      <w:pPr>
        <w:spacing w:line="240" w:lineRule="auto"/>
      </w:pPr>
      <w:r>
        <w:separator/>
      </w:r>
    </w:p>
  </w:endnote>
  <w:endnote w:type="continuationSeparator" w:id="0">
    <w:p w14:paraId="2935D6C2" w14:textId="77777777" w:rsidR="00165AE0" w:rsidRDefault="00165A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19A55FD2" w:rsidR="000C3D1F" w:rsidRDefault="00000000">
    <w:pPr>
      <w:jc w:val="right"/>
    </w:pPr>
    <w:r>
      <w:fldChar w:fldCharType="begin"/>
    </w:r>
    <w:r>
      <w:instrText>PAGE</w:instrText>
    </w:r>
    <w:r>
      <w:fldChar w:fldCharType="separate"/>
    </w:r>
    <w:r w:rsidR="00DB685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899BD" w14:textId="77777777" w:rsidR="00165AE0" w:rsidRDefault="00165AE0">
      <w:pPr>
        <w:spacing w:line="240" w:lineRule="auto"/>
      </w:pPr>
      <w:r>
        <w:separator/>
      </w:r>
    </w:p>
  </w:footnote>
  <w:footnote w:type="continuationSeparator" w:id="0">
    <w:p w14:paraId="0462C33D" w14:textId="77777777" w:rsidR="00165AE0" w:rsidRDefault="00165AE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D1F"/>
    <w:rsid w:val="000C3D1F"/>
    <w:rsid w:val="00165AE0"/>
    <w:rsid w:val="0097128E"/>
    <w:rsid w:val="00DB6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2272B9"/>
  <w15:docId w15:val="{3A625140-B609-1045-BBF0-EC99E6A77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DB6850"/>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290708">
      <w:bodyDiv w:val="1"/>
      <w:marLeft w:val="0"/>
      <w:marRight w:val="0"/>
      <w:marTop w:val="0"/>
      <w:marBottom w:val="0"/>
      <w:divBdr>
        <w:top w:val="none" w:sz="0" w:space="0" w:color="auto"/>
        <w:left w:val="none" w:sz="0" w:space="0" w:color="auto"/>
        <w:bottom w:val="none" w:sz="0" w:space="0" w:color="auto"/>
        <w:right w:val="none" w:sz="0" w:space="0" w:color="auto"/>
      </w:divBdr>
      <w:divsChild>
        <w:div w:id="373120613">
          <w:marLeft w:val="0"/>
          <w:marRight w:val="0"/>
          <w:marTop w:val="0"/>
          <w:marBottom w:val="0"/>
          <w:divBdr>
            <w:top w:val="none" w:sz="0" w:space="0" w:color="auto"/>
            <w:left w:val="none" w:sz="0" w:space="0" w:color="auto"/>
            <w:bottom w:val="none" w:sz="0" w:space="0" w:color="auto"/>
            <w:right w:val="none" w:sz="0" w:space="0" w:color="auto"/>
          </w:divBdr>
          <w:divsChild>
            <w:div w:id="1474516305">
              <w:marLeft w:val="0"/>
              <w:marRight w:val="0"/>
              <w:marTop w:val="0"/>
              <w:marBottom w:val="0"/>
              <w:divBdr>
                <w:top w:val="none" w:sz="0" w:space="0" w:color="auto"/>
                <w:left w:val="none" w:sz="0" w:space="0" w:color="auto"/>
                <w:bottom w:val="none" w:sz="0" w:space="0" w:color="auto"/>
                <w:right w:val="none" w:sz="0" w:space="0" w:color="auto"/>
              </w:divBdr>
              <w:divsChild>
                <w:div w:id="43256218">
                  <w:marLeft w:val="0"/>
                  <w:marRight w:val="0"/>
                  <w:marTop w:val="0"/>
                  <w:marBottom w:val="0"/>
                  <w:divBdr>
                    <w:top w:val="none" w:sz="0" w:space="0" w:color="auto"/>
                    <w:left w:val="none" w:sz="0" w:space="0" w:color="auto"/>
                    <w:bottom w:val="none" w:sz="0" w:space="0" w:color="auto"/>
                    <w:right w:val="none" w:sz="0" w:space="0" w:color="auto"/>
                  </w:divBdr>
                  <w:divsChild>
                    <w:div w:id="181718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2961</Words>
  <Characters>16882</Characters>
  <Application>Microsoft Office Word</Application>
  <DocSecurity>0</DocSecurity>
  <Lines>140</Lines>
  <Paragraphs>39</Paragraphs>
  <ScaleCrop>false</ScaleCrop>
  <Company/>
  <LinksUpToDate>false</LinksUpToDate>
  <CharactersWithSpaces>19804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Rosca (2215818)</cp:lastModifiedBy>
  <cp:revision>2</cp:revision>
  <dcterms:created xsi:type="dcterms:W3CDTF">2024-08-01T21:31:00Z</dcterms:created>
  <dcterms:modified xsi:type="dcterms:W3CDTF">2024-08-01T21:40:00Z</dcterms:modified>
</cp:coreProperties>
</file>