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Over recent years Media has become a massive source of information that individuals within all age groups rely on to discover what is happening in the world (Hanson, 2014)</w:t>
      </w:r>
      <w:r>
        <w:rPr>
          <w:rFonts w:ascii="Times New Roman"/>
          <w:b w:val="1"/>
          <w:bCs w:val="1"/>
          <w:sz w:val="24"/>
          <w:szCs w:val="24"/>
          <w:u w:val="none"/>
          <w:rtl w:val="0"/>
        </w:rPr>
        <w:t xml:space="preserve">. </w:t>
      </w:r>
      <w:r>
        <w:rPr>
          <w:rFonts w:ascii="Times New Roman"/>
          <w:sz w:val="24"/>
          <w:szCs w:val="24"/>
          <w:u w:val="none"/>
          <w:rtl w:val="0"/>
          <w:lang w:val="en-US"/>
        </w:rPr>
        <w:t>This assignment is going to be about how the Media has portrayed being 'gender neutral' a debate which has become more popularly spoken about recently whether society is becoming too 'gender neutral' and whether it has gone too far</w:t>
      </w:r>
      <w:r>
        <w:rPr>
          <w:rFonts w:ascii="Times New Roman"/>
          <w:b w:val="1"/>
          <w:bCs w:val="1"/>
          <w:sz w:val="24"/>
          <w:szCs w:val="24"/>
          <w:u w:val="none"/>
          <w:rtl w:val="0"/>
        </w:rPr>
        <w:t xml:space="preserve"> </w:t>
      </w:r>
      <w:r>
        <w:rPr>
          <w:rFonts w:ascii="Times New Roman"/>
          <w:sz w:val="24"/>
          <w:szCs w:val="24"/>
          <w:u w:val="none"/>
          <w:rtl w:val="0"/>
          <w:lang w:val="en-US"/>
        </w:rPr>
        <w:t xml:space="preserve">or whether society is becoming more accepting in being 'gender neutral' and whether it is a good thing in being so. There has been a debate going on whether that growing up children in an environment that is 'gender neutral' that they would therefore then be able to not subject themselves or others to gender inequality because they would not identify as any gender and therefore not feel pressured to behave or use languages that isolate other genders (Hanson, 2014). Firstly, this assignment is going to address media which has shown being 'gender neutral' in a positive way and how the media has been able to do that. Secondly, this assignment is going to address media which has shown being 'gender neutral' in a negative way and how the media has been able to do that. Thirdly and Lastly, this assignment is going to address how media is able to influence individuals opinions positively on this topic and how the media is able to influence individuals opinions negatively on this topic along with the Direct effects theory (Stille, 2000) and the Agenda-setting theory (Dearing and Rogers, 1996) to conclude whether the media does actually influence the public or not. </w:t>
      </w:r>
    </w:p>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 xml:space="preserve">Gender neutralism has become increasingly more popular recently particularly in the media (Chanter, 2006). Gender neutralism is where individuals do not feel or belong to either genders so are not labelled into a 'female' gender or a 'male' gender so do not conform to any specific gender roles (Chanter, 2006). </w:t>
      </w:r>
      <w:r>
        <w:rPr>
          <w:rFonts w:ascii="Times New Roman"/>
          <w:b w:val="1"/>
          <w:bCs w:val="1"/>
          <w:sz w:val="24"/>
          <w:szCs w:val="24"/>
          <w:u w:val="none"/>
          <w:rtl w:val="0"/>
        </w:rPr>
        <w:t xml:space="preserve"> </w:t>
      </w:r>
      <w:r>
        <w:rPr>
          <w:rFonts w:ascii="Times New Roman"/>
          <w:sz w:val="24"/>
          <w:szCs w:val="24"/>
          <w:u w:val="none"/>
          <w:rtl w:val="0"/>
          <w:lang w:val="en-US"/>
        </w:rPr>
        <w:t xml:space="preserve">In some media outlooks they expose gender neutralism in a positive outlook. (Kassam, 2018) concluded in a recent article in The Guardian while discussing Canada's government's decision to adopt gender neutral language in a working environment that by using gender neutral language it would be avoiding "bias towards a particular sex or gender". Kassam (2018) also suggested that it is the Conservatives who have a problem with gender neutral terms, branding using gender neutral language as 'ridiculous'. Kassam (2018) suggests that gender neutral terms and language have a massive support within the LGBTQ community as it is the government is trying to not fit everyone into a 'box'. Kassam (2018) concludes that gender neutral terms show respect the diversity of society. However, due to the content of the article it is clear that it is bias on political factors due to the fact the Newspaper 'The Guardian" is a Left Wing paper meaning that they support Liberal </w:t>
      </w:r>
      <w:r>
        <w:rPr>
          <w:rFonts w:ascii="Times New Roman"/>
          <w:sz w:val="24"/>
          <w:szCs w:val="24"/>
          <w:u w:val="none"/>
          <w:rtl w:val="0"/>
          <w:lang w:val="en-US"/>
        </w:rPr>
        <w:t>Democratic's</w:t>
      </w:r>
      <w:r>
        <w:rPr>
          <w:rFonts w:ascii="Times New Roman"/>
          <w:sz w:val="24"/>
          <w:szCs w:val="24"/>
          <w:u w:val="none"/>
          <w:rtl w:val="0"/>
          <w:lang w:val="en-US"/>
        </w:rPr>
        <w:t xml:space="preserve"> and Labour Party and do not support Conservatives and therefore would want to turn their readers against the Conservative party (Lazere, 2012). (Pasha-Robinson, 2018) had written about a survey which was done by a newspaper called 'First News' which was completed by 1000 children aged between 9-14 in order to understand what ages do attitudes towards gender bias start. In a recent article in The Independent writte</w:t>
      </w:r>
      <w:r>
        <w:rPr>
          <w:rFonts w:ascii="Times New Roman"/>
          <w:sz w:val="24"/>
          <w:szCs w:val="24"/>
          <w:u w:val="none"/>
          <w:rtl w:val="0"/>
          <w:lang w:val="en-US"/>
        </w:rPr>
        <w:t>n</w:t>
      </w:r>
      <w:r>
        <w:rPr>
          <w:rFonts w:ascii="Times New Roman"/>
          <w:sz w:val="24"/>
          <w:szCs w:val="24"/>
          <w:u w:val="none"/>
          <w:rtl w:val="0"/>
          <w:lang w:val="en-US"/>
        </w:rPr>
        <w:t xml:space="preserve"> by Pasha-Robinson (2018) it concluded that; </w:t>
      </w:r>
    </w:p>
    <w:p>
      <w:pPr>
        <w:pStyle w:val="Body"/>
        <w:jc w:val="center"/>
        <w:rPr>
          <w:rFonts w:ascii="Times New Roman" w:cs="Times New Roman" w:hAnsi="Times New Roman" w:eastAsia="Times New Roman"/>
          <w:i w:val="1"/>
          <w:iCs w:val="1"/>
          <w:sz w:val="24"/>
          <w:szCs w:val="24"/>
          <w:u w:val="none"/>
        </w:rPr>
      </w:pPr>
      <w:r>
        <w:rPr>
          <w:rFonts w:ascii="Times New Roman"/>
          <w:i w:val="1"/>
          <w:iCs w:val="1"/>
          <w:sz w:val="24"/>
          <w:szCs w:val="24"/>
          <w:u w:val="none"/>
          <w:rtl w:val="0"/>
          <w:lang w:val="en-US"/>
        </w:rPr>
        <w:t xml:space="preserve">"Nearly two thirds of girls (63 per cent) and more than half of boys (52 per cent) believed they were not treated the same by their classmates" </w:t>
      </w:r>
    </w:p>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 xml:space="preserve">In the article it was concluded that after the survey the findings were that majority of boys and girls felt that they were gender stereotyped and so the survey concluded that the media should be able to promote stronger role models in order to promote that gender is not a barrier (Pasha-Robinson, 2018). Therefore this article promotes a positive feedback on gender neutralism as it shows in a non bias way through facts that gender is not a barrier and that children are feeling pressured into behaving in their stereotypical gender roles but with gender neutralism they would not feel those pressures (Pasha-Robinson, 2018). </w:t>
      </w:r>
    </w:p>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In some media outlooks they expose gender neutralism in a negative outlook due to claims that it is 'ridiculous' made by certain groups of people (Chanter, 2006). In article in The Sun written by (Keegan, 2018) it is about a family who live in America and how they are raising their children in a gender neutral environment as they do not want their children to have their gender as a hindrance to them and they want to them to be raised as 'men and women are equal' but it is shown that even the title of the article is rather negative in phrase used "Family who are bringing up their kids as gender neutral encourage five-year-old son to wear bows in his hair and pink tutus" by using the part "encourage five-year-old son to wear bows in his hair and pink tutus" by using the word "encourage" it could be read by the 'right wing' readers of The Sun that the parents in fact are forcing their son to dress like a girl and by suggesting he wears 'bows and tutus' the writer wanted to shock its readers into reading the article because as previously stated most of The Sun's readers are right winged and therefore would not be supportive of gender neutral way of life (Hanson, 2014). In an article written by (Dilworth, 2018) in the Daily Mail it is about a private girl's school introducing 'gender neutral' toilets for young girls who want to transition while attending the school even though legally they cannot except anyone who is not legally a 'girl'. Dilworth (2018) suggested in his title of the article that it would be a waste of finance to change the toilets by writing 'gender-neutral toilets at girls school 'just in case' ' it is also suggesting that gender neutral does not seem important or an issue that could occur while at a girls school. However, the 'Daily Mail' is a right winged newspaper and therefore it would be appealing to the views of Conservatives and other right winged readers and so therefore would have to write in a critical manner to appeal to those who read the paper.</w:t>
      </w:r>
    </w:p>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A debate over the years has sparked whether or not the media actually does influence individuals or not who listen to the news or read newspapers. There are many media theories that have been introduced in order to show whether or not it media does impact readers or viewers. The 'Direct effects' theory gives a lot of power to the media with its ability to be able to influences the public easily as the 'Direct effects' theory suggests that individuals who watch the news or read newspapers are therefore accepting the media messages that they are portraying and therefore have the readers or viewers have predictable reactions in response to those messages that the media po</w:t>
      </w:r>
      <w:r>
        <w:rPr>
          <w:rFonts w:ascii="Times New Roman"/>
          <w:sz w:val="24"/>
          <w:szCs w:val="24"/>
          <w:u w:val="none"/>
          <w:rtl w:val="0"/>
          <w:lang w:val="en-US"/>
        </w:rPr>
        <w:t>r</w:t>
      </w:r>
      <w:r>
        <w:rPr>
          <w:rFonts w:ascii="Times New Roman"/>
          <w:sz w:val="24"/>
          <w:szCs w:val="24"/>
          <w:u w:val="none"/>
          <w:rtl w:val="0"/>
          <w:lang w:val="en-US"/>
        </w:rPr>
        <w:t>trays (Stille, 2000)</w:t>
      </w:r>
      <w:r>
        <w:rPr>
          <w:rFonts w:ascii="Times New Roman"/>
          <w:b w:val="1"/>
          <w:bCs w:val="1"/>
          <w:sz w:val="24"/>
          <w:szCs w:val="24"/>
          <w:u w:val="none"/>
          <w:rtl w:val="0"/>
        </w:rPr>
        <w:t xml:space="preserve">. </w:t>
      </w:r>
      <w:r>
        <w:rPr>
          <w:rFonts w:ascii="Times New Roman"/>
          <w:sz w:val="24"/>
          <w:szCs w:val="24"/>
          <w:u w:val="none"/>
          <w:rtl w:val="0"/>
          <w:lang w:val="en-US"/>
        </w:rPr>
        <w:t xml:space="preserve">This would result in the assumption that individuals are easily influenced by the media (Stille, 2000). However, the 'Agenda-setting' theory disagrees with the 'Direct effects' theory as the 'Agenda-setting' theory states that the media determines what issues they will portray and therefore what issues will concern the public rather than the publics views (Dearing and Rogers, 1996). Dearing and Rogers (1996) suggest that this mean the issues that therefore have the most attention within all types of media become issues that the public will then discuss and debate amongst each other and as a conversation. Dearing and Rogers (1996) also conclude that this means that the media is able to determine what issues and stories that the public 'think' about so this means that the media are able to control exactly what issues are not thought also. To conclude, Dearing and Rogers (1996) suggest that to an extent the media does influence the publics opinion but does not conclude that is the case but rather suggests that the media controls what is relevant to the publics attention and what is not. </w:t>
      </w:r>
    </w:p>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 xml:space="preserve">To conclude, this assignment was about how the media is able to write positively about a topic and how the media is able to write negatively about a topic too. However, this assignment was mainly about how each media outlet has their own agenda when it comes to the way they present the topic whether it is the same topic or not (Hanson, 2014). Every newspaper or media outlet has their own audiences and political parties that they have to appeal to so this can include political factors such as the political stance the owner of the news agency is so meaning if the news paper is Conservative then they would be more negative about social issues than if it were a news paper who was a Liberal supporter (Hanson 2014). Overall, this assignment has also concluded the media does influence the public to an extent as the media controls what the public think about according to the 'Agenda-setting' theory (Dearing and Rogers, 1996). </w:t>
      </w:r>
    </w:p>
    <w:p>
      <w:pPr>
        <w:pStyle w:val="Body"/>
        <w:jc w:val="both"/>
        <w:rPr>
          <w:rFonts w:ascii="Times New Roman" w:cs="Times New Roman" w:hAnsi="Times New Roman" w:eastAsia="Times New Roman"/>
          <w:sz w:val="24"/>
          <w:szCs w:val="24"/>
          <w:u w:val="none"/>
        </w:rPr>
      </w:pPr>
    </w:p>
    <w:p>
      <w:pPr>
        <w:pStyle w:val="Body"/>
        <w:jc w:val="both"/>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Reference List</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Chanter, T. (2006) </w:t>
      </w:r>
      <w:r>
        <w:rPr>
          <w:rFonts w:ascii="Calibri" w:cs="Calibri" w:hAnsi="Calibri" w:eastAsia="Calibri"/>
          <w:i w:val="1"/>
          <w:iCs w:val="1"/>
          <w:sz w:val="22"/>
          <w:szCs w:val="22"/>
          <w:rtl w:val="0"/>
          <w:lang w:val="en-US"/>
        </w:rPr>
        <w:t>Gender: Key Concepts in Philosophy</w:t>
      </w:r>
      <w:r>
        <w:rPr>
          <w:rFonts w:ascii="Calibri" w:cs="Calibri" w:hAnsi="Calibri" w:eastAsia="Calibri"/>
          <w:sz w:val="22"/>
          <w:szCs w:val="22"/>
          <w:rtl w:val="0"/>
          <w:lang w:val="en-US"/>
        </w:rPr>
        <w:t>. Bloomsbury Publishing.</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Dearing, J. and Rogers, E. (1996). </w:t>
      </w:r>
      <w:r>
        <w:rPr>
          <w:rFonts w:ascii="Calibri" w:cs="Calibri" w:hAnsi="Calibri" w:eastAsia="Calibri"/>
          <w:i w:val="1"/>
          <w:iCs w:val="1"/>
          <w:sz w:val="22"/>
          <w:szCs w:val="22"/>
          <w:rtl w:val="0"/>
          <w:lang w:val="en-US"/>
        </w:rPr>
        <w:t>Agenda-Setting Volume 6 of Communication Concepts</w:t>
      </w:r>
      <w:r>
        <w:rPr>
          <w:rFonts w:ascii="Calibri" w:cs="Calibri" w:hAnsi="Calibri" w:eastAsia="Calibri"/>
          <w:sz w:val="22"/>
          <w:szCs w:val="22"/>
          <w:rtl w:val="0"/>
          <w:lang w:val="en-US"/>
        </w:rPr>
        <w:t xml:space="preserve">. SAGE Publications. </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Dilworth, M. (2018). Gender-Neutral toilets at girls school "just in case." </w:t>
      </w:r>
      <w:r>
        <w:rPr>
          <w:rFonts w:ascii="Calibri" w:cs="Calibri" w:hAnsi="Calibri" w:eastAsia="Calibri"/>
          <w:i w:val="1"/>
          <w:iCs w:val="1"/>
          <w:sz w:val="22"/>
          <w:szCs w:val="22"/>
          <w:rtl w:val="0"/>
          <w:lang w:val="en-US"/>
        </w:rPr>
        <w:t>Daily Mail</w:t>
      </w:r>
      <w:r>
        <w:rPr>
          <w:rFonts w:ascii="Calibri" w:cs="Calibri" w:hAnsi="Calibri" w:eastAsia="Calibri"/>
          <w:sz w:val="22"/>
          <w:szCs w:val="22"/>
          <w:rtl w:val="0"/>
          <w:lang w:val="en-US"/>
        </w:rPr>
        <w:t xml:space="preserve">. [online] Available at: </w:t>
      </w:r>
      <w:hyperlink r:id="rId4" w:history="1">
        <w:r>
          <w:rPr>
            <w:rStyle w:val="Hyperlink.0"/>
            <w:rFonts w:ascii="Calibri" w:cs="Calibri" w:hAnsi="Calibri" w:eastAsia="Calibri"/>
            <w:sz w:val="22"/>
            <w:szCs w:val="22"/>
            <w:rtl w:val="0"/>
            <w:lang w:val="en-US"/>
          </w:rPr>
          <w:t>https://www.pressreader.com/uk/daily-mail/20180314/281719795104535</w:t>
        </w:r>
      </w:hyperlink>
      <w:r>
        <w:rPr>
          <w:rFonts w:ascii="Calibri" w:cs="Calibri" w:hAnsi="Calibri" w:eastAsia="Calibri"/>
          <w:sz w:val="22"/>
          <w:szCs w:val="22"/>
          <w:rtl w:val="0"/>
          <w:lang w:val="en-US"/>
        </w:rPr>
        <w:t xml:space="preserve"> [Accessed 6 Apr. 2018].</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Hanson, R. (2014).</w:t>
      </w:r>
      <w:r>
        <w:rPr>
          <w:rFonts w:ascii="Calibri" w:cs="Calibri" w:hAnsi="Calibri" w:eastAsia="Calibri"/>
          <w:i w:val="1"/>
          <w:iCs w:val="1"/>
          <w:sz w:val="22"/>
          <w:szCs w:val="22"/>
          <w:rtl w:val="0"/>
          <w:lang w:val="en-US"/>
        </w:rPr>
        <w:t xml:space="preserve"> Mass Communication: Living in a Media World</w:t>
      </w:r>
      <w:r>
        <w:rPr>
          <w:rFonts w:ascii="Calibri" w:cs="Calibri" w:hAnsi="Calibri" w:eastAsia="Calibri"/>
          <w:sz w:val="22"/>
          <w:szCs w:val="22"/>
          <w:rtl w:val="0"/>
          <w:lang w:val="en-US"/>
        </w:rPr>
        <w:t xml:space="preserve">. 4th ed. SAGE Publications.   </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Kassam, A. (2018). Canada government defends asking employees to use gender-neutral terms. The Guardian. [online] Available at: </w:t>
      </w:r>
      <w:hyperlink r:id="rId5" w:history="1">
        <w:r>
          <w:rPr>
            <w:rStyle w:val="Hyperlink.0"/>
            <w:rFonts w:ascii="Calibri" w:cs="Calibri" w:hAnsi="Calibri" w:eastAsia="Calibri"/>
            <w:sz w:val="22"/>
            <w:szCs w:val="22"/>
            <w:rtl w:val="0"/>
            <w:lang w:val="en-US"/>
          </w:rPr>
          <w:t>https://www.theguardian.com/world/2018/mar/22/canada-government-defends-asking-employees-to-use-gender-neutral-terms</w:t>
        </w:r>
      </w:hyperlink>
      <w:r>
        <w:rPr>
          <w:rFonts w:ascii="Calibri" w:cs="Calibri" w:hAnsi="Calibri" w:eastAsia="Calibri"/>
          <w:sz w:val="22"/>
          <w:szCs w:val="22"/>
          <w:rtl w:val="0"/>
          <w:lang w:val="en-US"/>
        </w:rPr>
        <w:t xml:space="preserve"> [Accessed 6 Apr. 2018].</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Keegan, N. (2018). FREEDOM TO BE Family who are bringing up their kids as gender-neutral encourage five-year-old son to wear bows in his hair and pink tutus. </w:t>
      </w:r>
      <w:r>
        <w:rPr>
          <w:rFonts w:ascii="Calibri" w:cs="Calibri" w:hAnsi="Calibri" w:eastAsia="Calibri"/>
          <w:i w:val="1"/>
          <w:iCs w:val="1"/>
          <w:sz w:val="22"/>
          <w:szCs w:val="22"/>
          <w:rtl w:val="0"/>
          <w:lang w:val="en-US"/>
        </w:rPr>
        <w:t>The Sun.</w:t>
      </w:r>
      <w:r>
        <w:rPr>
          <w:rFonts w:ascii="Calibri" w:cs="Calibri" w:hAnsi="Calibri" w:eastAsia="Calibri"/>
          <w:sz w:val="22"/>
          <w:szCs w:val="22"/>
          <w:rtl w:val="0"/>
          <w:lang w:val="en-US"/>
        </w:rPr>
        <w:t xml:space="preserve"> [online] Available at: </w:t>
      </w:r>
      <w:hyperlink r:id="rId6" w:history="1">
        <w:r>
          <w:rPr>
            <w:rStyle w:val="Hyperlink.0"/>
            <w:rFonts w:ascii="Calibri" w:cs="Calibri" w:hAnsi="Calibri" w:eastAsia="Calibri"/>
            <w:sz w:val="22"/>
            <w:szCs w:val="22"/>
            <w:rtl w:val="0"/>
            <w:lang w:val="en-US"/>
          </w:rPr>
          <w:t>https://www.thesun.co.uk/fabulous/5643748/family-bringing-up-kids-gender-neutral-five-year-old-son-to-wear-bows-in-his-hair-pink-tutus/</w:t>
        </w:r>
      </w:hyperlink>
      <w:r>
        <w:rPr>
          <w:rFonts w:ascii="Calibri" w:cs="Calibri" w:hAnsi="Calibri" w:eastAsia="Calibri"/>
          <w:sz w:val="22"/>
          <w:szCs w:val="22"/>
          <w:rtl w:val="0"/>
          <w:lang w:val="en-US"/>
        </w:rPr>
        <w:t xml:space="preserve"> [Accessed 6 Apr. 2018].</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Lazere. D. (2012). </w:t>
      </w:r>
      <w:r>
        <w:rPr>
          <w:rFonts w:ascii="Calibri" w:cs="Calibri" w:hAnsi="Calibri" w:eastAsia="Calibri"/>
          <w:i w:val="1"/>
          <w:iCs w:val="1"/>
          <w:sz w:val="22"/>
          <w:szCs w:val="22"/>
          <w:rtl w:val="0"/>
          <w:lang w:val="en-US"/>
        </w:rPr>
        <w:t>Thinking Critically about Media and Politics</w:t>
      </w:r>
      <w:r>
        <w:rPr>
          <w:rFonts w:ascii="Calibri" w:cs="Calibri" w:hAnsi="Calibri" w:eastAsia="Calibri"/>
          <w:sz w:val="22"/>
          <w:szCs w:val="22"/>
          <w:rtl w:val="0"/>
          <w:lang w:val="en-US"/>
        </w:rPr>
        <w:t>. Paradigm Publishers.</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Pash-Robinson, L. (2018). Children feel they are treated differently because of their gender, finds survey. </w:t>
      </w:r>
      <w:r>
        <w:rPr>
          <w:rFonts w:ascii="Calibri" w:cs="Calibri" w:hAnsi="Calibri" w:eastAsia="Calibri"/>
          <w:i w:val="1"/>
          <w:iCs w:val="1"/>
          <w:sz w:val="22"/>
          <w:szCs w:val="22"/>
          <w:rtl w:val="0"/>
          <w:lang w:val="en-US"/>
        </w:rPr>
        <w:t>The Independent</w:t>
      </w:r>
      <w:r>
        <w:rPr>
          <w:rFonts w:ascii="Calibri" w:cs="Calibri" w:hAnsi="Calibri" w:eastAsia="Calibri"/>
          <w:sz w:val="22"/>
          <w:szCs w:val="22"/>
          <w:rtl w:val="0"/>
          <w:lang w:val="en-US"/>
        </w:rPr>
        <w:t xml:space="preserve">. [online] Available at: </w:t>
      </w:r>
      <w:hyperlink r:id="rId7" w:history="1">
        <w:r>
          <w:rPr>
            <w:rStyle w:val="Hyperlink.0"/>
            <w:rFonts w:ascii="Calibri" w:cs="Calibri" w:hAnsi="Calibri" w:eastAsia="Calibri"/>
            <w:sz w:val="22"/>
            <w:szCs w:val="22"/>
            <w:rtl w:val="0"/>
            <w:lang w:val="en-US"/>
          </w:rPr>
          <w:t>http://www.indepedent.co.uk/news/uk/home-news/gender-difference-children-educations-teachers-parents-family-survey-a8164321.html</w:t>
        </w:r>
      </w:hyperlink>
      <w:r>
        <w:rPr>
          <w:rFonts w:ascii="Calibri" w:cs="Calibri" w:hAnsi="Calibri" w:eastAsia="Calibri"/>
          <w:sz w:val="22"/>
          <w:szCs w:val="22"/>
          <w:rtl w:val="0"/>
          <w:lang w:val="en-US"/>
        </w:rPr>
        <w:t xml:space="preserve"> [Accessed 6 Apr. 2018]</w:t>
      </w: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Stille, A. (2000). Marshall McLuhan Is Back From the Dustbin of History; With the Internet, His Ideas Again Seem Ahead of Their Time. </w:t>
      </w:r>
      <w:r>
        <w:rPr>
          <w:rFonts w:ascii="Calibri" w:cs="Calibri" w:hAnsi="Calibri" w:eastAsia="Calibri"/>
          <w:i w:val="1"/>
          <w:iCs w:val="1"/>
          <w:sz w:val="22"/>
          <w:szCs w:val="22"/>
          <w:rtl w:val="0"/>
          <w:lang w:val="en-US"/>
        </w:rPr>
        <w:t>The New York Times</w:t>
      </w:r>
      <w:r>
        <w:rPr>
          <w:rFonts w:ascii="Calibri" w:cs="Calibri" w:hAnsi="Calibri" w:eastAsia="Calibri"/>
          <w:sz w:val="22"/>
          <w:szCs w:val="22"/>
          <w:rtl w:val="0"/>
          <w:lang w:val="en-US"/>
        </w:rPr>
        <w:t xml:space="preserve">. [online] Available at: </w:t>
      </w:r>
      <w:hyperlink r:id="rId8" w:history="1">
        <w:r>
          <w:rPr>
            <w:rStyle w:val="Hyperlink.0"/>
            <w:rFonts w:ascii="Calibri" w:cs="Calibri" w:hAnsi="Calibri" w:eastAsia="Calibri"/>
            <w:sz w:val="22"/>
            <w:szCs w:val="22"/>
            <w:rtl w:val="0"/>
            <w:lang w:val="en-US"/>
          </w:rPr>
          <w:t>https://www.nytimes.com/2000/10/14/arts/marshall-mcluhan-back-dustbin-history-with-internet-his-ideas-again-seem-ahead.html</w:t>
        </w:r>
      </w:hyperlink>
      <w:r>
        <w:rPr>
          <w:rFonts w:ascii="Calibri" w:cs="Calibri" w:hAnsi="Calibri" w:eastAsia="Calibri"/>
          <w:sz w:val="22"/>
          <w:szCs w:val="22"/>
          <w:rtl w:val="0"/>
          <w:lang w:val="en-US"/>
        </w:rPr>
        <w:t xml:space="preserve"> [Accessed 6 Apr. 2018].</w:t>
      </w:r>
    </w:p>
    <w:p>
      <w:pPr>
        <w:pStyle w:val="Body"/>
        <w:rPr>
          <w:rFonts w:ascii="Calibri" w:cs="Calibri" w:hAnsi="Calibri" w:eastAsia="Calibri"/>
          <w:sz w:val="22"/>
          <w:szCs w:val="22"/>
          <w:lang w:val="en-US"/>
        </w:rPr>
      </w:pPr>
    </w:p>
    <w:p>
      <w:pPr>
        <w:pStyle w:val="Body"/>
        <w:rPr>
          <w:rFonts w:ascii="Calibri" w:cs="Calibri" w:hAnsi="Calibri" w:eastAsia="Calibri"/>
          <w:sz w:val="22"/>
          <w:szCs w:val="22"/>
          <w:lang w:val="en-US"/>
        </w:rPr>
      </w:pPr>
    </w:p>
    <w:p>
      <w:pPr>
        <w:pStyle w:val="Body"/>
        <w:rPr>
          <w:rFonts w:ascii="Calibri" w:cs="Calibri" w:hAnsi="Calibri" w:eastAsia="Calibri"/>
          <w:sz w:val="22"/>
          <w:szCs w:val="22"/>
          <w:lang w:val="en-US"/>
        </w:rPr>
      </w:pPr>
    </w:p>
    <w:p>
      <w:pPr>
        <w:pStyle w:val="Body"/>
        <w:rPr>
          <w:rFonts w:ascii="Calibri" w:cs="Calibri" w:hAnsi="Calibri" w:eastAsia="Calibri"/>
          <w:sz w:val="22"/>
          <w:szCs w:val="22"/>
          <w:lang w:val="en-US"/>
        </w:rPr>
      </w:pPr>
    </w:p>
    <w:p>
      <w:pPr>
        <w:pStyle w:val="Body"/>
        <w:rPr>
          <w:rFonts w:ascii="Calibri" w:cs="Calibri" w:hAnsi="Calibri" w:eastAsia="Calibri"/>
          <w:sz w:val="22"/>
          <w:szCs w:val="22"/>
          <w:lang w:val="en-US"/>
        </w:rPr>
      </w:pPr>
    </w:p>
    <w:p>
      <w:pPr>
        <w:pStyle w:val="Body"/>
        <w:rPr>
          <w:rFonts w:ascii="Calibri" w:cs="Calibri" w:hAnsi="Calibri" w:eastAsia="Calibri"/>
          <w:sz w:val="22"/>
          <w:szCs w:val="22"/>
          <w:lang w:val="en-US"/>
        </w:rPr>
      </w:pPr>
    </w:p>
    <w:p>
      <w:pPr>
        <w:pStyle w:val="Body"/>
      </w:pPr>
      <w:r>
        <w:rPr>
          <w:rFonts w:ascii="Calibri" w:cs="Calibri" w:hAnsi="Calibri" w:eastAsia="Calibri"/>
          <w:sz w:val="22"/>
          <w:szCs w:val="22"/>
          <w:lang w:val="en-US"/>
        </w:rPr>
      </w:r>
    </w:p>
    <w:sectPr>
      <w:headerReference w:type="default" r:id="rId9"/>
      <w:footerReference w:type="default" r:id="rId10"/>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widowControl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widowControl w:val="0"/>
    </w:pPr>
    <w:r>
      <mc:AlternateContent>
        <mc:Choice Requires="wps">
          <w:drawing>
            <wp:anchor distT="152400" distB="152400" distL="152400" distR="152400" simplePos="0" relativeHeight="251658240" behindDoc="1" locked="0" layoutInCell="1" allowOverlap="1">
              <wp:simplePos x="0" y="0"/>
              <wp:positionH relativeFrom="page">
                <wp:posOffset>914400</wp:posOffset>
              </wp:positionH>
              <wp:positionV relativeFrom="page">
                <wp:posOffset>457200</wp:posOffset>
              </wp:positionV>
              <wp:extent cx="5943600" cy="22860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5943600" cy="228600"/>
                      </a:xfrm>
                      <a:prstGeom prst="rect">
                        <a:avLst/>
                      </a:prstGeom>
                    </wps:spPr>
                    <wps:txb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1500968</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center"/>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SJSI5021</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right"/>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ASS 3</w:t>
                                </w:r>
                              </w:p>
                            </w:tc>
                          </w:tr>
                        </w:tbl>
                      </w:txbxContent>
                    </wps:txbx>
                    <wps:bodyPr lIns="0" tIns="0" rIns="0" bIns="0">
                      <a:spAutoFit/>
                    </wps:bodyPr>
                  </wps:wsp>
                </a:graphicData>
              </a:graphic>
            </wp:anchor>
          </w:drawing>
        </mc:Choice>
        <mc:Fallback>
          <w:pict>
            <v:shape id="_x0000_s1026" type="#_x0000_t202" style="visibility:visible;position:absolute;margin-left:72.0pt;margin-top:36.0pt;width:468.0pt;height:18.0pt;z-index:-251658240;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bevel" linestyle="single" startarrow="none" startarrowwidth="medium" startarrowlength="medium" endarrow="none" endarrowwidth="medium" endarrowlength="medium"/>
              <v:textbo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1500968</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center"/>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SJSI5021</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right"/>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ASS 3</w:t>
                          </w:r>
                        </w:p>
                      </w:tc>
                    </w:tr>
                  </w:tbl>
                </w:txbxContent>
              </v:textbox>
              <w10:wrap type="none" side="bothSides" anchorx="page" anchory="page"/>
            </v:shap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914400</wp:posOffset>
              </wp:positionH>
              <wp:positionV relativeFrom="page">
                <wp:posOffset>8458200</wp:posOffset>
              </wp:positionV>
              <wp:extent cx="5943600" cy="22860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5943600" cy="228600"/>
                      </a:xfrm>
                      <a:prstGeom prst="rect">
                        <a:avLst/>
                      </a:prstGeom>
                    </wps:spPr>
                    <wps:txb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wps:txbx>
                    <wps:bodyPr lIns="0" tIns="0" rIns="0" bIns="0">
                      <a:spAutoFit/>
                    </wps:bodyPr>
                  </wps:wsp>
                </a:graphicData>
              </a:graphic>
            </wp:anchor>
          </w:drawing>
        </mc:Choice>
        <mc:Fallback>
          <w:pict>
            <v:shape id="_x0000_s1027" type="#_x0000_t202" style="visibility:visible;position:absolute;margin-left:72.0pt;margin-top:666.0pt;width:468.0pt;height:18.0pt;z-index:-251657216;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bevel" linestyle="single" startarrow="none" startarrowwidth="medium" startarrowlength="medium" endarrow="none" endarrowwidth="medium" endarrowlength="medium"/>
              <v:textbo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v:textbox>
              <w10:wrap type="none" side="bothSides" anchorx="page" anchory="page"/>
            </v:shape>
          </w:pict>
        </mc:Fallback>
      </mc:AlternateContent>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Link">
    <w:name w:val="Link"/>
    <w:rPr>
      <w:color w:val="0563c1"/>
      <w:u w:val="single" w:color="0563c1"/>
    </w:rPr>
  </w:style>
  <w:style w:type="character" w:styleId="Hyperlink.0">
    <w:name w:val="Hyperlink.0"/>
    <w:basedOn w:val="Link"/>
    <w:next w:val="Hyperlink.0"/>
    <w:rPr>
      <w:rFonts w:ascii="Calibri" w:cs="Calibri" w:hAnsi="Calibri" w:eastAsia="Calibri"/>
      <w:sz w:val="22"/>
      <w:szCs w:val="22"/>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s://www.pressreader.com/uk/daily-mail/20180314/281719795104535" TargetMode="External"/><Relationship Id="rId5" Type="http://schemas.openxmlformats.org/officeDocument/2006/relationships/hyperlink" Target="https://www.theguardian.com/world/2018/mar/22/canada-government-defends-asking-employees-to-use-gender-neutral-terms" TargetMode="External"/><Relationship Id="rId6" Type="http://schemas.openxmlformats.org/officeDocument/2006/relationships/hyperlink" Target="https://www.thesun.co.uk/fabulous/5643748/family-bringing-up-kids-gender-neutral-five-year-old-son-to-wear-bows-in-his-hair-pink-tutus/" TargetMode="External"/><Relationship Id="rId7" Type="http://schemas.openxmlformats.org/officeDocument/2006/relationships/hyperlink" Target="http://www.indepedent.co.uk/news/uk/home-news/gender-difference-children-educations-teachers-parents-family-survey-a8164321.html" TargetMode="External"/><Relationship Id="rId8" Type="http://schemas.openxmlformats.org/officeDocument/2006/relationships/hyperlink" Target="https://www.nytimes.com/2000/10/14/arts/marshall-mcluhan-back-dustbin-history-with-internet-his-ideas-again-seem-ahead.html" TargetMode="External"/><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7916"/>
          </a:lnSpc>
          <a:spcBef>
            <a:spcPts val="800"/>
          </a:spcBef>
          <a:spcAft>
            <a:spcPts val="0"/>
          </a:spcAft>
          <a:buClrTx/>
          <a:buSzTx/>
          <a:buFontTx/>
          <a:buNone/>
          <a:tabLst/>
          <a:defRPr b="0" baseline="0" cap="none" i="0" spc="0" strike="noStrike" sz="1100" u="none" kumimoji="0" normalizeH="0">
            <a:ln>
              <a:noFill/>
            </a:ln>
            <a:solidFill>
              <a:srgbClr val="000000"/>
            </a:solidFill>
            <a:effectLst/>
            <a:uFill>
              <a:solidFill>
                <a:srgbClr val="000000"/>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