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03E8B" w14:textId="4BE081D3" w:rsidR="00FE356E" w:rsidRPr="00334845" w:rsidRDefault="000B2B9F" w:rsidP="00112E3E">
      <w:pPr>
        <w:spacing w:before="1160" w:line="360" w:lineRule="auto"/>
        <w:jc w:val="center"/>
        <w:rPr>
          <w:rFonts w:cs="Arial"/>
        </w:rPr>
      </w:pPr>
      <w:r>
        <w:rPr>
          <w:rFonts w:cs="Arial"/>
          <w:b/>
          <w:noProof/>
          <w:color w:val="1F4E79"/>
          <w:sz w:val="48"/>
          <w:szCs w:val="24"/>
        </w:rPr>
        <w:drawing>
          <wp:anchor distT="0" distB="0" distL="114300" distR="114300" simplePos="0" relativeHeight="251658240" behindDoc="0" locked="0" layoutInCell="1" allowOverlap="1" wp14:anchorId="149456DA" wp14:editId="7EE15B68">
            <wp:simplePos x="0" y="0"/>
            <wp:positionH relativeFrom="margin">
              <wp:align>center</wp:align>
            </wp:positionH>
            <wp:positionV relativeFrom="paragraph">
              <wp:posOffset>-156845</wp:posOffset>
            </wp:positionV>
            <wp:extent cx="1810385" cy="72517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r w:rsidR="00823F54">
        <w:rPr>
          <w:rFonts w:cs="Arial"/>
          <w:b/>
          <w:color w:val="1F4E79"/>
          <w:sz w:val="44"/>
        </w:rPr>
        <w:t>LCBB5013 Entrepreneurship</w:t>
      </w:r>
    </w:p>
    <w:p w14:paraId="58BC10AB" w14:textId="77777777" w:rsidR="00FE356E" w:rsidRPr="00334845" w:rsidRDefault="00823F54" w:rsidP="00112E3E">
      <w:pPr>
        <w:spacing w:line="360" w:lineRule="auto"/>
        <w:jc w:val="center"/>
        <w:rPr>
          <w:rFonts w:cs="Arial"/>
        </w:rPr>
      </w:pPr>
      <w:r>
        <w:rPr>
          <w:rFonts w:cs="Arial"/>
          <w:b/>
          <w:sz w:val="34"/>
        </w:rPr>
        <w:t>Task 1: Updated Critical Business Plan Development</w:t>
      </w:r>
    </w:p>
    <w:p w14:paraId="41D85679" w14:textId="7F6AF414" w:rsidR="00FE356E" w:rsidRDefault="00823F54" w:rsidP="00112E3E">
      <w:pPr>
        <w:spacing w:line="360" w:lineRule="auto"/>
        <w:jc w:val="center"/>
        <w:rPr>
          <w:rFonts w:cs="Arial"/>
          <w:b/>
          <w:sz w:val="30"/>
        </w:rPr>
      </w:pPr>
      <w:r>
        <w:rPr>
          <w:rFonts w:cs="Arial"/>
          <w:b/>
          <w:sz w:val="30"/>
        </w:rPr>
        <w:t xml:space="preserve">Company </w:t>
      </w:r>
      <w:r w:rsidR="004C704D">
        <w:rPr>
          <w:rFonts w:cs="Arial"/>
          <w:b/>
          <w:sz w:val="30"/>
        </w:rPr>
        <w:t>Analyzed</w:t>
      </w:r>
      <w:r>
        <w:rPr>
          <w:rFonts w:cs="Arial"/>
          <w:b/>
          <w:sz w:val="30"/>
        </w:rPr>
        <w:t xml:space="preserve">: Greggs </w:t>
      </w:r>
      <w:r w:rsidR="004C704D">
        <w:rPr>
          <w:rFonts w:cs="Arial"/>
          <w:b/>
          <w:sz w:val="30"/>
        </w:rPr>
        <w:t>P</w:t>
      </w:r>
      <w:r>
        <w:rPr>
          <w:rFonts w:cs="Arial"/>
          <w:b/>
          <w:sz w:val="30"/>
        </w:rPr>
        <w:t>lc</w:t>
      </w:r>
    </w:p>
    <w:p w14:paraId="46E01310" w14:textId="2B0221F6" w:rsidR="00EE37C5" w:rsidRDefault="00EE37C5" w:rsidP="00112E3E">
      <w:pPr>
        <w:spacing w:line="360" w:lineRule="auto"/>
        <w:jc w:val="center"/>
        <w:rPr>
          <w:rFonts w:cs="Arial"/>
          <w:sz w:val="22"/>
          <w:szCs w:val="24"/>
        </w:rPr>
      </w:pPr>
      <w:r w:rsidRPr="00B548AE">
        <w:rPr>
          <w:rFonts w:cs="Arial"/>
          <w:b/>
          <w:sz w:val="22"/>
          <w:szCs w:val="24"/>
        </w:rPr>
        <w:t>Module Name and Code</w:t>
      </w:r>
      <w:r>
        <w:rPr>
          <w:rFonts w:cs="Arial"/>
          <w:b/>
          <w:sz w:val="22"/>
          <w:szCs w:val="24"/>
        </w:rPr>
        <w:t xml:space="preserve">: </w:t>
      </w:r>
      <w:r w:rsidRPr="00B548AE">
        <w:rPr>
          <w:rFonts w:cs="Arial"/>
          <w:sz w:val="22"/>
          <w:szCs w:val="24"/>
        </w:rPr>
        <w:t>Entrepreneurship - LCBB5013</w:t>
      </w:r>
    </w:p>
    <w:p w14:paraId="0BDDB14A" w14:textId="5C7889FA" w:rsidR="00EE37C5" w:rsidRDefault="00EE37C5" w:rsidP="00112E3E">
      <w:pPr>
        <w:spacing w:line="360" w:lineRule="auto"/>
        <w:jc w:val="center"/>
        <w:rPr>
          <w:rFonts w:cs="Arial"/>
          <w:sz w:val="22"/>
          <w:szCs w:val="24"/>
        </w:rPr>
      </w:pPr>
      <w:r w:rsidRPr="00B548AE">
        <w:rPr>
          <w:rFonts w:cs="Arial"/>
          <w:b/>
          <w:sz w:val="22"/>
          <w:szCs w:val="24"/>
        </w:rPr>
        <w:t>Assignment Title</w:t>
      </w:r>
      <w:r>
        <w:rPr>
          <w:rFonts w:cs="Arial"/>
          <w:b/>
          <w:sz w:val="22"/>
          <w:szCs w:val="24"/>
        </w:rPr>
        <w:t xml:space="preserve">: </w:t>
      </w:r>
      <w:r w:rsidRPr="00B548AE">
        <w:rPr>
          <w:rFonts w:cs="Arial"/>
          <w:sz w:val="22"/>
          <w:szCs w:val="24"/>
        </w:rPr>
        <w:t>Portfolio - Task 1: Business Plan Development</w:t>
      </w:r>
    </w:p>
    <w:p w14:paraId="17523163" w14:textId="5339E6A9" w:rsidR="00EE37C5" w:rsidRDefault="00EE37C5" w:rsidP="00112E3E">
      <w:pPr>
        <w:spacing w:line="360" w:lineRule="auto"/>
        <w:jc w:val="center"/>
        <w:rPr>
          <w:rFonts w:cs="Arial"/>
          <w:sz w:val="22"/>
          <w:szCs w:val="24"/>
        </w:rPr>
      </w:pPr>
      <w:r w:rsidRPr="00B548AE">
        <w:rPr>
          <w:rFonts w:cs="Arial"/>
          <w:b/>
          <w:sz w:val="22"/>
          <w:szCs w:val="24"/>
        </w:rPr>
        <w:t>Student Name</w:t>
      </w:r>
      <w:r>
        <w:rPr>
          <w:rFonts w:cs="Arial"/>
          <w:b/>
          <w:sz w:val="22"/>
          <w:szCs w:val="24"/>
        </w:rPr>
        <w:t xml:space="preserve">: </w:t>
      </w:r>
      <w:r w:rsidRPr="00B548AE">
        <w:rPr>
          <w:rFonts w:cs="Arial"/>
          <w:sz w:val="22"/>
          <w:szCs w:val="24"/>
        </w:rPr>
        <w:t>Juliana</w:t>
      </w:r>
      <w:r w:rsidR="004C704D">
        <w:rPr>
          <w:rFonts w:cs="Arial"/>
          <w:sz w:val="22"/>
          <w:szCs w:val="24"/>
        </w:rPr>
        <w:t xml:space="preserve"> Kotlarova</w:t>
      </w:r>
    </w:p>
    <w:p w14:paraId="2407131B" w14:textId="267CAA3B" w:rsidR="004C704D" w:rsidRDefault="004C704D" w:rsidP="00112E3E">
      <w:pPr>
        <w:spacing w:line="360" w:lineRule="auto"/>
        <w:jc w:val="center"/>
        <w:rPr>
          <w:rFonts w:cs="Arial"/>
          <w:sz w:val="22"/>
          <w:szCs w:val="24"/>
        </w:rPr>
      </w:pPr>
      <w:r w:rsidRPr="004C704D">
        <w:rPr>
          <w:rFonts w:cs="Arial"/>
          <w:b/>
          <w:bCs/>
          <w:sz w:val="22"/>
          <w:szCs w:val="24"/>
        </w:rPr>
        <w:t>Student number</w:t>
      </w:r>
      <w:r>
        <w:rPr>
          <w:rFonts w:cs="Arial"/>
          <w:sz w:val="22"/>
          <w:szCs w:val="24"/>
        </w:rPr>
        <w:t>: 2326556</w:t>
      </w:r>
    </w:p>
    <w:p w14:paraId="572D18B4" w14:textId="6249295A" w:rsidR="004C704D" w:rsidRPr="00334845" w:rsidRDefault="004C704D" w:rsidP="00112E3E">
      <w:pPr>
        <w:spacing w:line="360" w:lineRule="auto"/>
        <w:jc w:val="center"/>
        <w:rPr>
          <w:rFonts w:cs="Arial"/>
        </w:rPr>
      </w:pPr>
      <w:r w:rsidRPr="004C704D">
        <w:rPr>
          <w:rFonts w:cs="Arial"/>
          <w:b/>
          <w:bCs/>
          <w:sz w:val="22"/>
          <w:szCs w:val="24"/>
        </w:rPr>
        <w:t>Lecturer:</w:t>
      </w:r>
      <w:r>
        <w:rPr>
          <w:rFonts w:cs="Arial"/>
          <w:sz w:val="22"/>
          <w:szCs w:val="24"/>
        </w:rPr>
        <w:t xml:space="preserve"> Aso Abdullah</w:t>
      </w:r>
    </w:p>
    <w:p w14:paraId="3F89DC3F" w14:textId="7EDCDC93" w:rsidR="00FE356E" w:rsidRPr="00B548AE" w:rsidRDefault="00FE356E" w:rsidP="00B548AE">
      <w:pPr>
        <w:spacing w:after="120" w:line="480" w:lineRule="auto"/>
        <w:jc w:val="center"/>
        <w:rPr>
          <w:rFonts w:cs="Arial"/>
          <w:sz w:val="28"/>
          <w:szCs w:val="24"/>
        </w:rPr>
      </w:pPr>
    </w:p>
    <w:p w14:paraId="26D32BF0" w14:textId="7F648E16" w:rsidR="00FE356E" w:rsidRDefault="00823F54" w:rsidP="00112E3E">
      <w:pPr>
        <w:spacing w:line="360" w:lineRule="auto"/>
        <w:jc w:val="center"/>
        <w:rPr>
          <w:rFonts w:cs="Arial"/>
        </w:rPr>
      </w:pPr>
      <w:r>
        <w:rPr>
          <w:rFonts w:cs="Arial"/>
        </w:rPr>
        <w:br w:type="page"/>
      </w:r>
    </w:p>
    <w:p w14:paraId="4884D782" w14:textId="77777777" w:rsidR="0004187A" w:rsidRPr="005D090E" w:rsidRDefault="0004187A" w:rsidP="0004187A">
      <w:pPr>
        <w:pStyle w:val="Heading1"/>
        <w:spacing w:before="200" w:after="80" w:line="360" w:lineRule="auto"/>
        <w:jc w:val="both"/>
        <w:rPr>
          <w:rFonts w:ascii="Arial" w:hAnsi="Arial" w:cs="Arial"/>
          <w:color w:val="auto"/>
        </w:rPr>
      </w:pPr>
      <w:bookmarkStart w:id="0" w:name="_Toc233326205"/>
      <w:r w:rsidRPr="005D090E">
        <w:rPr>
          <w:rFonts w:ascii="Arial" w:hAnsi="Arial" w:cs="Arial"/>
          <w:color w:val="auto"/>
        </w:rPr>
        <w:lastRenderedPageBreak/>
        <w:t>Executive Summary</w:t>
      </w:r>
      <w:bookmarkEnd w:id="0"/>
    </w:p>
    <w:p w14:paraId="4FABD30F" w14:textId="64E683B6" w:rsidR="0004187A" w:rsidRDefault="00EE37C5" w:rsidP="00334845">
      <w:pPr>
        <w:spacing w:line="360" w:lineRule="auto"/>
        <w:jc w:val="both"/>
        <w:rPr>
          <w:rFonts w:cs="Arial"/>
        </w:rPr>
      </w:pPr>
      <w:r w:rsidRPr="00EE37C5">
        <w:rPr>
          <w:rFonts w:cs="Arial"/>
        </w:rPr>
        <w:t xml:space="preserve">This business plan reviews </w:t>
      </w:r>
      <w:proofErr w:type="gramStart"/>
      <w:r w:rsidRPr="00EE37C5">
        <w:rPr>
          <w:rFonts w:cs="Arial"/>
        </w:rPr>
        <w:t>Greggs</w:t>
      </w:r>
      <w:proofErr w:type="gramEnd"/>
      <w:r w:rsidRPr="00EE37C5">
        <w:rPr>
          <w:rFonts w:cs="Arial"/>
        </w:rPr>
        <w:t xml:space="preserve"> plc, the UK's top value food-to-go chain which expanded from a regional bakery to a national brand with 2,739 stores by end-2025. Revenue was a new GBP 2,151.2 million, while underlying profit before tax fell 9.4% to GBP 171.9 million, showing margin pressures due to cost inflation, investment in the supply chain and a weaker like-for-like revenue growth rate. The overall plan suggests selective estate expansion based on the ROI, reduction of the menu to eliminate unnecessary waste, control of the digital investments to boost the frequency of their customers, and a logistics capacity controlled through the milestones. While Greggs has maintained a high degree of brand trust and cash generation, the challenge will be whether growth adds to profit quality, rather than headline revenue (</w:t>
      </w:r>
      <w:proofErr w:type="gramStart"/>
      <w:r w:rsidRPr="00EE37C5">
        <w:rPr>
          <w:rFonts w:cs="Arial"/>
        </w:rPr>
        <w:t>Greggs</w:t>
      </w:r>
      <w:proofErr w:type="gramEnd"/>
      <w:r w:rsidRPr="00EE37C5">
        <w:rPr>
          <w:rFonts w:cs="Arial"/>
        </w:rPr>
        <w:t xml:space="preserve"> plc, 2026a; </w:t>
      </w:r>
      <w:proofErr w:type="gramStart"/>
      <w:r w:rsidRPr="00EE37C5">
        <w:rPr>
          <w:rFonts w:cs="Arial"/>
        </w:rPr>
        <w:t>Greggs</w:t>
      </w:r>
      <w:proofErr w:type="gramEnd"/>
      <w:r w:rsidRPr="00EE37C5">
        <w:rPr>
          <w:rFonts w:cs="Arial"/>
        </w:rPr>
        <w:t xml:space="preserve"> plc, 2026b).</w:t>
      </w:r>
    </w:p>
    <w:p w14:paraId="26BDEB94" w14:textId="5F034808" w:rsidR="00AC1964" w:rsidRDefault="00AC1964" w:rsidP="00334845">
      <w:pPr>
        <w:spacing w:line="360" w:lineRule="auto"/>
        <w:jc w:val="both"/>
        <w:rPr>
          <w:rFonts w:cs="Arial"/>
        </w:rPr>
      </w:pPr>
    </w:p>
    <w:p w14:paraId="1BEF4EBF" w14:textId="46ACC82F" w:rsidR="00AC1964" w:rsidRDefault="00AC1964" w:rsidP="00334845">
      <w:pPr>
        <w:spacing w:line="360" w:lineRule="auto"/>
        <w:jc w:val="both"/>
        <w:rPr>
          <w:rFonts w:cs="Arial"/>
        </w:rPr>
      </w:pPr>
    </w:p>
    <w:p w14:paraId="6D8881E5" w14:textId="28EC31B1" w:rsidR="00AC1964" w:rsidRDefault="00AC1964" w:rsidP="00334845">
      <w:pPr>
        <w:spacing w:line="360" w:lineRule="auto"/>
        <w:jc w:val="both"/>
        <w:rPr>
          <w:rFonts w:cs="Arial"/>
        </w:rPr>
      </w:pPr>
    </w:p>
    <w:p w14:paraId="083B24C0" w14:textId="5FFD9E3C" w:rsidR="00AC1964" w:rsidRDefault="00AC1964" w:rsidP="00334845">
      <w:pPr>
        <w:spacing w:line="360" w:lineRule="auto"/>
        <w:jc w:val="both"/>
        <w:rPr>
          <w:rFonts w:cs="Arial"/>
        </w:rPr>
      </w:pPr>
    </w:p>
    <w:p w14:paraId="1FAC3E63" w14:textId="2DE22698" w:rsidR="00AC1964" w:rsidRDefault="00AC1964" w:rsidP="00334845">
      <w:pPr>
        <w:spacing w:line="360" w:lineRule="auto"/>
        <w:jc w:val="both"/>
        <w:rPr>
          <w:rFonts w:cs="Arial"/>
        </w:rPr>
      </w:pPr>
    </w:p>
    <w:p w14:paraId="57EF6BC3" w14:textId="1705E9D0" w:rsidR="00AC1964" w:rsidRDefault="00AC1964" w:rsidP="00334845">
      <w:pPr>
        <w:spacing w:line="360" w:lineRule="auto"/>
        <w:jc w:val="both"/>
        <w:rPr>
          <w:rFonts w:cs="Arial"/>
        </w:rPr>
      </w:pPr>
    </w:p>
    <w:p w14:paraId="58E79F76" w14:textId="48DD55F9" w:rsidR="00AC1964" w:rsidRDefault="00AC1964" w:rsidP="00334845">
      <w:pPr>
        <w:spacing w:line="360" w:lineRule="auto"/>
        <w:jc w:val="both"/>
        <w:rPr>
          <w:rFonts w:cs="Arial"/>
        </w:rPr>
      </w:pPr>
    </w:p>
    <w:p w14:paraId="6E37FEB5" w14:textId="75334A01" w:rsidR="00AC1964" w:rsidRDefault="00AC1964" w:rsidP="00334845">
      <w:pPr>
        <w:spacing w:line="360" w:lineRule="auto"/>
        <w:jc w:val="both"/>
        <w:rPr>
          <w:rFonts w:cs="Arial"/>
        </w:rPr>
      </w:pPr>
    </w:p>
    <w:p w14:paraId="4BAB0A10" w14:textId="7BADF1D5" w:rsidR="00AC1964" w:rsidRDefault="00AC1964" w:rsidP="00334845">
      <w:pPr>
        <w:spacing w:line="360" w:lineRule="auto"/>
        <w:jc w:val="both"/>
        <w:rPr>
          <w:rFonts w:cs="Arial"/>
        </w:rPr>
      </w:pPr>
    </w:p>
    <w:p w14:paraId="5B237967" w14:textId="7AF55C86" w:rsidR="00AC1964" w:rsidRDefault="00AC1964" w:rsidP="00334845">
      <w:pPr>
        <w:spacing w:line="360" w:lineRule="auto"/>
        <w:jc w:val="both"/>
        <w:rPr>
          <w:rFonts w:cs="Arial"/>
        </w:rPr>
      </w:pPr>
    </w:p>
    <w:p w14:paraId="31EB8767" w14:textId="77777777" w:rsidR="00AC1964" w:rsidRPr="00334845" w:rsidRDefault="00AC1964" w:rsidP="00334845">
      <w:pPr>
        <w:spacing w:line="360" w:lineRule="auto"/>
        <w:jc w:val="both"/>
        <w:rPr>
          <w:rFonts w:cs="Arial"/>
        </w:rPr>
      </w:pPr>
    </w:p>
    <w:p w14:paraId="5BC9CEAA" w14:textId="77777777" w:rsidR="008361B5" w:rsidRPr="00334845" w:rsidRDefault="00CE5AAC" w:rsidP="00334845">
      <w:pPr>
        <w:spacing w:line="360" w:lineRule="auto"/>
        <w:jc w:val="both"/>
        <w:rPr>
          <w:rFonts w:cs="Arial"/>
        </w:rPr>
      </w:pPr>
      <w:r>
        <w:rPr>
          <w:rFonts w:cs="Arial"/>
        </w:rPr>
        <w:t xml:space="preserve"> </w:t>
      </w:r>
    </w:p>
    <w:sdt>
      <w:sdtPr>
        <w:rPr>
          <w:rFonts w:ascii="Arial" w:eastAsiaTheme="minorEastAsia" w:hAnsi="Arial" w:cstheme="minorBidi"/>
          <w:b w:val="0"/>
          <w:bCs w:val="0"/>
          <w:color w:val="auto"/>
          <w:sz w:val="24"/>
          <w:szCs w:val="22"/>
        </w:rPr>
        <w:id w:val="592289047"/>
        <w:docPartObj>
          <w:docPartGallery w:val="Table of Contents"/>
          <w:docPartUnique/>
        </w:docPartObj>
      </w:sdtPr>
      <w:sdtEndPr>
        <w:rPr>
          <w:noProof/>
        </w:rPr>
      </w:sdtEndPr>
      <w:sdtContent>
        <w:p w14:paraId="680A4099" w14:textId="66BA3C45" w:rsidR="008361B5" w:rsidRDefault="008361B5">
          <w:pPr>
            <w:pStyle w:val="TOCHeading"/>
          </w:pPr>
          <w:r>
            <w:t>Table of Contents</w:t>
          </w:r>
        </w:p>
        <w:p w14:paraId="67C6EDF4" w14:textId="5257F0FF" w:rsidR="00112E3E" w:rsidRDefault="008361B5">
          <w:pPr>
            <w:pStyle w:val="TOC1"/>
            <w:tabs>
              <w:tab w:val="right" w:leader="dot" w:pos="9508"/>
            </w:tabs>
            <w:rPr>
              <w:rFonts w:asciiTheme="minorHAnsi" w:hAnsiTheme="minorHAnsi"/>
              <w:noProof/>
              <w:sz w:val="22"/>
            </w:rPr>
          </w:pPr>
          <w:r>
            <w:fldChar w:fldCharType="begin"/>
          </w:r>
          <w:r>
            <w:instrText xml:space="preserve"> TOC \o "1-3" \h \z \u </w:instrText>
          </w:r>
          <w:r>
            <w:fldChar w:fldCharType="separate"/>
          </w:r>
          <w:hyperlink w:anchor="_Toc233326205" w:history="1">
            <w:r w:rsidR="00112E3E" w:rsidRPr="00B23ADA">
              <w:rPr>
                <w:rStyle w:val="Hyperlink"/>
                <w:rFonts w:cs="Arial"/>
                <w:noProof/>
              </w:rPr>
              <w:t>Executive Summary</w:t>
            </w:r>
            <w:r w:rsidR="00112E3E">
              <w:rPr>
                <w:noProof/>
                <w:webHidden/>
              </w:rPr>
              <w:tab/>
            </w:r>
            <w:r w:rsidR="00112E3E">
              <w:rPr>
                <w:noProof/>
                <w:webHidden/>
              </w:rPr>
              <w:fldChar w:fldCharType="begin"/>
            </w:r>
            <w:r w:rsidR="00112E3E">
              <w:rPr>
                <w:noProof/>
                <w:webHidden/>
              </w:rPr>
              <w:instrText xml:space="preserve"> PAGEREF _Toc233326205 \h </w:instrText>
            </w:r>
            <w:r w:rsidR="00112E3E">
              <w:rPr>
                <w:noProof/>
                <w:webHidden/>
              </w:rPr>
            </w:r>
            <w:r w:rsidR="00112E3E">
              <w:rPr>
                <w:noProof/>
                <w:webHidden/>
              </w:rPr>
              <w:fldChar w:fldCharType="separate"/>
            </w:r>
            <w:r w:rsidR="00112E3E">
              <w:rPr>
                <w:noProof/>
                <w:webHidden/>
              </w:rPr>
              <w:t>2</w:t>
            </w:r>
            <w:r w:rsidR="00112E3E">
              <w:rPr>
                <w:noProof/>
                <w:webHidden/>
              </w:rPr>
              <w:fldChar w:fldCharType="end"/>
            </w:r>
          </w:hyperlink>
        </w:p>
        <w:p w14:paraId="55A39D67" w14:textId="40D82178" w:rsidR="00112E3E" w:rsidRDefault="00112E3E">
          <w:pPr>
            <w:pStyle w:val="TOC1"/>
            <w:tabs>
              <w:tab w:val="right" w:leader="dot" w:pos="9508"/>
            </w:tabs>
            <w:rPr>
              <w:rFonts w:asciiTheme="minorHAnsi" w:hAnsiTheme="minorHAnsi"/>
              <w:noProof/>
              <w:sz w:val="22"/>
            </w:rPr>
          </w:pPr>
          <w:hyperlink w:anchor="_Toc233326206" w:history="1">
            <w:r w:rsidRPr="00B23ADA">
              <w:rPr>
                <w:rStyle w:val="Hyperlink"/>
                <w:rFonts w:cs="Arial"/>
                <w:noProof/>
              </w:rPr>
              <w:t>1. Introduction and strategic argument</w:t>
            </w:r>
            <w:r>
              <w:rPr>
                <w:noProof/>
                <w:webHidden/>
              </w:rPr>
              <w:tab/>
            </w:r>
            <w:r>
              <w:rPr>
                <w:noProof/>
                <w:webHidden/>
              </w:rPr>
              <w:fldChar w:fldCharType="begin"/>
            </w:r>
            <w:r>
              <w:rPr>
                <w:noProof/>
                <w:webHidden/>
              </w:rPr>
              <w:instrText xml:space="preserve"> PAGEREF _Toc233326206 \h </w:instrText>
            </w:r>
            <w:r>
              <w:rPr>
                <w:noProof/>
                <w:webHidden/>
              </w:rPr>
            </w:r>
            <w:r>
              <w:rPr>
                <w:noProof/>
                <w:webHidden/>
              </w:rPr>
              <w:fldChar w:fldCharType="separate"/>
            </w:r>
            <w:r>
              <w:rPr>
                <w:noProof/>
                <w:webHidden/>
              </w:rPr>
              <w:t>4</w:t>
            </w:r>
            <w:r>
              <w:rPr>
                <w:noProof/>
                <w:webHidden/>
              </w:rPr>
              <w:fldChar w:fldCharType="end"/>
            </w:r>
          </w:hyperlink>
        </w:p>
        <w:p w14:paraId="00DA6A9D" w14:textId="6908CBCD" w:rsidR="00112E3E" w:rsidRDefault="00112E3E">
          <w:pPr>
            <w:pStyle w:val="TOC1"/>
            <w:tabs>
              <w:tab w:val="right" w:leader="dot" w:pos="9508"/>
            </w:tabs>
            <w:rPr>
              <w:rFonts w:asciiTheme="minorHAnsi" w:hAnsiTheme="minorHAnsi"/>
              <w:noProof/>
              <w:sz w:val="22"/>
            </w:rPr>
          </w:pPr>
          <w:hyperlink w:anchor="_Toc233326207" w:history="1">
            <w:r w:rsidRPr="00B23ADA">
              <w:rPr>
                <w:rStyle w:val="Hyperlink"/>
                <w:rFonts w:cs="Arial"/>
                <w:noProof/>
              </w:rPr>
              <w:t>2. Element 1: Company Overview, Products/Services, Objectives and USP</w:t>
            </w:r>
            <w:r>
              <w:rPr>
                <w:noProof/>
                <w:webHidden/>
              </w:rPr>
              <w:tab/>
            </w:r>
            <w:r>
              <w:rPr>
                <w:noProof/>
                <w:webHidden/>
              </w:rPr>
              <w:fldChar w:fldCharType="begin"/>
            </w:r>
            <w:r>
              <w:rPr>
                <w:noProof/>
                <w:webHidden/>
              </w:rPr>
              <w:instrText xml:space="preserve"> PAGEREF _Toc233326207 \h </w:instrText>
            </w:r>
            <w:r>
              <w:rPr>
                <w:noProof/>
                <w:webHidden/>
              </w:rPr>
            </w:r>
            <w:r>
              <w:rPr>
                <w:noProof/>
                <w:webHidden/>
              </w:rPr>
              <w:fldChar w:fldCharType="separate"/>
            </w:r>
            <w:r>
              <w:rPr>
                <w:noProof/>
                <w:webHidden/>
              </w:rPr>
              <w:t>5</w:t>
            </w:r>
            <w:r>
              <w:rPr>
                <w:noProof/>
                <w:webHidden/>
              </w:rPr>
              <w:fldChar w:fldCharType="end"/>
            </w:r>
          </w:hyperlink>
        </w:p>
        <w:p w14:paraId="5638B59E" w14:textId="16B5D648" w:rsidR="00112E3E" w:rsidRDefault="00112E3E">
          <w:pPr>
            <w:pStyle w:val="TOC2"/>
            <w:tabs>
              <w:tab w:val="right" w:leader="dot" w:pos="9508"/>
            </w:tabs>
            <w:rPr>
              <w:rFonts w:asciiTheme="minorHAnsi" w:hAnsiTheme="minorHAnsi"/>
              <w:noProof/>
              <w:sz w:val="22"/>
            </w:rPr>
          </w:pPr>
          <w:hyperlink w:anchor="_Toc233326208" w:history="1">
            <w:r w:rsidRPr="00B23ADA">
              <w:rPr>
                <w:rStyle w:val="Hyperlink"/>
                <w:rFonts w:cs="Arial"/>
                <w:noProof/>
              </w:rPr>
              <w:t>2.1 Company overview and business model</w:t>
            </w:r>
            <w:r>
              <w:rPr>
                <w:noProof/>
                <w:webHidden/>
              </w:rPr>
              <w:tab/>
            </w:r>
            <w:r>
              <w:rPr>
                <w:noProof/>
                <w:webHidden/>
              </w:rPr>
              <w:fldChar w:fldCharType="begin"/>
            </w:r>
            <w:r>
              <w:rPr>
                <w:noProof/>
                <w:webHidden/>
              </w:rPr>
              <w:instrText xml:space="preserve"> PAGEREF _Toc233326208 \h </w:instrText>
            </w:r>
            <w:r>
              <w:rPr>
                <w:noProof/>
                <w:webHidden/>
              </w:rPr>
            </w:r>
            <w:r>
              <w:rPr>
                <w:noProof/>
                <w:webHidden/>
              </w:rPr>
              <w:fldChar w:fldCharType="separate"/>
            </w:r>
            <w:r>
              <w:rPr>
                <w:noProof/>
                <w:webHidden/>
              </w:rPr>
              <w:t>5</w:t>
            </w:r>
            <w:r>
              <w:rPr>
                <w:noProof/>
                <w:webHidden/>
              </w:rPr>
              <w:fldChar w:fldCharType="end"/>
            </w:r>
          </w:hyperlink>
        </w:p>
        <w:p w14:paraId="589C4B29" w14:textId="3765A998" w:rsidR="00112E3E" w:rsidRDefault="00112E3E">
          <w:pPr>
            <w:pStyle w:val="TOC2"/>
            <w:tabs>
              <w:tab w:val="right" w:leader="dot" w:pos="9508"/>
            </w:tabs>
            <w:rPr>
              <w:rFonts w:asciiTheme="minorHAnsi" w:hAnsiTheme="minorHAnsi"/>
              <w:noProof/>
              <w:sz w:val="22"/>
            </w:rPr>
          </w:pPr>
          <w:hyperlink w:anchor="_Toc233326209" w:history="1">
            <w:r w:rsidRPr="00B23ADA">
              <w:rPr>
                <w:rStyle w:val="Hyperlink"/>
                <w:rFonts w:cs="Arial"/>
                <w:noProof/>
              </w:rPr>
              <w:t>2.2 Main products and services</w:t>
            </w:r>
            <w:r>
              <w:rPr>
                <w:noProof/>
                <w:webHidden/>
              </w:rPr>
              <w:tab/>
            </w:r>
            <w:r>
              <w:rPr>
                <w:noProof/>
                <w:webHidden/>
              </w:rPr>
              <w:fldChar w:fldCharType="begin"/>
            </w:r>
            <w:r>
              <w:rPr>
                <w:noProof/>
                <w:webHidden/>
              </w:rPr>
              <w:instrText xml:space="preserve"> PAGEREF _Toc233326209 \h </w:instrText>
            </w:r>
            <w:r>
              <w:rPr>
                <w:noProof/>
                <w:webHidden/>
              </w:rPr>
            </w:r>
            <w:r>
              <w:rPr>
                <w:noProof/>
                <w:webHidden/>
              </w:rPr>
              <w:fldChar w:fldCharType="separate"/>
            </w:r>
            <w:r>
              <w:rPr>
                <w:noProof/>
                <w:webHidden/>
              </w:rPr>
              <w:t>5</w:t>
            </w:r>
            <w:r>
              <w:rPr>
                <w:noProof/>
                <w:webHidden/>
              </w:rPr>
              <w:fldChar w:fldCharType="end"/>
            </w:r>
          </w:hyperlink>
        </w:p>
        <w:p w14:paraId="7EFC4440" w14:textId="1F60BE5F" w:rsidR="00112E3E" w:rsidRDefault="00112E3E">
          <w:pPr>
            <w:pStyle w:val="TOC2"/>
            <w:tabs>
              <w:tab w:val="right" w:leader="dot" w:pos="9508"/>
            </w:tabs>
            <w:rPr>
              <w:rFonts w:asciiTheme="minorHAnsi" w:hAnsiTheme="minorHAnsi"/>
              <w:noProof/>
              <w:sz w:val="22"/>
            </w:rPr>
          </w:pPr>
          <w:hyperlink w:anchor="_Toc233326210" w:history="1">
            <w:r w:rsidRPr="00B23ADA">
              <w:rPr>
                <w:rStyle w:val="Hyperlink"/>
                <w:rFonts w:cs="Arial"/>
                <w:noProof/>
              </w:rPr>
              <w:t>2.3 Objectives and USP</w:t>
            </w:r>
            <w:r>
              <w:rPr>
                <w:noProof/>
                <w:webHidden/>
              </w:rPr>
              <w:tab/>
            </w:r>
            <w:r>
              <w:rPr>
                <w:noProof/>
                <w:webHidden/>
              </w:rPr>
              <w:fldChar w:fldCharType="begin"/>
            </w:r>
            <w:r>
              <w:rPr>
                <w:noProof/>
                <w:webHidden/>
              </w:rPr>
              <w:instrText xml:space="preserve"> PAGEREF _Toc233326210 \h </w:instrText>
            </w:r>
            <w:r>
              <w:rPr>
                <w:noProof/>
                <w:webHidden/>
              </w:rPr>
            </w:r>
            <w:r>
              <w:rPr>
                <w:noProof/>
                <w:webHidden/>
              </w:rPr>
              <w:fldChar w:fldCharType="separate"/>
            </w:r>
            <w:r>
              <w:rPr>
                <w:noProof/>
                <w:webHidden/>
              </w:rPr>
              <w:t>6</w:t>
            </w:r>
            <w:r>
              <w:rPr>
                <w:noProof/>
                <w:webHidden/>
              </w:rPr>
              <w:fldChar w:fldCharType="end"/>
            </w:r>
          </w:hyperlink>
        </w:p>
        <w:p w14:paraId="2ED33BB8" w14:textId="7F580DE6" w:rsidR="00112E3E" w:rsidRDefault="00112E3E">
          <w:pPr>
            <w:pStyle w:val="TOC2"/>
            <w:tabs>
              <w:tab w:val="right" w:leader="dot" w:pos="9508"/>
            </w:tabs>
            <w:rPr>
              <w:rFonts w:asciiTheme="minorHAnsi" w:hAnsiTheme="minorHAnsi"/>
              <w:noProof/>
              <w:sz w:val="22"/>
            </w:rPr>
          </w:pPr>
          <w:hyperlink w:anchor="_Toc233326211" w:history="1">
            <w:r w:rsidRPr="00B23ADA">
              <w:rPr>
                <w:rStyle w:val="Hyperlink"/>
                <w:rFonts w:cs="Arial"/>
                <w:noProof/>
              </w:rPr>
              <w:t>Figure 1: customer value pathway</w:t>
            </w:r>
            <w:r>
              <w:rPr>
                <w:noProof/>
                <w:webHidden/>
              </w:rPr>
              <w:tab/>
            </w:r>
            <w:r>
              <w:rPr>
                <w:noProof/>
                <w:webHidden/>
              </w:rPr>
              <w:fldChar w:fldCharType="begin"/>
            </w:r>
            <w:r>
              <w:rPr>
                <w:noProof/>
                <w:webHidden/>
              </w:rPr>
              <w:instrText xml:space="preserve"> PAGEREF _Toc233326211 \h </w:instrText>
            </w:r>
            <w:r>
              <w:rPr>
                <w:noProof/>
                <w:webHidden/>
              </w:rPr>
            </w:r>
            <w:r>
              <w:rPr>
                <w:noProof/>
                <w:webHidden/>
              </w:rPr>
              <w:fldChar w:fldCharType="separate"/>
            </w:r>
            <w:r>
              <w:rPr>
                <w:noProof/>
                <w:webHidden/>
              </w:rPr>
              <w:t>6</w:t>
            </w:r>
            <w:r>
              <w:rPr>
                <w:noProof/>
                <w:webHidden/>
              </w:rPr>
              <w:fldChar w:fldCharType="end"/>
            </w:r>
          </w:hyperlink>
        </w:p>
        <w:p w14:paraId="78A6CE0B" w14:textId="2EC1F0E5" w:rsidR="00112E3E" w:rsidRDefault="00112E3E">
          <w:pPr>
            <w:pStyle w:val="TOC1"/>
            <w:tabs>
              <w:tab w:val="right" w:leader="dot" w:pos="9508"/>
            </w:tabs>
            <w:rPr>
              <w:rFonts w:asciiTheme="minorHAnsi" w:hAnsiTheme="minorHAnsi"/>
              <w:noProof/>
              <w:sz w:val="22"/>
            </w:rPr>
          </w:pPr>
          <w:hyperlink w:anchor="_Toc233326212" w:history="1">
            <w:r w:rsidRPr="00B23ADA">
              <w:rPr>
                <w:rStyle w:val="Hyperlink"/>
                <w:rFonts w:cs="Arial"/>
                <w:noProof/>
              </w:rPr>
              <w:t>3. Element 2: Business Environment and Competitor Analysis</w:t>
            </w:r>
            <w:r>
              <w:rPr>
                <w:noProof/>
                <w:webHidden/>
              </w:rPr>
              <w:tab/>
            </w:r>
            <w:r>
              <w:rPr>
                <w:noProof/>
                <w:webHidden/>
              </w:rPr>
              <w:fldChar w:fldCharType="begin"/>
            </w:r>
            <w:r>
              <w:rPr>
                <w:noProof/>
                <w:webHidden/>
              </w:rPr>
              <w:instrText xml:space="preserve"> PAGEREF _Toc233326212 \h </w:instrText>
            </w:r>
            <w:r>
              <w:rPr>
                <w:noProof/>
                <w:webHidden/>
              </w:rPr>
            </w:r>
            <w:r>
              <w:rPr>
                <w:noProof/>
                <w:webHidden/>
              </w:rPr>
              <w:fldChar w:fldCharType="separate"/>
            </w:r>
            <w:r>
              <w:rPr>
                <w:noProof/>
                <w:webHidden/>
              </w:rPr>
              <w:t>7</w:t>
            </w:r>
            <w:r>
              <w:rPr>
                <w:noProof/>
                <w:webHidden/>
              </w:rPr>
              <w:fldChar w:fldCharType="end"/>
            </w:r>
          </w:hyperlink>
        </w:p>
        <w:p w14:paraId="323B71C9" w14:textId="681BCCD0" w:rsidR="00112E3E" w:rsidRDefault="00112E3E">
          <w:pPr>
            <w:pStyle w:val="TOC1"/>
            <w:tabs>
              <w:tab w:val="right" w:leader="dot" w:pos="9508"/>
            </w:tabs>
            <w:rPr>
              <w:rFonts w:asciiTheme="minorHAnsi" w:hAnsiTheme="minorHAnsi"/>
              <w:noProof/>
              <w:sz w:val="22"/>
            </w:rPr>
          </w:pPr>
          <w:hyperlink w:anchor="_Toc233326213" w:history="1">
            <w:r w:rsidRPr="00B23ADA">
              <w:rPr>
                <w:rStyle w:val="Hyperlink"/>
                <w:rFonts w:cs="Arial"/>
                <w:noProof/>
              </w:rPr>
              <w:t>4. Element 3: 4Ps, Market Segmentation and Marketing Strategies</w:t>
            </w:r>
            <w:r>
              <w:rPr>
                <w:noProof/>
                <w:webHidden/>
              </w:rPr>
              <w:tab/>
            </w:r>
            <w:r>
              <w:rPr>
                <w:noProof/>
                <w:webHidden/>
              </w:rPr>
              <w:fldChar w:fldCharType="begin"/>
            </w:r>
            <w:r>
              <w:rPr>
                <w:noProof/>
                <w:webHidden/>
              </w:rPr>
              <w:instrText xml:space="preserve"> PAGEREF _Toc233326213 \h </w:instrText>
            </w:r>
            <w:r>
              <w:rPr>
                <w:noProof/>
                <w:webHidden/>
              </w:rPr>
            </w:r>
            <w:r>
              <w:rPr>
                <w:noProof/>
                <w:webHidden/>
              </w:rPr>
              <w:fldChar w:fldCharType="separate"/>
            </w:r>
            <w:r>
              <w:rPr>
                <w:noProof/>
                <w:webHidden/>
              </w:rPr>
              <w:t>9</w:t>
            </w:r>
            <w:r>
              <w:rPr>
                <w:noProof/>
                <w:webHidden/>
              </w:rPr>
              <w:fldChar w:fldCharType="end"/>
            </w:r>
          </w:hyperlink>
        </w:p>
        <w:p w14:paraId="2D88F42D" w14:textId="4ADDE637" w:rsidR="00112E3E" w:rsidRDefault="00112E3E">
          <w:pPr>
            <w:pStyle w:val="TOC2"/>
            <w:tabs>
              <w:tab w:val="right" w:leader="dot" w:pos="9508"/>
            </w:tabs>
            <w:rPr>
              <w:rFonts w:asciiTheme="minorHAnsi" w:hAnsiTheme="minorHAnsi"/>
              <w:noProof/>
              <w:sz w:val="22"/>
            </w:rPr>
          </w:pPr>
          <w:hyperlink w:anchor="_Toc233326214" w:history="1">
            <w:r w:rsidRPr="00B23ADA">
              <w:rPr>
                <w:rStyle w:val="Hyperlink"/>
                <w:rFonts w:cs="Arial"/>
                <w:noProof/>
              </w:rPr>
              <w:t>4.1 Market segmentation</w:t>
            </w:r>
            <w:r>
              <w:rPr>
                <w:noProof/>
                <w:webHidden/>
              </w:rPr>
              <w:tab/>
            </w:r>
            <w:r>
              <w:rPr>
                <w:noProof/>
                <w:webHidden/>
              </w:rPr>
              <w:fldChar w:fldCharType="begin"/>
            </w:r>
            <w:r>
              <w:rPr>
                <w:noProof/>
                <w:webHidden/>
              </w:rPr>
              <w:instrText xml:space="preserve"> PAGEREF _Toc233326214 \h </w:instrText>
            </w:r>
            <w:r>
              <w:rPr>
                <w:noProof/>
                <w:webHidden/>
              </w:rPr>
            </w:r>
            <w:r>
              <w:rPr>
                <w:noProof/>
                <w:webHidden/>
              </w:rPr>
              <w:fldChar w:fldCharType="separate"/>
            </w:r>
            <w:r>
              <w:rPr>
                <w:noProof/>
                <w:webHidden/>
              </w:rPr>
              <w:t>9</w:t>
            </w:r>
            <w:r>
              <w:rPr>
                <w:noProof/>
                <w:webHidden/>
              </w:rPr>
              <w:fldChar w:fldCharType="end"/>
            </w:r>
          </w:hyperlink>
        </w:p>
        <w:p w14:paraId="7A0C391D" w14:textId="3990BABC" w:rsidR="00112E3E" w:rsidRDefault="00112E3E">
          <w:pPr>
            <w:pStyle w:val="TOC2"/>
            <w:tabs>
              <w:tab w:val="right" w:leader="dot" w:pos="9508"/>
            </w:tabs>
            <w:rPr>
              <w:rFonts w:asciiTheme="minorHAnsi" w:hAnsiTheme="minorHAnsi"/>
              <w:noProof/>
              <w:sz w:val="22"/>
            </w:rPr>
          </w:pPr>
          <w:hyperlink w:anchor="_Toc233326215" w:history="1">
            <w:r w:rsidRPr="00B23ADA">
              <w:rPr>
                <w:rStyle w:val="Hyperlink"/>
                <w:rFonts w:cs="Arial"/>
                <w:noProof/>
              </w:rPr>
              <w:t>4.2 Marketing mix: 4Ps</w:t>
            </w:r>
            <w:r>
              <w:rPr>
                <w:noProof/>
                <w:webHidden/>
              </w:rPr>
              <w:tab/>
            </w:r>
            <w:r>
              <w:rPr>
                <w:noProof/>
                <w:webHidden/>
              </w:rPr>
              <w:fldChar w:fldCharType="begin"/>
            </w:r>
            <w:r>
              <w:rPr>
                <w:noProof/>
                <w:webHidden/>
              </w:rPr>
              <w:instrText xml:space="preserve"> PAGEREF _Toc233326215 \h </w:instrText>
            </w:r>
            <w:r>
              <w:rPr>
                <w:noProof/>
                <w:webHidden/>
              </w:rPr>
            </w:r>
            <w:r>
              <w:rPr>
                <w:noProof/>
                <w:webHidden/>
              </w:rPr>
              <w:fldChar w:fldCharType="separate"/>
            </w:r>
            <w:r>
              <w:rPr>
                <w:noProof/>
                <w:webHidden/>
              </w:rPr>
              <w:t>9</w:t>
            </w:r>
            <w:r>
              <w:rPr>
                <w:noProof/>
                <w:webHidden/>
              </w:rPr>
              <w:fldChar w:fldCharType="end"/>
            </w:r>
          </w:hyperlink>
        </w:p>
        <w:p w14:paraId="41F7F469" w14:textId="6E574AD7" w:rsidR="00112E3E" w:rsidRDefault="00112E3E">
          <w:pPr>
            <w:pStyle w:val="TOC2"/>
            <w:tabs>
              <w:tab w:val="right" w:leader="dot" w:pos="9508"/>
            </w:tabs>
            <w:rPr>
              <w:rFonts w:asciiTheme="minorHAnsi" w:hAnsiTheme="minorHAnsi"/>
              <w:noProof/>
              <w:sz w:val="22"/>
            </w:rPr>
          </w:pPr>
          <w:hyperlink w:anchor="_Toc233326216" w:history="1">
            <w:r w:rsidRPr="00B23ADA">
              <w:rPr>
                <w:rStyle w:val="Hyperlink"/>
                <w:rFonts w:cs="Arial"/>
                <w:noProof/>
              </w:rPr>
              <w:t>4.3 Online and digital marketing strategies</w:t>
            </w:r>
            <w:r>
              <w:rPr>
                <w:noProof/>
                <w:webHidden/>
              </w:rPr>
              <w:tab/>
            </w:r>
            <w:r>
              <w:rPr>
                <w:noProof/>
                <w:webHidden/>
              </w:rPr>
              <w:fldChar w:fldCharType="begin"/>
            </w:r>
            <w:r>
              <w:rPr>
                <w:noProof/>
                <w:webHidden/>
              </w:rPr>
              <w:instrText xml:space="preserve"> PAGEREF _Toc233326216 \h </w:instrText>
            </w:r>
            <w:r>
              <w:rPr>
                <w:noProof/>
                <w:webHidden/>
              </w:rPr>
            </w:r>
            <w:r>
              <w:rPr>
                <w:noProof/>
                <w:webHidden/>
              </w:rPr>
              <w:fldChar w:fldCharType="separate"/>
            </w:r>
            <w:r>
              <w:rPr>
                <w:noProof/>
                <w:webHidden/>
              </w:rPr>
              <w:t>10</w:t>
            </w:r>
            <w:r>
              <w:rPr>
                <w:noProof/>
                <w:webHidden/>
              </w:rPr>
              <w:fldChar w:fldCharType="end"/>
            </w:r>
          </w:hyperlink>
        </w:p>
        <w:p w14:paraId="6068491E" w14:textId="51D896BC" w:rsidR="00112E3E" w:rsidRDefault="00112E3E">
          <w:pPr>
            <w:pStyle w:val="TOC1"/>
            <w:tabs>
              <w:tab w:val="right" w:leader="dot" w:pos="9508"/>
            </w:tabs>
            <w:rPr>
              <w:rFonts w:asciiTheme="minorHAnsi" w:hAnsiTheme="minorHAnsi"/>
              <w:noProof/>
              <w:sz w:val="22"/>
            </w:rPr>
          </w:pPr>
          <w:hyperlink w:anchor="_Toc233326217" w:history="1">
            <w:r w:rsidRPr="00B23ADA">
              <w:rPr>
                <w:rStyle w:val="Hyperlink"/>
                <w:rFonts w:cs="Arial"/>
                <w:noProof/>
              </w:rPr>
              <w:t>5. Element 4: Financial Planning and Comprehensive Financial Analysis</w:t>
            </w:r>
            <w:r>
              <w:rPr>
                <w:noProof/>
                <w:webHidden/>
              </w:rPr>
              <w:tab/>
            </w:r>
            <w:r>
              <w:rPr>
                <w:noProof/>
                <w:webHidden/>
              </w:rPr>
              <w:fldChar w:fldCharType="begin"/>
            </w:r>
            <w:r>
              <w:rPr>
                <w:noProof/>
                <w:webHidden/>
              </w:rPr>
              <w:instrText xml:space="preserve"> PAGEREF _Toc233326217 \h </w:instrText>
            </w:r>
            <w:r>
              <w:rPr>
                <w:noProof/>
                <w:webHidden/>
              </w:rPr>
            </w:r>
            <w:r>
              <w:rPr>
                <w:noProof/>
                <w:webHidden/>
              </w:rPr>
              <w:fldChar w:fldCharType="separate"/>
            </w:r>
            <w:r>
              <w:rPr>
                <w:noProof/>
                <w:webHidden/>
              </w:rPr>
              <w:t>11</w:t>
            </w:r>
            <w:r>
              <w:rPr>
                <w:noProof/>
                <w:webHidden/>
              </w:rPr>
              <w:fldChar w:fldCharType="end"/>
            </w:r>
          </w:hyperlink>
        </w:p>
        <w:p w14:paraId="1BC9F019" w14:textId="1B85DFCF" w:rsidR="00112E3E" w:rsidRDefault="00112E3E">
          <w:pPr>
            <w:pStyle w:val="TOC1"/>
            <w:tabs>
              <w:tab w:val="right" w:leader="dot" w:pos="9508"/>
            </w:tabs>
            <w:rPr>
              <w:rFonts w:asciiTheme="minorHAnsi" w:hAnsiTheme="minorHAnsi"/>
              <w:noProof/>
              <w:sz w:val="22"/>
            </w:rPr>
          </w:pPr>
          <w:hyperlink w:anchor="_Toc233326218" w:history="1">
            <w:r w:rsidRPr="00B23ADA">
              <w:rPr>
                <w:rStyle w:val="Hyperlink"/>
                <w:rFonts w:cs="Arial"/>
                <w:noProof/>
              </w:rPr>
              <w:t>6. Conclusion and Business Plan Priorities</w:t>
            </w:r>
            <w:r>
              <w:rPr>
                <w:noProof/>
                <w:webHidden/>
              </w:rPr>
              <w:tab/>
            </w:r>
            <w:r>
              <w:rPr>
                <w:noProof/>
                <w:webHidden/>
              </w:rPr>
              <w:fldChar w:fldCharType="begin"/>
            </w:r>
            <w:r>
              <w:rPr>
                <w:noProof/>
                <w:webHidden/>
              </w:rPr>
              <w:instrText xml:space="preserve"> PAGEREF _Toc233326218 \h </w:instrText>
            </w:r>
            <w:r>
              <w:rPr>
                <w:noProof/>
                <w:webHidden/>
              </w:rPr>
            </w:r>
            <w:r>
              <w:rPr>
                <w:noProof/>
                <w:webHidden/>
              </w:rPr>
              <w:fldChar w:fldCharType="separate"/>
            </w:r>
            <w:r>
              <w:rPr>
                <w:noProof/>
                <w:webHidden/>
              </w:rPr>
              <w:t>15</w:t>
            </w:r>
            <w:r>
              <w:rPr>
                <w:noProof/>
                <w:webHidden/>
              </w:rPr>
              <w:fldChar w:fldCharType="end"/>
            </w:r>
          </w:hyperlink>
        </w:p>
        <w:p w14:paraId="2D0CADA6" w14:textId="0E6313C4" w:rsidR="00112E3E" w:rsidRDefault="00112E3E">
          <w:pPr>
            <w:pStyle w:val="TOC1"/>
            <w:tabs>
              <w:tab w:val="right" w:leader="dot" w:pos="9508"/>
            </w:tabs>
            <w:rPr>
              <w:rFonts w:asciiTheme="minorHAnsi" w:hAnsiTheme="minorHAnsi"/>
              <w:noProof/>
              <w:sz w:val="22"/>
            </w:rPr>
          </w:pPr>
          <w:hyperlink w:anchor="_Toc233326219" w:history="1">
            <w:r w:rsidRPr="00B23ADA">
              <w:rPr>
                <w:rStyle w:val="Hyperlink"/>
                <w:rFonts w:cs="Arial"/>
                <w:noProof/>
              </w:rPr>
              <w:t>References</w:t>
            </w:r>
            <w:r>
              <w:rPr>
                <w:noProof/>
                <w:webHidden/>
              </w:rPr>
              <w:tab/>
            </w:r>
            <w:r>
              <w:rPr>
                <w:noProof/>
                <w:webHidden/>
              </w:rPr>
              <w:fldChar w:fldCharType="begin"/>
            </w:r>
            <w:r>
              <w:rPr>
                <w:noProof/>
                <w:webHidden/>
              </w:rPr>
              <w:instrText xml:space="preserve"> PAGEREF _Toc233326219 \h </w:instrText>
            </w:r>
            <w:r>
              <w:rPr>
                <w:noProof/>
                <w:webHidden/>
              </w:rPr>
            </w:r>
            <w:r>
              <w:rPr>
                <w:noProof/>
                <w:webHidden/>
              </w:rPr>
              <w:fldChar w:fldCharType="separate"/>
            </w:r>
            <w:r>
              <w:rPr>
                <w:noProof/>
                <w:webHidden/>
              </w:rPr>
              <w:t>16</w:t>
            </w:r>
            <w:r>
              <w:rPr>
                <w:noProof/>
                <w:webHidden/>
              </w:rPr>
              <w:fldChar w:fldCharType="end"/>
            </w:r>
          </w:hyperlink>
        </w:p>
        <w:p w14:paraId="5A6E867B" w14:textId="4933D77A" w:rsidR="00112E3E" w:rsidRDefault="00112E3E">
          <w:pPr>
            <w:pStyle w:val="TOC1"/>
            <w:tabs>
              <w:tab w:val="right" w:leader="dot" w:pos="9508"/>
            </w:tabs>
            <w:rPr>
              <w:rFonts w:asciiTheme="minorHAnsi" w:hAnsiTheme="minorHAnsi"/>
              <w:noProof/>
              <w:sz w:val="22"/>
            </w:rPr>
          </w:pPr>
          <w:hyperlink w:anchor="_Toc233326220" w:history="1">
            <w:r w:rsidRPr="00B23ADA">
              <w:rPr>
                <w:rStyle w:val="Hyperlink"/>
                <w:rFonts w:cs="Arial"/>
                <w:noProof/>
              </w:rPr>
              <w:t>Appendices</w:t>
            </w:r>
            <w:r>
              <w:rPr>
                <w:noProof/>
                <w:webHidden/>
              </w:rPr>
              <w:tab/>
            </w:r>
            <w:r>
              <w:rPr>
                <w:noProof/>
                <w:webHidden/>
              </w:rPr>
              <w:fldChar w:fldCharType="begin"/>
            </w:r>
            <w:r>
              <w:rPr>
                <w:noProof/>
                <w:webHidden/>
              </w:rPr>
              <w:instrText xml:space="preserve"> PAGEREF _Toc233326220 \h </w:instrText>
            </w:r>
            <w:r>
              <w:rPr>
                <w:noProof/>
                <w:webHidden/>
              </w:rPr>
            </w:r>
            <w:r>
              <w:rPr>
                <w:noProof/>
                <w:webHidden/>
              </w:rPr>
              <w:fldChar w:fldCharType="separate"/>
            </w:r>
            <w:r>
              <w:rPr>
                <w:noProof/>
                <w:webHidden/>
              </w:rPr>
              <w:t>18</w:t>
            </w:r>
            <w:r>
              <w:rPr>
                <w:noProof/>
                <w:webHidden/>
              </w:rPr>
              <w:fldChar w:fldCharType="end"/>
            </w:r>
          </w:hyperlink>
        </w:p>
        <w:p w14:paraId="5D29F9F8" w14:textId="487B6F77" w:rsidR="00112E3E" w:rsidRDefault="00112E3E">
          <w:pPr>
            <w:pStyle w:val="TOC2"/>
            <w:tabs>
              <w:tab w:val="right" w:leader="dot" w:pos="9508"/>
            </w:tabs>
            <w:rPr>
              <w:rFonts w:asciiTheme="minorHAnsi" w:hAnsiTheme="minorHAnsi"/>
              <w:noProof/>
              <w:sz w:val="22"/>
            </w:rPr>
          </w:pPr>
          <w:hyperlink w:anchor="_Toc233326221" w:history="1">
            <w:r w:rsidRPr="00B23ADA">
              <w:rPr>
                <w:rStyle w:val="Hyperlink"/>
                <w:rFonts w:cs="Arial"/>
                <w:noProof/>
              </w:rPr>
              <w:t>Appendix A: Comprehensive financial data and ratios</w:t>
            </w:r>
            <w:r>
              <w:rPr>
                <w:noProof/>
                <w:webHidden/>
              </w:rPr>
              <w:tab/>
            </w:r>
            <w:r>
              <w:rPr>
                <w:noProof/>
                <w:webHidden/>
              </w:rPr>
              <w:fldChar w:fldCharType="begin"/>
            </w:r>
            <w:r>
              <w:rPr>
                <w:noProof/>
                <w:webHidden/>
              </w:rPr>
              <w:instrText xml:space="preserve"> PAGEREF _Toc233326221 \h </w:instrText>
            </w:r>
            <w:r>
              <w:rPr>
                <w:noProof/>
                <w:webHidden/>
              </w:rPr>
            </w:r>
            <w:r>
              <w:rPr>
                <w:noProof/>
                <w:webHidden/>
              </w:rPr>
              <w:fldChar w:fldCharType="separate"/>
            </w:r>
            <w:r>
              <w:rPr>
                <w:noProof/>
                <w:webHidden/>
              </w:rPr>
              <w:t>18</w:t>
            </w:r>
            <w:r>
              <w:rPr>
                <w:noProof/>
                <w:webHidden/>
              </w:rPr>
              <w:fldChar w:fldCharType="end"/>
            </w:r>
          </w:hyperlink>
        </w:p>
        <w:p w14:paraId="2E677E67" w14:textId="1071DC6D" w:rsidR="00112E3E" w:rsidRDefault="00112E3E">
          <w:pPr>
            <w:pStyle w:val="TOC2"/>
            <w:tabs>
              <w:tab w:val="right" w:leader="dot" w:pos="9508"/>
            </w:tabs>
            <w:rPr>
              <w:rFonts w:asciiTheme="minorHAnsi" w:hAnsiTheme="minorHAnsi"/>
              <w:noProof/>
              <w:sz w:val="22"/>
            </w:rPr>
          </w:pPr>
          <w:hyperlink w:anchor="_Toc233326222" w:history="1">
            <w:r w:rsidRPr="00B23ADA">
              <w:rPr>
                <w:rStyle w:val="Hyperlink"/>
                <w:rFonts w:cs="Arial"/>
                <w:noProof/>
              </w:rPr>
              <w:t>Appendix B: Financial diagnostic and recommendations</w:t>
            </w:r>
            <w:r>
              <w:rPr>
                <w:noProof/>
                <w:webHidden/>
              </w:rPr>
              <w:tab/>
            </w:r>
            <w:r>
              <w:rPr>
                <w:noProof/>
                <w:webHidden/>
              </w:rPr>
              <w:fldChar w:fldCharType="begin"/>
            </w:r>
            <w:r>
              <w:rPr>
                <w:noProof/>
                <w:webHidden/>
              </w:rPr>
              <w:instrText xml:space="preserve"> PAGEREF _Toc233326222 \h </w:instrText>
            </w:r>
            <w:r>
              <w:rPr>
                <w:noProof/>
                <w:webHidden/>
              </w:rPr>
            </w:r>
            <w:r>
              <w:rPr>
                <w:noProof/>
                <w:webHidden/>
              </w:rPr>
              <w:fldChar w:fldCharType="separate"/>
            </w:r>
            <w:r>
              <w:rPr>
                <w:noProof/>
                <w:webHidden/>
              </w:rPr>
              <w:t>18</w:t>
            </w:r>
            <w:r>
              <w:rPr>
                <w:noProof/>
                <w:webHidden/>
              </w:rPr>
              <w:fldChar w:fldCharType="end"/>
            </w:r>
          </w:hyperlink>
        </w:p>
        <w:p w14:paraId="5369110E" w14:textId="692A3EA3" w:rsidR="00112E3E" w:rsidRDefault="00112E3E">
          <w:pPr>
            <w:pStyle w:val="TOC2"/>
            <w:tabs>
              <w:tab w:val="right" w:leader="dot" w:pos="9508"/>
            </w:tabs>
            <w:rPr>
              <w:rFonts w:asciiTheme="minorHAnsi" w:hAnsiTheme="minorHAnsi"/>
              <w:noProof/>
              <w:sz w:val="22"/>
            </w:rPr>
          </w:pPr>
          <w:hyperlink w:anchor="_Toc233326223" w:history="1">
            <w:r w:rsidRPr="00B23ADA">
              <w:rPr>
                <w:rStyle w:val="Hyperlink"/>
                <w:rFonts w:cs="Arial"/>
                <w:noProof/>
              </w:rPr>
              <w:t>Appendix C: PESTEL context summary</w:t>
            </w:r>
            <w:r>
              <w:rPr>
                <w:noProof/>
                <w:webHidden/>
              </w:rPr>
              <w:tab/>
            </w:r>
            <w:r>
              <w:rPr>
                <w:noProof/>
                <w:webHidden/>
              </w:rPr>
              <w:fldChar w:fldCharType="begin"/>
            </w:r>
            <w:r>
              <w:rPr>
                <w:noProof/>
                <w:webHidden/>
              </w:rPr>
              <w:instrText xml:space="preserve"> PAGEREF _Toc233326223 \h </w:instrText>
            </w:r>
            <w:r>
              <w:rPr>
                <w:noProof/>
                <w:webHidden/>
              </w:rPr>
            </w:r>
            <w:r>
              <w:rPr>
                <w:noProof/>
                <w:webHidden/>
              </w:rPr>
              <w:fldChar w:fldCharType="separate"/>
            </w:r>
            <w:r>
              <w:rPr>
                <w:noProof/>
                <w:webHidden/>
              </w:rPr>
              <w:t>19</w:t>
            </w:r>
            <w:r>
              <w:rPr>
                <w:noProof/>
                <w:webHidden/>
              </w:rPr>
              <w:fldChar w:fldCharType="end"/>
            </w:r>
          </w:hyperlink>
        </w:p>
        <w:p w14:paraId="00C0258C" w14:textId="518830FD" w:rsidR="00112E3E" w:rsidRDefault="00112E3E">
          <w:pPr>
            <w:pStyle w:val="TOC2"/>
            <w:tabs>
              <w:tab w:val="right" w:leader="dot" w:pos="9508"/>
            </w:tabs>
            <w:rPr>
              <w:rFonts w:asciiTheme="minorHAnsi" w:hAnsiTheme="minorHAnsi"/>
              <w:noProof/>
              <w:sz w:val="22"/>
            </w:rPr>
          </w:pPr>
          <w:hyperlink w:anchor="_Toc233326224" w:history="1">
            <w:r w:rsidRPr="00B23ADA">
              <w:rPr>
                <w:rStyle w:val="Hyperlink"/>
                <w:rFonts w:cs="Arial"/>
                <w:noProof/>
              </w:rPr>
              <w:t>Appendix D: Implementation roadmap</w:t>
            </w:r>
            <w:r>
              <w:rPr>
                <w:noProof/>
                <w:webHidden/>
              </w:rPr>
              <w:tab/>
            </w:r>
            <w:r>
              <w:rPr>
                <w:noProof/>
                <w:webHidden/>
              </w:rPr>
              <w:fldChar w:fldCharType="begin"/>
            </w:r>
            <w:r>
              <w:rPr>
                <w:noProof/>
                <w:webHidden/>
              </w:rPr>
              <w:instrText xml:space="preserve"> PAGEREF _Toc233326224 \h </w:instrText>
            </w:r>
            <w:r>
              <w:rPr>
                <w:noProof/>
                <w:webHidden/>
              </w:rPr>
            </w:r>
            <w:r>
              <w:rPr>
                <w:noProof/>
                <w:webHidden/>
              </w:rPr>
              <w:fldChar w:fldCharType="separate"/>
            </w:r>
            <w:r>
              <w:rPr>
                <w:noProof/>
                <w:webHidden/>
              </w:rPr>
              <w:t>19</w:t>
            </w:r>
            <w:r>
              <w:rPr>
                <w:noProof/>
                <w:webHidden/>
              </w:rPr>
              <w:fldChar w:fldCharType="end"/>
            </w:r>
          </w:hyperlink>
        </w:p>
        <w:p w14:paraId="6C5D1C8C" w14:textId="666D2F11" w:rsidR="008361B5" w:rsidRDefault="008361B5">
          <w:r>
            <w:rPr>
              <w:b/>
              <w:bCs/>
              <w:noProof/>
            </w:rPr>
            <w:fldChar w:fldCharType="end"/>
          </w:r>
        </w:p>
      </w:sdtContent>
    </w:sdt>
    <w:p w14:paraId="1DDAF012" w14:textId="66E7282F" w:rsidR="00FE356E" w:rsidRDefault="00FE356E" w:rsidP="00334845">
      <w:pPr>
        <w:spacing w:line="360" w:lineRule="auto"/>
        <w:jc w:val="both"/>
        <w:rPr>
          <w:rFonts w:cs="Arial"/>
        </w:rPr>
      </w:pPr>
    </w:p>
    <w:p w14:paraId="4CFD9167" w14:textId="36BFFFB3" w:rsidR="008361B5" w:rsidRDefault="008361B5" w:rsidP="00334845">
      <w:pPr>
        <w:spacing w:line="360" w:lineRule="auto"/>
        <w:jc w:val="both"/>
        <w:rPr>
          <w:rFonts w:cs="Arial"/>
        </w:rPr>
      </w:pPr>
    </w:p>
    <w:p w14:paraId="7EC1435A" w14:textId="6B8DC8F1" w:rsidR="008361B5" w:rsidRDefault="008361B5" w:rsidP="00334845">
      <w:pPr>
        <w:spacing w:line="360" w:lineRule="auto"/>
        <w:jc w:val="both"/>
        <w:rPr>
          <w:rFonts w:cs="Arial"/>
        </w:rPr>
      </w:pPr>
    </w:p>
    <w:p w14:paraId="3962C036" w14:textId="23E41B42" w:rsidR="008361B5" w:rsidRDefault="008361B5" w:rsidP="00334845">
      <w:pPr>
        <w:spacing w:line="360" w:lineRule="auto"/>
        <w:jc w:val="both"/>
        <w:rPr>
          <w:rFonts w:cs="Arial"/>
        </w:rPr>
      </w:pPr>
    </w:p>
    <w:p w14:paraId="00F6772A" w14:textId="6031CFC5" w:rsidR="008361B5" w:rsidRDefault="008361B5" w:rsidP="00334845">
      <w:pPr>
        <w:spacing w:line="360" w:lineRule="auto"/>
        <w:jc w:val="both"/>
        <w:rPr>
          <w:rFonts w:cs="Arial"/>
        </w:rPr>
      </w:pPr>
    </w:p>
    <w:p w14:paraId="71FCAC07" w14:textId="0560853A" w:rsidR="009A33A5" w:rsidRDefault="009A33A5" w:rsidP="00334845">
      <w:pPr>
        <w:spacing w:line="360" w:lineRule="auto"/>
        <w:jc w:val="both"/>
        <w:rPr>
          <w:rFonts w:cs="Arial"/>
        </w:rPr>
      </w:pPr>
    </w:p>
    <w:p w14:paraId="62E3BF23" w14:textId="77777777" w:rsidR="009A33A5" w:rsidRPr="00334845" w:rsidRDefault="009A33A5" w:rsidP="00334845">
      <w:pPr>
        <w:spacing w:line="360" w:lineRule="auto"/>
        <w:jc w:val="both"/>
        <w:rPr>
          <w:rFonts w:cs="Arial"/>
        </w:rPr>
      </w:pPr>
    </w:p>
    <w:p w14:paraId="49B0628A" w14:textId="77777777" w:rsidR="00255D9E" w:rsidRPr="00334845" w:rsidRDefault="00255D9E" w:rsidP="00334845">
      <w:pPr>
        <w:pStyle w:val="Heading1"/>
        <w:spacing w:before="200" w:after="80" w:line="360" w:lineRule="auto"/>
        <w:jc w:val="both"/>
        <w:rPr>
          <w:rFonts w:ascii="Arial" w:hAnsi="Arial" w:cs="Arial"/>
        </w:rPr>
      </w:pPr>
      <w:bookmarkStart w:id="1" w:name="_Toc233326206"/>
      <w:r>
        <w:rPr>
          <w:rFonts w:ascii="Arial" w:hAnsi="Arial" w:cs="Arial"/>
          <w:color w:val="1F4E79"/>
        </w:rPr>
        <w:lastRenderedPageBreak/>
        <w:t>1. Introduction and strategic argument</w:t>
      </w:r>
      <w:bookmarkEnd w:id="1"/>
    </w:p>
    <w:p w14:paraId="2879425B" w14:textId="21FD4906" w:rsidR="003435C2" w:rsidRPr="009A33A5" w:rsidRDefault="003435C2" w:rsidP="00334845">
      <w:pPr>
        <w:spacing w:after="120" w:line="360" w:lineRule="auto"/>
        <w:jc w:val="both"/>
        <w:rPr>
          <w:rFonts w:cs="Arial"/>
        </w:rPr>
      </w:pPr>
      <w:r w:rsidRPr="009A33A5">
        <w:rPr>
          <w:rFonts w:cs="Arial"/>
        </w:rPr>
        <w:t>This business plan examines the entrepreneurship and growth trajectory of Greggs plc as a case of a growing and established food-to-go business in the UK that did not follow a traditional start-up process but grew through entrepreneurial reinvention, scaling operations, digitalisation, franchising, and investment in supply chains. Greggs has developed a repeatable convenience system which fosters frequent customer purchasing by value, accessibility and habit, thus giving them a sustainable competitive advantage (Porter, 1985; Greggs plc, 2026a). Recent financial results show some difficulties, however. While sales increased to a record GBP2,151.2 million in 2025, underlying profit before tax decreased by GBP171.9 million or 9.4%, and statutory profit before tax decreased by GBP167.4 million or 17.9%, due to pressures from inflation, lower foot traffic and investment needs (Greggs plc, 2026b; Greggs plc, 2026c).</w:t>
      </w:r>
    </w:p>
    <w:p w14:paraId="0CE728D9" w14:textId="1B16D31E" w:rsidR="00CE5AAC" w:rsidRDefault="00CE5AAC" w:rsidP="00334845">
      <w:pPr>
        <w:spacing w:after="120" w:line="360" w:lineRule="auto"/>
        <w:jc w:val="both"/>
        <w:rPr>
          <w:rFonts w:cs="Arial"/>
        </w:rPr>
      </w:pPr>
    </w:p>
    <w:p w14:paraId="55ADE7E9" w14:textId="0BA6B076" w:rsidR="00CE5AAC" w:rsidRDefault="00CE5AAC" w:rsidP="00334845">
      <w:pPr>
        <w:spacing w:after="120" w:line="360" w:lineRule="auto"/>
        <w:jc w:val="both"/>
        <w:rPr>
          <w:rFonts w:cs="Arial"/>
        </w:rPr>
      </w:pPr>
    </w:p>
    <w:p w14:paraId="14CC580A" w14:textId="7E5A41CF" w:rsidR="00CE5AAC" w:rsidRDefault="00CE5AAC" w:rsidP="00334845">
      <w:pPr>
        <w:spacing w:after="120" w:line="360" w:lineRule="auto"/>
        <w:jc w:val="both"/>
        <w:rPr>
          <w:rFonts w:cs="Arial"/>
        </w:rPr>
      </w:pPr>
    </w:p>
    <w:p w14:paraId="679B9BA8" w14:textId="57AF66CE" w:rsidR="00CE5AAC" w:rsidRDefault="00CE5AAC" w:rsidP="00334845">
      <w:pPr>
        <w:spacing w:after="120" w:line="360" w:lineRule="auto"/>
        <w:jc w:val="both"/>
        <w:rPr>
          <w:rFonts w:cs="Arial"/>
        </w:rPr>
      </w:pPr>
    </w:p>
    <w:p w14:paraId="7F07C074" w14:textId="676F1740" w:rsidR="00CE5AAC" w:rsidRDefault="00CE5AAC" w:rsidP="00334845">
      <w:pPr>
        <w:spacing w:after="120" w:line="360" w:lineRule="auto"/>
        <w:jc w:val="both"/>
        <w:rPr>
          <w:rFonts w:cs="Arial"/>
        </w:rPr>
      </w:pPr>
    </w:p>
    <w:p w14:paraId="2BDBEEDB" w14:textId="2F672405" w:rsidR="00CE5AAC" w:rsidRDefault="00CE5AAC" w:rsidP="00334845">
      <w:pPr>
        <w:spacing w:after="120" w:line="360" w:lineRule="auto"/>
        <w:jc w:val="both"/>
        <w:rPr>
          <w:rFonts w:cs="Arial"/>
        </w:rPr>
      </w:pPr>
    </w:p>
    <w:p w14:paraId="22DDB334" w14:textId="2E308E22" w:rsidR="00CE5AAC" w:rsidRDefault="00CE5AAC" w:rsidP="00334845">
      <w:pPr>
        <w:spacing w:after="120" w:line="360" w:lineRule="auto"/>
        <w:jc w:val="both"/>
        <w:rPr>
          <w:rFonts w:cs="Arial"/>
        </w:rPr>
      </w:pPr>
    </w:p>
    <w:p w14:paraId="17C989B1" w14:textId="29B40EE3" w:rsidR="00CE5AAC" w:rsidRDefault="00CE5AAC" w:rsidP="00334845">
      <w:pPr>
        <w:spacing w:after="120" w:line="360" w:lineRule="auto"/>
        <w:jc w:val="both"/>
        <w:rPr>
          <w:rFonts w:cs="Arial"/>
        </w:rPr>
      </w:pPr>
    </w:p>
    <w:p w14:paraId="7BABEE28" w14:textId="0DDC709E" w:rsidR="00CE5AAC" w:rsidRDefault="00CE5AAC" w:rsidP="00334845">
      <w:pPr>
        <w:spacing w:after="120" w:line="360" w:lineRule="auto"/>
        <w:jc w:val="both"/>
        <w:rPr>
          <w:rFonts w:cs="Arial"/>
        </w:rPr>
      </w:pPr>
    </w:p>
    <w:p w14:paraId="5CD90915" w14:textId="0D3E4080" w:rsidR="00CE5AAC" w:rsidRDefault="00CE5AAC" w:rsidP="00334845">
      <w:pPr>
        <w:spacing w:after="120" w:line="360" w:lineRule="auto"/>
        <w:jc w:val="both"/>
        <w:rPr>
          <w:rFonts w:cs="Arial"/>
        </w:rPr>
      </w:pPr>
    </w:p>
    <w:p w14:paraId="283D281F" w14:textId="4D38FAE3" w:rsidR="00CE5AAC" w:rsidRDefault="00CE5AAC" w:rsidP="00334845">
      <w:pPr>
        <w:spacing w:after="120" w:line="360" w:lineRule="auto"/>
        <w:jc w:val="both"/>
        <w:rPr>
          <w:rFonts w:cs="Arial"/>
        </w:rPr>
      </w:pPr>
    </w:p>
    <w:p w14:paraId="1DFDB733" w14:textId="77777777" w:rsidR="00CE5AAC" w:rsidRPr="00334845" w:rsidRDefault="00CE5AAC" w:rsidP="00334845">
      <w:pPr>
        <w:spacing w:after="120" w:line="360" w:lineRule="auto"/>
        <w:jc w:val="both"/>
        <w:rPr>
          <w:rFonts w:cs="Arial"/>
        </w:rPr>
      </w:pPr>
    </w:p>
    <w:p w14:paraId="0B23406E" w14:textId="77777777" w:rsidR="00FE356E" w:rsidRPr="00334845" w:rsidRDefault="00823F54" w:rsidP="00334845">
      <w:pPr>
        <w:pStyle w:val="Heading1"/>
        <w:spacing w:before="180" w:after="80" w:line="360" w:lineRule="auto"/>
        <w:jc w:val="both"/>
        <w:rPr>
          <w:rFonts w:ascii="Arial" w:hAnsi="Arial" w:cs="Arial"/>
        </w:rPr>
      </w:pPr>
      <w:bookmarkStart w:id="2" w:name="_Toc233326207"/>
      <w:r>
        <w:rPr>
          <w:rFonts w:ascii="Arial" w:hAnsi="Arial" w:cs="Arial"/>
          <w:color w:val="1F4E79"/>
        </w:rPr>
        <w:lastRenderedPageBreak/>
        <w:t>2. Element 1: Company Overview, Products/Services, Objectives and USP</w:t>
      </w:r>
      <w:bookmarkEnd w:id="2"/>
    </w:p>
    <w:p w14:paraId="626B797A" w14:textId="77777777" w:rsidR="00FE356E" w:rsidRPr="00334845" w:rsidRDefault="00823F54" w:rsidP="00334845">
      <w:pPr>
        <w:pStyle w:val="Heading2"/>
        <w:spacing w:before="100" w:after="80" w:line="360" w:lineRule="auto"/>
        <w:jc w:val="both"/>
        <w:rPr>
          <w:rFonts w:ascii="Arial" w:hAnsi="Arial" w:cs="Arial"/>
        </w:rPr>
      </w:pPr>
      <w:bookmarkStart w:id="3" w:name="_Toc233326208"/>
      <w:r>
        <w:rPr>
          <w:rFonts w:ascii="Arial" w:hAnsi="Arial" w:cs="Arial"/>
          <w:color w:val="1F4E79"/>
          <w:sz w:val="25"/>
        </w:rPr>
        <w:t>2.1 Company overview and business model</w:t>
      </w:r>
      <w:bookmarkEnd w:id="3"/>
    </w:p>
    <w:p w14:paraId="30FD0F89" w14:textId="77777777" w:rsidR="0049367B" w:rsidRPr="00334845" w:rsidRDefault="0049367B" w:rsidP="00334845">
      <w:pPr>
        <w:spacing w:after="120" w:line="360" w:lineRule="auto"/>
        <w:jc w:val="both"/>
        <w:rPr>
          <w:rFonts w:cs="Arial"/>
        </w:rPr>
      </w:pPr>
      <w:r>
        <w:rPr>
          <w:rFonts w:cs="Arial"/>
        </w:rPr>
        <w:t>Greggs plc is a UK food-on-the-go company with company-managed and franchised shops. It says it provides access to fresh food to all people, and by 9 May 2026, it had 2,759 shops, of which 2,141 were company-managed and 618 were franchised. This scale brings about the following advantages in the eyes of Greggs: purchasing, production, logistics and brand advantages due to volumes of like products that are weak (Greggs plc, 2026b; Greggs plc, 2026c).</w:t>
      </w:r>
    </w:p>
    <w:p w14:paraId="6964036B" w14:textId="77777777" w:rsidR="0049367B" w:rsidRPr="00334845" w:rsidRDefault="0049367B" w:rsidP="00334845">
      <w:pPr>
        <w:spacing w:after="120" w:line="360" w:lineRule="auto"/>
        <w:jc w:val="both"/>
        <w:rPr>
          <w:rFonts w:cs="Arial"/>
        </w:rPr>
      </w:pPr>
      <w:r>
        <w:rPr>
          <w:rFonts w:cs="Arial"/>
        </w:rPr>
        <w:t>The business model is more complex than one might imagine for a bakery chain. Greggs' business model is to be vertically integrated on a food-to-go platform: there is cost control and product consistency thanks to the central production and distribution. Shops turn the footfall into high-frequency transactions; franchise partners make the product available in places like travel sites and supermarket sites, while the digital channel brings in customer data. However, vertical integration is a double-edged sword if the capacity of the supply chain can be increased quicker than the demand for the good or service because costs of depreciation, labour and property cannot be cut easily (Barney, 1991; Greggs plc, 2026a).</w:t>
      </w:r>
    </w:p>
    <w:p w14:paraId="0497E3F6" w14:textId="77777777" w:rsidR="00FE356E" w:rsidRPr="00334845" w:rsidRDefault="00823F54" w:rsidP="00334845">
      <w:pPr>
        <w:pStyle w:val="Heading2"/>
        <w:spacing w:before="100" w:after="80" w:line="360" w:lineRule="auto"/>
        <w:jc w:val="both"/>
        <w:rPr>
          <w:rFonts w:ascii="Arial" w:hAnsi="Arial" w:cs="Arial"/>
        </w:rPr>
      </w:pPr>
      <w:bookmarkStart w:id="4" w:name="_Toc233326209"/>
      <w:r>
        <w:rPr>
          <w:rFonts w:ascii="Arial" w:hAnsi="Arial" w:cs="Arial"/>
          <w:color w:val="1F4E79"/>
          <w:sz w:val="25"/>
        </w:rPr>
        <w:t>2.2 Main products and services</w:t>
      </w:r>
      <w:bookmarkEnd w:id="4"/>
    </w:p>
    <w:p w14:paraId="155C19D6" w14:textId="09E8B3BD" w:rsidR="0049367B" w:rsidRPr="00334845" w:rsidRDefault="0049367B" w:rsidP="00334845">
      <w:pPr>
        <w:spacing w:after="120" w:line="360" w:lineRule="auto"/>
        <w:jc w:val="both"/>
        <w:rPr>
          <w:rFonts w:cs="Arial"/>
        </w:rPr>
      </w:pPr>
      <w:r>
        <w:rPr>
          <w:rFonts w:cs="Arial"/>
        </w:rPr>
        <w:t xml:space="preserve">The Greggs bakes and sells savouries, sandwiches, salads, breakfast items, hot food, pizza, </w:t>
      </w:r>
      <w:r w:rsidRPr="009A33A5">
        <w:rPr>
          <w:rFonts w:cs="Arial"/>
        </w:rPr>
        <w:t xml:space="preserve">sweet bakery products, drinks, loyalty rewards and grocery retail products, and offers delivery and Click + Collect. The key question is not simply about the breadth of product; it is whether the product innovation gives more profitable customer occasions without hurting speed, simplicity and availability. A wider range will enable Greggs to do better on breakfast, lunch, snacking </w:t>
      </w:r>
      <w:r>
        <w:rPr>
          <w:rFonts w:cs="Arial"/>
        </w:rPr>
        <w:t>and evening missions, but it can also lead to higher levels of waste, training requirements and complexity of queues (Greggs plc, 2026a; Kotler, Keller and Chernev, 2022).</w:t>
      </w:r>
    </w:p>
    <w:tbl>
      <w:tblPr>
        <w:tblStyle w:val="PlainTable5"/>
        <w:tblW w:w="0" w:type="auto"/>
        <w:tblLook w:val="04A0" w:firstRow="1" w:lastRow="0" w:firstColumn="1" w:lastColumn="0" w:noHBand="0" w:noVBand="1"/>
      </w:tblPr>
      <w:tblGrid>
        <w:gridCol w:w="2379"/>
        <w:gridCol w:w="2379"/>
        <w:gridCol w:w="2379"/>
        <w:gridCol w:w="2379"/>
      </w:tblGrid>
      <w:tr w:rsidR="00FE356E" w:rsidRPr="009A33A5" w14:paraId="18AE4147"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79" w:type="dxa"/>
          </w:tcPr>
          <w:p w14:paraId="745524E5" w14:textId="77777777" w:rsidR="00FE356E" w:rsidRPr="009A33A5" w:rsidRDefault="00823F54" w:rsidP="00334845">
            <w:pPr>
              <w:spacing w:line="360" w:lineRule="auto"/>
              <w:jc w:val="both"/>
              <w:rPr>
                <w:rFonts w:cs="Arial"/>
                <w:sz w:val="20"/>
                <w:szCs w:val="20"/>
              </w:rPr>
            </w:pPr>
            <w:r w:rsidRPr="009A33A5">
              <w:rPr>
                <w:rFonts w:cs="Arial"/>
                <w:b/>
                <w:sz w:val="20"/>
                <w:szCs w:val="20"/>
              </w:rPr>
              <w:t>Product/service area</w:t>
            </w:r>
          </w:p>
        </w:tc>
        <w:tc>
          <w:tcPr>
            <w:tcW w:w="2379" w:type="dxa"/>
          </w:tcPr>
          <w:p w14:paraId="017552AA"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b/>
                <w:sz w:val="20"/>
                <w:szCs w:val="20"/>
              </w:rPr>
              <w:t>How it creates value</w:t>
            </w:r>
          </w:p>
        </w:tc>
        <w:tc>
          <w:tcPr>
            <w:tcW w:w="2379" w:type="dxa"/>
          </w:tcPr>
          <w:p w14:paraId="0CF105C6"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b/>
                <w:sz w:val="20"/>
                <w:szCs w:val="20"/>
              </w:rPr>
              <w:t>Critical risk</w:t>
            </w:r>
          </w:p>
        </w:tc>
        <w:tc>
          <w:tcPr>
            <w:tcW w:w="2379" w:type="dxa"/>
          </w:tcPr>
          <w:p w14:paraId="15773162"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b/>
                <w:sz w:val="20"/>
                <w:szCs w:val="20"/>
              </w:rPr>
              <w:t>Business plan implication</w:t>
            </w:r>
          </w:p>
        </w:tc>
      </w:tr>
      <w:tr w:rsidR="00FE356E" w:rsidRPr="009A33A5" w14:paraId="709EA141"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00AF341" w14:textId="77777777" w:rsidR="00FE356E" w:rsidRPr="009A33A5" w:rsidRDefault="00823F54" w:rsidP="00334845">
            <w:pPr>
              <w:spacing w:line="360" w:lineRule="auto"/>
              <w:jc w:val="both"/>
              <w:rPr>
                <w:rFonts w:cs="Arial"/>
                <w:sz w:val="20"/>
                <w:szCs w:val="20"/>
              </w:rPr>
            </w:pPr>
            <w:r w:rsidRPr="009A33A5">
              <w:rPr>
                <w:rFonts w:cs="Arial"/>
                <w:sz w:val="20"/>
                <w:szCs w:val="20"/>
              </w:rPr>
              <w:t>Core bakery and savouries</w:t>
            </w:r>
          </w:p>
        </w:tc>
        <w:tc>
          <w:tcPr>
            <w:tcW w:w="2379" w:type="dxa"/>
          </w:tcPr>
          <w:p w14:paraId="6F22FE7B"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 xml:space="preserve">Creates strong everyday brand habit through </w:t>
            </w:r>
            <w:r w:rsidRPr="009A33A5">
              <w:rPr>
                <w:rFonts w:cs="Arial"/>
                <w:sz w:val="20"/>
                <w:szCs w:val="20"/>
              </w:rPr>
              <w:lastRenderedPageBreak/>
              <w:t>familiar, affordable products.</w:t>
            </w:r>
          </w:p>
        </w:tc>
        <w:tc>
          <w:tcPr>
            <w:tcW w:w="2379" w:type="dxa"/>
          </w:tcPr>
          <w:p w14:paraId="2C89B2A4"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lastRenderedPageBreak/>
              <w:t>Overreliance on iconic items may limit health and evening positioning.</w:t>
            </w:r>
          </w:p>
        </w:tc>
        <w:tc>
          <w:tcPr>
            <w:tcW w:w="2379" w:type="dxa"/>
          </w:tcPr>
          <w:p w14:paraId="3996FE18"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Protect core icons but use menu engineering to avoid stagnation.</w:t>
            </w:r>
          </w:p>
        </w:tc>
      </w:tr>
      <w:tr w:rsidR="00FE356E" w:rsidRPr="009A33A5" w14:paraId="7F1E9D6E" w14:textId="77777777" w:rsidTr="009A33A5">
        <w:tc>
          <w:tcPr>
            <w:cnfStyle w:val="001000000000" w:firstRow="0" w:lastRow="0" w:firstColumn="1" w:lastColumn="0" w:oddVBand="0" w:evenVBand="0" w:oddHBand="0" w:evenHBand="0" w:firstRowFirstColumn="0" w:firstRowLastColumn="0" w:lastRowFirstColumn="0" w:lastRowLastColumn="0"/>
            <w:tcW w:w="2379" w:type="dxa"/>
          </w:tcPr>
          <w:p w14:paraId="109D1FD8" w14:textId="77777777" w:rsidR="00FE356E" w:rsidRPr="009A33A5" w:rsidRDefault="00823F54" w:rsidP="00334845">
            <w:pPr>
              <w:spacing w:line="360" w:lineRule="auto"/>
              <w:jc w:val="both"/>
              <w:rPr>
                <w:rFonts w:cs="Arial"/>
                <w:sz w:val="20"/>
                <w:szCs w:val="20"/>
              </w:rPr>
            </w:pPr>
            <w:r w:rsidRPr="009A33A5">
              <w:rPr>
                <w:rFonts w:cs="Arial"/>
                <w:sz w:val="20"/>
                <w:szCs w:val="20"/>
              </w:rPr>
              <w:t>Food-to-go meals</w:t>
            </w:r>
          </w:p>
        </w:tc>
        <w:tc>
          <w:tcPr>
            <w:tcW w:w="2379" w:type="dxa"/>
          </w:tcPr>
          <w:p w14:paraId="76DB643A"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Broadens breakfast, lunch and evening occasions.</w:t>
            </w:r>
          </w:p>
        </w:tc>
        <w:tc>
          <w:tcPr>
            <w:tcW w:w="2379" w:type="dxa"/>
          </w:tcPr>
          <w:p w14:paraId="59A0FF34"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More complexity can slow service and increase waste.</w:t>
            </w:r>
          </w:p>
        </w:tc>
        <w:tc>
          <w:tcPr>
            <w:tcW w:w="2379" w:type="dxa"/>
          </w:tcPr>
          <w:p w14:paraId="106B4ABB"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Expand only where shop execution remains simple and margins are strong.</w:t>
            </w:r>
          </w:p>
        </w:tc>
      </w:tr>
      <w:tr w:rsidR="00FE356E" w:rsidRPr="009A33A5" w14:paraId="77464FE3"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548A7953" w14:textId="77777777" w:rsidR="00FE356E" w:rsidRPr="009A33A5" w:rsidRDefault="00823F54" w:rsidP="00334845">
            <w:pPr>
              <w:spacing w:line="360" w:lineRule="auto"/>
              <w:jc w:val="both"/>
              <w:rPr>
                <w:rFonts w:cs="Arial"/>
                <w:sz w:val="20"/>
                <w:szCs w:val="20"/>
              </w:rPr>
            </w:pPr>
            <w:r w:rsidRPr="009A33A5">
              <w:rPr>
                <w:rFonts w:cs="Arial"/>
                <w:sz w:val="20"/>
                <w:szCs w:val="20"/>
              </w:rPr>
              <w:t>Digital, app and delivery</w:t>
            </w:r>
          </w:p>
        </w:tc>
        <w:tc>
          <w:tcPr>
            <w:tcW w:w="2379" w:type="dxa"/>
          </w:tcPr>
          <w:p w14:paraId="5F5D4270"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Adds convenience, data and loyalty touchpoints.</w:t>
            </w:r>
          </w:p>
        </w:tc>
        <w:tc>
          <w:tcPr>
            <w:tcW w:w="2379" w:type="dxa"/>
          </w:tcPr>
          <w:p w14:paraId="17CAA200"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Platform fees and process complexity may reduce margin quality.</w:t>
            </w:r>
          </w:p>
        </w:tc>
        <w:tc>
          <w:tcPr>
            <w:tcW w:w="2379" w:type="dxa"/>
          </w:tcPr>
          <w:p w14:paraId="53B58F46"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Use digital for incremental frequency and forecasting, not discounting only.</w:t>
            </w:r>
          </w:p>
        </w:tc>
      </w:tr>
      <w:tr w:rsidR="00FE356E" w:rsidRPr="009A33A5" w14:paraId="21214D26" w14:textId="77777777" w:rsidTr="009A33A5">
        <w:tc>
          <w:tcPr>
            <w:cnfStyle w:val="001000000000" w:firstRow="0" w:lastRow="0" w:firstColumn="1" w:lastColumn="0" w:oddVBand="0" w:evenVBand="0" w:oddHBand="0" w:evenHBand="0" w:firstRowFirstColumn="0" w:firstRowLastColumn="0" w:lastRowFirstColumn="0" w:lastRowLastColumn="0"/>
            <w:tcW w:w="2379" w:type="dxa"/>
          </w:tcPr>
          <w:p w14:paraId="5F73A10A" w14:textId="77777777" w:rsidR="00FE356E" w:rsidRPr="009A33A5" w:rsidRDefault="00823F54" w:rsidP="00334845">
            <w:pPr>
              <w:spacing w:line="360" w:lineRule="auto"/>
              <w:jc w:val="both"/>
              <w:rPr>
                <w:rFonts w:cs="Arial"/>
                <w:sz w:val="20"/>
                <w:szCs w:val="20"/>
              </w:rPr>
            </w:pPr>
            <w:r w:rsidRPr="009A33A5">
              <w:rPr>
                <w:rFonts w:cs="Arial"/>
                <w:sz w:val="20"/>
                <w:szCs w:val="20"/>
              </w:rPr>
              <w:t>Franchise and grocery</w:t>
            </w:r>
          </w:p>
        </w:tc>
        <w:tc>
          <w:tcPr>
            <w:tcW w:w="2379" w:type="dxa"/>
          </w:tcPr>
          <w:p w14:paraId="71F5D3EC"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Extends reach into alternative locations and at-home consumption.</w:t>
            </w:r>
          </w:p>
        </w:tc>
        <w:tc>
          <w:tcPr>
            <w:tcW w:w="2379" w:type="dxa"/>
          </w:tcPr>
          <w:p w14:paraId="7ECFF606"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Partner dependency may reduce control over experience.</w:t>
            </w:r>
          </w:p>
        </w:tc>
        <w:tc>
          <w:tcPr>
            <w:tcW w:w="2379" w:type="dxa"/>
          </w:tcPr>
          <w:p w14:paraId="0B1E3699"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Use partners to access hard-to-reach catchments without overbuilding owned shops.</w:t>
            </w:r>
          </w:p>
        </w:tc>
      </w:tr>
    </w:tbl>
    <w:p w14:paraId="15995BD0" w14:textId="77777777" w:rsidR="00FE356E" w:rsidRPr="00334845" w:rsidRDefault="00823F54" w:rsidP="00334845">
      <w:pPr>
        <w:pStyle w:val="Caption"/>
        <w:spacing w:after="120" w:line="360" w:lineRule="auto"/>
        <w:jc w:val="both"/>
        <w:rPr>
          <w:rFonts w:cs="Arial"/>
        </w:rPr>
      </w:pPr>
      <w:r>
        <w:rPr>
          <w:rFonts w:cs="Arial"/>
          <w:b w:val="0"/>
          <w:i/>
        </w:rPr>
        <w:t xml:space="preserve">Table 2: </w:t>
      </w:r>
      <w:proofErr w:type="gramStart"/>
      <w:r>
        <w:rPr>
          <w:rFonts w:cs="Arial"/>
          <w:b w:val="0"/>
          <w:i/>
        </w:rPr>
        <w:t>Greggs</w:t>
      </w:r>
      <w:proofErr w:type="gramEnd"/>
      <w:r>
        <w:rPr>
          <w:rFonts w:cs="Arial"/>
          <w:b w:val="0"/>
          <w:i/>
        </w:rPr>
        <w:t xml:space="preserve"> products/services evaluated as strategic capabilities.</w:t>
      </w:r>
    </w:p>
    <w:p w14:paraId="3763E619" w14:textId="77777777" w:rsidR="00FE356E" w:rsidRPr="00334845" w:rsidRDefault="00823F54" w:rsidP="00334845">
      <w:pPr>
        <w:pStyle w:val="Heading2"/>
        <w:spacing w:before="100" w:after="80" w:line="360" w:lineRule="auto"/>
        <w:jc w:val="both"/>
        <w:rPr>
          <w:rFonts w:ascii="Arial" w:hAnsi="Arial" w:cs="Arial"/>
        </w:rPr>
      </w:pPr>
      <w:bookmarkStart w:id="5" w:name="_Toc233326210"/>
      <w:r>
        <w:rPr>
          <w:rFonts w:ascii="Arial" w:hAnsi="Arial" w:cs="Arial"/>
          <w:color w:val="1F4E79"/>
          <w:sz w:val="25"/>
        </w:rPr>
        <w:t>2.3 Objectives and USP</w:t>
      </w:r>
      <w:bookmarkEnd w:id="5"/>
    </w:p>
    <w:p w14:paraId="577EF040" w14:textId="77777777" w:rsidR="00593108" w:rsidRPr="009A33A5" w:rsidRDefault="00593108" w:rsidP="00334845">
      <w:pPr>
        <w:spacing w:after="120" w:line="360" w:lineRule="auto"/>
        <w:jc w:val="both"/>
        <w:rPr>
          <w:rFonts w:cs="Arial"/>
        </w:rPr>
      </w:pPr>
      <w:r>
        <w:rPr>
          <w:rFonts w:cs="Arial"/>
        </w:rPr>
        <w:t xml:space="preserve">The short-term goals of Greggs are to recover profits, maintain disciplined net openings, refresh the menu, expand delivery/apps, and execute the supply chain. This is positive, but the trading </w:t>
      </w:r>
      <w:r w:rsidRPr="009A33A5">
        <w:rPr>
          <w:rFonts w:cs="Arial"/>
        </w:rPr>
        <w:t>update from May 2026 indicated that cost and Derby ramp-up pressures meant that the objective was not about just sales growth, as GBP800 million in sales were achieved in the first 19 weeks, while company-managed shops grew 2.5% and the most recent 10 weeks grew by 3.3% (Greggs plc, 2026b; Reuters, 2026).</w:t>
      </w:r>
    </w:p>
    <w:p w14:paraId="3D84294A" w14:textId="77777777" w:rsidR="00593108" w:rsidRPr="00334845" w:rsidRDefault="00593108" w:rsidP="00334845">
      <w:pPr>
        <w:spacing w:after="120" w:line="360" w:lineRule="auto"/>
        <w:jc w:val="both"/>
        <w:rPr>
          <w:rFonts w:cs="Arial"/>
        </w:rPr>
      </w:pPr>
      <w:r w:rsidRPr="009A33A5">
        <w:rPr>
          <w:rFonts w:cs="Arial"/>
        </w:rPr>
        <w:t xml:space="preserve">The long-term targets are to continue to move past 3,000 shops, expand into underserved catchments, increase digital loyalty, and press the evening mission and food-to-go market share. Greggs' USP is affordable, known and convenient food on a national scale. The downside to this USP is the lack of perceived value to a low price, which means that Greggs needs to drive value from their products through productivity, high sales density and optimisation of the supply </w:t>
      </w:r>
      <w:r>
        <w:rPr>
          <w:rFonts w:cs="Arial"/>
        </w:rPr>
        <w:t>chain rather than simply ramping up their prices (Greggs plc, 2026a; Porter, 1985).</w:t>
      </w:r>
    </w:p>
    <w:p w14:paraId="49BD7C4D" w14:textId="49E4D50E" w:rsidR="00FE356E" w:rsidRPr="00334845" w:rsidRDefault="00823F54" w:rsidP="00334845">
      <w:pPr>
        <w:pStyle w:val="Heading2"/>
        <w:spacing w:before="100" w:after="80" w:line="360" w:lineRule="auto"/>
        <w:jc w:val="both"/>
        <w:rPr>
          <w:rFonts w:ascii="Arial" w:hAnsi="Arial" w:cs="Arial"/>
        </w:rPr>
      </w:pPr>
      <w:bookmarkStart w:id="6" w:name="_Toc233326211"/>
      <w:r>
        <w:rPr>
          <w:rFonts w:ascii="Arial" w:hAnsi="Arial" w:cs="Arial"/>
          <w:color w:val="1F4E79"/>
          <w:sz w:val="25"/>
        </w:rPr>
        <w:t>Figure 1: customer value pathway</w:t>
      </w:r>
      <w:bookmarkEnd w:id="6"/>
    </w:p>
    <w:tbl>
      <w:tblPr>
        <w:tblW w:w="0" w:type="auto"/>
        <w:jc w:val="center"/>
        <w:tblBorders>
          <w:top w:val="single" w:sz="8" w:space="0" w:color="8EAADB"/>
          <w:left w:val="single" w:sz="8" w:space="0" w:color="8EAADB"/>
          <w:bottom w:val="single" w:sz="8" w:space="0" w:color="8EAADB"/>
          <w:right w:val="single" w:sz="8" w:space="0" w:color="8EAADB"/>
          <w:insideH w:val="single" w:sz="8" w:space="0" w:color="8EAADB"/>
          <w:insideV w:val="single" w:sz="8" w:space="0" w:color="8EAADB"/>
        </w:tblBorders>
        <w:shd w:val="clear" w:color="auto" w:fill="D99594" w:themeFill="accent2" w:themeFillTint="99"/>
        <w:tblLook w:val="04A0" w:firstRow="1" w:lastRow="0" w:firstColumn="1" w:lastColumn="0" w:noHBand="0" w:noVBand="1"/>
      </w:tblPr>
      <w:tblGrid>
        <w:gridCol w:w="1935"/>
        <w:gridCol w:w="716"/>
        <w:gridCol w:w="1740"/>
        <w:gridCol w:w="905"/>
        <w:gridCol w:w="1908"/>
        <w:gridCol w:w="653"/>
        <w:gridCol w:w="1641"/>
      </w:tblGrid>
      <w:tr w:rsidR="00FE356E" w:rsidRPr="009A33A5" w14:paraId="3E8A8D50" w14:textId="77777777" w:rsidTr="009A33A5">
        <w:trPr>
          <w:jc w:val="center"/>
        </w:trPr>
        <w:tc>
          <w:tcPr>
            <w:tcW w:w="1981" w:type="dxa"/>
            <w:shd w:val="clear" w:color="auto" w:fill="D99594" w:themeFill="accent2" w:themeFillTint="99"/>
          </w:tcPr>
          <w:p w14:paraId="05567DC1" w14:textId="77777777" w:rsidR="00FE356E" w:rsidRPr="009A33A5" w:rsidRDefault="00823F54" w:rsidP="00334845">
            <w:pPr>
              <w:spacing w:after="0" w:line="360" w:lineRule="auto"/>
              <w:jc w:val="both"/>
              <w:rPr>
                <w:rFonts w:cs="Arial"/>
                <w:sz w:val="18"/>
                <w:szCs w:val="18"/>
              </w:rPr>
            </w:pPr>
            <w:r w:rsidRPr="009A33A5">
              <w:rPr>
                <w:rFonts w:cs="Arial"/>
                <w:b/>
                <w:sz w:val="18"/>
                <w:szCs w:val="18"/>
              </w:rPr>
              <w:t>Customer need</w:t>
            </w:r>
            <w:r w:rsidRPr="009A33A5">
              <w:rPr>
                <w:rFonts w:cs="Arial"/>
                <w:b/>
                <w:sz w:val="18"/>
                <w:szCs w:val="18"/>
              </w:rPr>
              <w:br/>
              <w:t>Affordable, quick, reliable food</w:t>
            </w:r>
          </w:p>
        </w:tc>
        <w:tc>
          <w:tcPr>
            <w:tcW w:w="739" w:type="dxa"/>
            <w:shd w:val="clear" w:color="auto" w:fill="D99594" w:themeFill="accent2" w:themeFillTint="99"/>
          </w:tcPr>
          <w:p w14:paraId="6222F82E" w14:textId="77777777" w:rsidR="00FE356E" w:rsidRPr="009A33A5" w:rsidRDefault="00823F54" w:rsidP="00334845">
            <w:pPr>
              <w:spacing w:after="0" w:line="360" w:lineRule="auto"/>
              <w:jc w:val="both"/>
              <w:rPr>
                <w:rFonts w:cs="Arial"/>
                <w:sz w:val="18"/>
                <w:szCs w:val="18"/>
              </w:rPr>
            </w:pPr>
            <w:r w:rsidRPr="009A33A5">
              <w:rPr>
                <w:rFonts w:cs="Arial"/>
                <w:sz w:val="18"/>
                <w:szCs w:val="18"/>
              </w:rPr>
              <w:t>-&gt;</w:t>
            </w:r>
          </w:p>
        </w:tc>
        <w:tc>
          <w:tcPr>
            <w:tcW w:w="1781" w:type="dxa"/>
            <w:shd w:val="clear" w:color="auto" w:fill="D99594" w:themeFill="accent2" w:themeFillTint="99"/>
          </w:tcPr>
          <w:p w14:paraId="7297D6D9" w14:textId="77777777" w:rsidR="00FE356E" w:rsidRPr="009A33A5" w:rsidRDefault="00823F54" w:rsidP="00334845">
            <w:pPr>
              <w:spacing w:after="0" w:line="360" w:lineRule="auto"/>
              <w:jc w:val="both"/>
              <w:rPr>
                <w:rFonts w:cs="Arial"/>
                <w:sz w:val="18"/>
                <w:szCs w:val="18"/>
              </w:rPr>
            </w:pPr>
            <w:proofErr w:type="gramStart"/>
            <w:r w:rsidRPr="009A33A5">
              <w:rPr>
                <w:rFonts w:cs="Arial"/>
                <w:b/>
                <w:sz w:val="18"/>
                <w:szCs w:val="18"/>
              </w:rPr>
              <w:t>Greggs</w:t>
            </w:r>
            <w:proofErr w:type="gramEnd"/>
            <w:r w:rsidRPr="009A33A5">
              <w:rPr>
                <w:rFonts w:cs="Arial"/>
                <w:b/>
                <w:sz w:val="18"/>
                <w:szCs w:val="18"/>
              </w:rPr>
              <w:t xml:space="preserve"> capability</w:t>
            </w:r>
            <w:r w:rsidRPr="009A33A5">
              <w:rPr>
                <w:rFonts w:cs="Arial"/>
                <w:b/>
                <w:sz w:val="18"/>
                <w:szCs w:val="18"/>
              </w:rPr>
              <w:br/>
              <w:t xml:space="preserve">Scale, shops, </w:t>
            </w:r>
            <w:r w:rsidRPr="009A33A5">
              <w:rPr>
                <w:rFonts w:cs="Arial"/>
                <w:b/>
                <w:sz w:val="18"/>
                <w:szCs w:val="18"/>
              </w:rPr>
              <w:lastRenderedPageBreak/>
              <w:t>app, logistics, partners</w:t>
            </w:r>
          </w:p>
        </w:tc>
        <w:tc>
          <w:tcPr>
            <w:tcW w:w="939" w:type="dxa"/>
            <w:shd w:val="clear" w:color="auto" w:fill="D99594" w:themeFill="accent2" w:themeFillTint="99"/>
          </w:tcPr>
          <w:p w14:paraId="461A3061" w14:textId="77777777" w:rsidR="00FE356E" w:rsidRPr="009A33A5" w:rsidRDefault="00823F54" w:rsidP="00334845">
            <w:pPr>
              <w:spacing w:after="0" w:line="360" w:lineRule="auto"/>
              <w:jc w:val="both"/>
              <w:rPr>
                <w:rFonts w:cs="Arial"/>
                <w:sz w:val="18"/>
                <w:szCs w:val="18"/>
              </w:rPr>
            </w:pPr>
            <w:r w:rsidRPr="009A33A5">
              <w:rPr>
                <w:rFonts w:cs="Arial"/>
                <w:sz w:val="18"/>
                <w:szCs w:val="18"/>
              </w:rPr>
              <w:lastRenderedPageBreak/>
              <w:t>-&gt;</w:t>
            </w:r>
          </w:p>
        </w:tc>
        <w:tc>
          <w:tcPr>
            <w:tcW w:w="1941" w:type="dxa"/>
            <w:shd w:val="clear" w:color="auto" w:fill="D99594" w:themeFill="accent2" w:themeFillTint="99"/>
          </w:tcPr>
          <w:p w14:paraId="75BEC24A" w14:textId="77777777" w:rsidR="00FE356E" w:rsidRPr="009A33A5" w:rsidRDefault="00823F54" w:rsidP="00334845">
            <w:pPr>
              <w:spacing w:after="0" w:line="360" w:lineRule="auto"/>
              <w:jc w:val="both"/>
              <w:rPr>
                <w:rFonts w:cs="Arial"/>
                <w:sz w:val="18"/>
                <w:szCs w:val="18"/>
              </w:rPr>
            </w:pPr>
            <w:r w:rsidRPr="009A33A5">
              <w:rPr>
                <w:rFonts w:cs="Arial"/>
                <w:b/>
                <w:sz w:val="18"/>
                <w:szCs w:val="18"/>
              </w:rPr>
              <w:t>Customer value</w:t>
            </w:r>
            <w:r w:rsidRPr="009A33A5">
              <w:rPr>
                <w:rFonts w:cs="Arial"/>
                <w:b/>
                <w:sz w:val="18"/>
                <w:szCs w:val="18"/>
              </w:rPr>
              <w:br/>
              <w:t xml:space="preserve">Value, </w:t>
            </w:r>
            <w:r w:rsidRPr="009A33A5">
              <w:rPr>
                <w:rFonts w:cs="Arial"/>
                <w:b/>
                <w:sz w:val="18"/>
                <w:szCs w:val="18"/>
              </w:rPr>
              <w:lastRenderedPageBreak/>
              <w:t>convenience, familiarity</w:t>
            </w:r>
          </w:p>
        </w:tc>
        <w:tc>
          <w:tcPr>
            <w:tcW w:w="672" w:type="dxa"/>
            <w:shd w:val="clear" w:color="auto" w:fill="D99594" w:themeFill="accent2" w:themeFillTint="99"/>
          </w:tcPr>
          <w:p w14:paraId="323094E8" w14:textId="77777777" w:rsidR="00FE356E" w:rsidRPr="009A33A5" w:rsidRDefault="00823F54" w:rsidP="00334845">
            <w:pPr>
              <w:spacing w:after="0" w:line="360" w:lineRule="auto"/>
              <w:jc w:val="both"/>
              <w:rPr>
                <w:rFonts w:cs="Arial"/>
                <w:sz w:val="18"/>
                <w:szCs w:val="18"/>
              </w:rPr>
            </w:pPr>
            <w:r w:rsidRPr="009A33A5">
              <w:rPr>
                <w:rFonts w:cs="Arial"/>
                <w:sz w:val="18"/>
                <w:szCs w:val="18"/>
              </w:rPr>
              <w:lastRenderedPageBreak/>
              <w:t>-&gt;</w:t>
            </w:r>
          </w:p>
        </w:tc>
        <w:tc>
          <w:tcPr>
            <w:tcW w:w="1668" w:type="dxa"/>
            <w:shd w:val="clear" w:color="auto" w:fill="D99594" w:themeFill="accent2" w:themeFillTint="99"/>
          </w:tcPr>
          <w:p w14:paraId="0CCD6439" w14:textId="77777777" w:rsidR="00FE356E" w:rsidRPr="009A33A5" w:rsidRDefault="00823F54" w:rsidP="00334845">
            <w:pPr>
              <w:spacing w:after="0" w:line="360" w:lineRule="auto"/>
              <w:jc w:val="both"/>
              <w:rPr>
                <w:rFonts w:cs="Arial"/>
                <w:sz w:val="18"/>
                <w:szCs w:val="18"/>
              </w:rPr>
            </w:pPr>
            <w:r w:rsidRPr="009A33A5">
              <w:rPr>
                <w:rFonts w:cs="Arial"/>
                <w:b/>
                <w:sz w:val="18"/>
                <w:szCs w:val="18"/>
              </w:rPr>
              <w:t>Business outcome</w:t>
            </w:r>
            <w:r w:rsidRPr="009A33A5">
              <w:rPr>
                <w:rFonts w:cs="Arial"/>
                <w:b/>
                <w:sz w:val="18"/>
                <w:szCs w:val="18"/>
              </w:rPr>
              <w:br/>
              <w:t xml:space="preserve">Frequency, </w:t>
            </w:r>
            <w:r w:rsidRPr="009A33A5">
              <w:rPr>
                <w:rFonts w:cs="Arial"/>
                <w:b/>
                <w:sz w:val="18"/>
                <w:szCs w:val="18"/>
              </w:rPr>
              <w:lastRenderedPageBreak/>
              <w:t>share, cash generation</w:t>
            </w:r>
          </w:p>
        </w:tc>
      </w:tr>
    </w:tbl>
    <w:p w14:paraId="645C0F26" w14:textId="1E554FD8" w:rsidR="00FE356E" w:rsidRPr="00334845" w:rsidRDefault="00823F54" w:rsidP="00334845">
      <w:pPr>
        <w:pStyle w:val="Caption"/>
        <w:spacing w:after="120" w:line="360" w:lineRule="auto"/>
        <w:jc w:val="both"/>
        <w:rPr>
          <w:rFonts w:cs="Arial"/>
        </w:rPr>
      </w:pPr>
      <w:r>
        <w:rPr>
          <w:rFonts w:cs="Arial"/>
          <w:b w:val="0"/>
          <w:i/>
        </w:rPr>
        <w:lastRenderedPageBreak/>
        <w:t xml:space="preserve">Figure 1: Customer value pathway for Greggs </w:t>
      </w:r>
    </w:p>
    <w:p w14:paraId="3ABE23E2" w14:textId="77777777" w:rsidR="00FE356E" w:rsidRPr="00334845" w:rsidRDefault="00823F54" w:rsidP="00334845">
      <w:pPr>
        <w:pStyle w:val="Heading1"/>
        <w:spacing w:before="180" w:after="80" w:line="360" w:lineRule="auto"/>
        <w:jc w:val="both"/>
        <w:rPr>
          <w:rFonts w:ascii="Arial" w:hAnsi="Arial" w:cs="Arial"/>
        </w:rPr>
      </w:pPr>
      <w:bookmarkStart w:id="7" w:name="_Toc233326212"/>
      <w:r>
        <w:rPr>
          <w:rFonts w:ascii="Arial" w:hAnsi="Arial" w:cs="Arial"/>
          <w:color w:val="1F4E79"/>
        </w:rPr>
        <w:t>3. Element 2: Business Environment and Competitor Analysis</w:t>
      </w:r>
      <w:bookmarkEnd w:id="7"/>
    </w:p>
    <w:p w14:paraId="76BA896B" w14:textId="2174C1EF" w:rsidR="00593108" w:rsidRPr="00334845" w:rsidRDefault="00593108" w:rsidP="00334845">
      <w:pPr>
        <w:spacing w:after="120" w:line="360" w:lineRule="auto"/>
        <w:jc w:val="both"/>
        <w:rPr>
          <w:rFonts w:cs="Arial"/>
        </w:rPr>
      </w:pPr>
      <w:r>
        <w:rPr>
          <w:rFonts w:cs="Arial"/>
        </w:rPr>
        <w:t>In the food-to-go segment, Greggs is operating in a value-driven niche with greater convenience and product variety demanded by customers and wage, energy, food and property cost pressures faced by Greggs operators. Total Food to Go visits decreased, but Greggs' Food to Go visit share was up to 8.6% in 2025, indicating competitive resilience. However, share gain in a less strong market also means that there is a need to face takeovers from competitors and create new opportunities for growth (Greggs plc, 2026a; Greggs plc, 2026d).</w:t>
      </w:r>
    </w:p>
    <w:tbl>
      <w:tblPr>
        <w:tblStyle w:val="PlainTable5"/>
        <w:tblW w:w="0" w:type="auto"/>
        <w:tblLook w:val="04A0" w:firstRow="1" w:lastRow="0" w:firstColumn="1" w:lastColumn="0" w:noHBand="0" w:noVBand="1"/>
      </w:tblPr>
      <w:tblGrid>
        <w:gridCol w:w="2628"/>
        <w:gridCol w:w="6890"/>
      </w:tblGrid>
      <w:tr w:rsidR="00FE356E" w:rsidRPr="009A33A5" w14:paraId="0447B4CD"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28" w:type="dxa"/>
          </w:tcPr>
          <w:p w14:paraId="06CFE117" w14:textId="77777777" w:rsidR="00FE356E" w:rsidRPr="009A33A5" w:rsidRDefault="00823F54" w:rsidP="00334845">
            <w:pPr>
              <w:spacing w:line="360" w:lineRule="auto"/>
              <w:jc w:val="both"/>
              <w:rPr>
                <w:rFonts w:cs="Arial"/>
                <w:sz w:val="20"/>
                <w:szCs w:val="20"/>
              </w:rPr>
            </w:pPr>
            <w:r w:rsidRPr="009A33A5">
              <w:rPr>
                <w:rFonts w:cs="Arial"/>
                <w:b/>
                <w:sz w:val="20"/>
                <w:szCs w:val="20"/>
              </w:rPr>
              <w:t>SWOT area</w:t>
            </w:r>
          </w:p>
        </w:tc>
        <w:tc>
          <w:tcPr>
            <w:tcW w:w="6890" w:type="dxa"/>
          </w:tcPr>
          <w:p w14:paraId="6FFAD198"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b/>
                <w:sz w:val="20"/>
                <w:szCs w:val="20"/>
              </w:rPr>
              <w:t>Critical analysis</w:t>
            </w:r>
          </w:p>
        </w:tc>
      </w:tr>
      <w:tr w:rsidR="00FE356E" w:rsidRPr="009A33A5" w14:paraId="4609B2B9"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4DEFC442" w14:textId="77777777" w:rsidR="00FE356E" w:rsidRPr="009A33A5" w:rsidRDefault="00823F54" w:rsidP="00334845">
            <w:pPr>
              <w:spacing w:line="360" w:lineRule="auto"/>
              <w:jc w:val="both"/>
              <w:rPr>
                <w:rFonts w:cs="Arial"/>
                <w:sz w:val="20"/>
                <w:szCs w:val="20"/>
              </w:rPr>
            </w:pPr>
            <w:r w:rsidRPr="009A33A5">
              <w:rPr>
                <w:rFonts w:cs="Arial"/>
                <w:sz w:val="20"/>
                <w:szCs w:val="20"/>
              </w:rPr>
              <w:t>Strengths</w:t>
            </w:r>
          </w:p>
        </w:tc>
        <w:tc>
          <w:tcPr>
            <w:tcW w:w="6890" w:type="dxa"/>
          </w:tcPr>
          <w:p w14:paraId="02490321"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Greggs has a high-trust UK value brand, national convenience, vertical integration, large cash-generating estate, app engagement and proven ability to enter alternative locations. The strategic strength is system efficiency, not just the sausage roll brand (</w:t>
            </w:r>
            <w:proofErr w:type="gramStart"/>
            <w:r w:rsidRPr="009A33A5">
              <w:rPr>
                <w:rFonts w:cs="Arial"/>
                <w:sz w:val="20"/>
                <w:szCs w:val="20"/>
              </w:rPr>
              <w:t>Greggs</w:t>
            </w:r>
            <w:proofErr w:type="gramEnd"/>
            <w:r w:rsidRPr="009A33A5">
              <w:rPr>
                <w:rFonts w:cs="Arial"/>
                <w:sz w:val="20"/>
                <w:szCs w:val="20"/>
              </w:rPr>
              <w:t xml:space="preserve"> plc, 2026a; Barney, 1991).</w:t>
            </w:r>
          </w:p>
        </w:tc>
      </w:tr>
      <w:tr w:rsidR="00FE356E" w:rsidRPr="009A33A5" w14:paraId="1061A004" w14:textId="77777777" w:rsidTr="009A33A5">
        <w:tc>
          <w:tcPr>
            <w:cnfStyle w:val="001000000000" w:firstRow="0" w:lastRow="0" w:firstColumn="1" w:lastColumn="0" w:oddVBand="0" w:evenVBand="0" w:oddHBand="0" w:evenHBand="0" w:firstRowFirstColumn="0" w:firstRowLastColumn="0" w:lastRowFirstColumn="0" w:lastRowLastColumn="0"/>
            <w:tcW w:w="2628" w:type="dxa"/>
          </w:tcPr>
          <w:p w14:paraId="7D1A43B7" w14:textId="77777777" w:rsidR="00FE356E" w:rsidRPr="009A33A5" w:rsidRDefault="00823F54" w:rsidP="00334845">
            <w:pPr>
              <w:spacing w:line="360" w:lineRule="auto"/>
              <w:jc w:val="both"/>
              <w:rPr>
                <w:rFonts w:cs="Arial"/>
                <w:sz w:val="20"/>
                <w:szCs w:val="20"/>
              </w:rPr>
            </w:pPr>
            <w:r w:rsidRPr="009A33A5">
              <w:rPr>
                <w:rFonts w:cs="Arial"/>
                <w:sz w:val="20"/>
                <w:szCs w:val="20"/>
              </w:rPr>
              <w:t>Weaknesses</w:t>
            </w:r>
          </w:p>
        </w:tc>
        <w:tc>
          <w:tcPr>
            <w:tcW w:w="6890" w:type="dxa"/>
          </w:tcPr>
          <w:p w14:paraId="73A4B285"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Profit conversion weakened in 2025 despite sales growth, showing sensitivity to fixed costs, labour, food inflation and capital investment. Heavy UK exposure also limits geographic diversification and increases dependence on domestic consumer confidence (</w:t>
            </w:r>
            <w:proofErr w:type="gramStart"/>
            <w:r w:rsidRPr="009A33A5">
              <w:rPr>
                <w:rFonts w:cs="Arial"/>
                <w:sz w:val="20"/>
                <w:szCs w:val="20"/>
              </w:rPr>
              <w:t>Greggs</w:t>
            </w:r>
            <w:proofErr w:type="gramEnd"/>
            <w:r w:rsidRPr="009A33A5">
              <w:rPr>
                <w:rFonts w:cs="Arial"/>
                <w:sz w:val="20"/>
                <w:szCs w:val="20"/>
              </w:rPr>
              <w:t xml:space="preserve"> plc, 2026a).</w:t>
            </w:r>
          </w:p>
        </w:tc>
      </w:tr>
      <w:tr w:rsidR="00FE356E" w:rsidRPr="009A33A5" w14:paraId="10F1DC5E"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0C446B22" w14:textId="77777777" w:rsidR="00FE356E" w:rsidRPr="009A33A5" w:rsidRDefault="00823F54" w:rsidP="00334845">
            <w:pPr>
              <w:spacing w:line="360" w:lineRule="auto"/>
              <w:jc w:val="both"/>
              <w:rPr>
                <w:rFonts w:cs="Arial"/>
                <w:sz w:val="20"/>
                <w:szCs w:val="20"/>
              </w:rPr>
            </w:pPr>
            <w:r w:rsidRPr="009A33A5">
              <w:rPr>
                <w:rFonts w:cs="Arial"/>
                <w:sz w:val="20"/>
                <w:szCs w:val="20"/>
              </w:rPr>
              <w:t>Opportunities</w:t>
            </w:r>
          </w:p>
        </w:tc>
        <w:tc>
          <w:tcPr>
            <w:tcW w:w="6890" w:type="dxa"/>
          </w:tcPr>
          <w:p w14:paraId="37CEBB3D"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Retail parks, roadsides, transport hubs, supermarkets, evening food, delivery, healthier options and app personalisation can increase reach. The critical test is incremental profitability rather than opening volume (</w:t>
            </w:r>
            <w:proofErr w:type="gramStart"/>
            <w:r w:rsidRPr="009A33A5">
              <w:rPr>
                <w:rFonts w:cs="Arial"/>
                <w:sz w:val="20"/>
                <w:szCs w:val="20"/>
              </w:rPr>
              <w:t>Greggs</w:t>
            </w:r>
            <w:proofErr w:type="gramEnd"/>
            <w:r w:rsidRPr="009A33A5">
              <w:rPr>
                <w:rFonts w:cs="Arial"/>
                <w:sz w:val="20"/>
                <w:szCs w:val="20"/>
              </w:rPr>
              <w:t xml:space="preserve"> plc, 2026b).</w:t>
            </w:r>
          </w:p>
        </w:tc>
      </w:tr>
      <w:tr w:rsidR="00FE356E" w:rsidRPr="009A33A5" w14:paraId="26E14F96" w14:textId="77777777" w:rsidTr="009A33A5">
        <w:tc>
          <w:tcPr>
            <w:cnfStyle w:val="001000000000" w:firstRow="0" w:lastRow="0" w:firstColumn="1" w:lastColumn="0" w:oddVBand="0" w:evenVBand="0" w:oddHBand="0" w:evenHBand="0" w:firstRowFirstColumn="0" w:firstRowLastColumn="0" w:lastRowFirstColumn="0" w:lastRowLastColumn="0"/>
            <w:tcW w:w="2628" w:type="dxa"/>
          </w:tcPr>
          <w:p w14:paraId="299FC762" w14:textId="77777777" w:rsidR="00FE356E" w:rsidRPr="009A33A5" w:rsidRDefault="00823F54" w:rsidP="00334845">
            <w:pPr>
              <w:spacing w:line="360" w:lineRule="auto"/>
              <w:jc w:val="both"/>
              <w:rPr>
                <w:rFonts w:cs="Arial"/>
                <w:sz w:val="20"/>
                <w:szCs w:val="20"/>
              </w:rPr>
            </w:pPr>
            <w:r w:rsidRPr="009A33A5">
              <w:rPr>
                <w:rFonts w:cs="Arial"/>
                <w:sz w:val="20"/>
                <w:szCs w:val="20"/>
              </w:rPr>
              <w:t>Threats</w:t>
            </w:r>
          </w:p>
        </w:tc>
        <w:tc>
          <w:tcPr>
            <w:tcW w:w="6890" w:type="dxa"/>
          </w:tcPr>
          <w:p w14:paraId="71B0CE25"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Tesco meal deals, McDonald’s breakfast/value menus, Pret quality positioning, Subway customisation, labour cost inflation and weaker footfall challenge the value proposition. These threats directly pressure both sales frequency and margin (Tesco, 2026; McDonalds UK, 2026).</w:t>
            </w:r>
          </w:p>
        </w:tc>
      </w:tr>
    </w:tbl>
    <w:p w14:paraId="2CB707EF" w14:textId="77777777" w:rsidR="00FE356E" w:rsidRPr="00334845" w:rsidRDefault="00823F54" w:rsidP="00334845">
      <w:pPr>
        <w:pStyle w:val="Caption"/>
        <w:spacing w:after="120" w:line="360" w:lineRule="auto"/>
        <w:jc w:val="both"/>
        <w:rPr>
          <w:rFonts w:cs="Arial"/>
        </w:rPr>
      </w:pPr>
      <w:r>
        <w:rPr>
          <w:rFonts w:cs="Arial"/>
          <w:b w:val="0"/>
          <w:i/>
        </w:rPr>
        <w:t>Table 3: SWOT analysis focused on strategic implications.</w:t>
      </w:r>
    </w:p>
    <w:p w14:paraId="0EB30F6B" w14:textId="41866817" w:rsidR="00143834" w:rsidRPr="009A33A5" w:rsidRDefault="00143834" w:rsidP="00334845">
      <w:pPr>
        <w:spacing w:after="120" w:line="360" w:lineRule="auto"/>
        <w:jc w:val="both"/>
        <w:rPr>
          <w:rFonts w:cs="Arial"/>
        </w:rPr>
      </w:pPr>
      <w:r w:rsidRPr="009A33A5">
        <w:rPr>
          <w:rFonts w:cs="Arial"/>
        </w:rPr>
        <w:t>The SWOT reveals that Greggs has a challenge to the quality of profits, not demand. If management has been evaluated based on shop openings and all sales, cannibalisation and channel-margin risk might be misjudged. A more robust business plan would assess and distinguish between headline and economic growth, defining the measure as contribution margin, labour productivity, waste, sales per shop and payback post-opening (Teece, 2007; Greggs plc, 2026a).</w:t>
      </w:r>
    </w:p>
    <w:tbl>
      <w:tblPr>
        <w:tblStyle w:val="PlainTable2"/>
        <w:tblW w:w="0" w:type="auto"/>
        <w:tblLook w:val="04A0" w:firstRow="1" w:lastRow="0" w:firstColumn="1" w:lastColumn="0" w:noHBand="0" w:noVBand="1"/>
      </w:tblPr>
      <w:tblGrid>
        <w:gridCol w:w="1818"/>
        <w:gridCol w:w="1440"/>
        <w:gridCol w:w="2160"/>
        <w:gridCol w:w="4098"/>
      </w:tblGrid>
      <w:tr w:rsidR="00FE356E" w:rsidRPr="009A33A5" w14:paraId="2376D0C9"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25915EBD" w14:textId="77777777" w:rsidR="00FE356E" w:rsidRPr="009A33A5" w:rsidRDefault="00823F54" w:rsidP="00334845">
            <w:pPr>
              <w:spacing w:line="360" w:lineRule="auto"/>
              <w:jc w:val="both"/>
              <w:rPr>
                <w:rFonts w:cs="Arial"/>
                <w:sz w:val="20"/>
                <w:szCs w:val="20"/>
              </w:rPr>
            </w:pPr>
            <w:r w:rsidRPr="009A33A5">
              <w:rPr>
                <w:rFonts w:cs="Arial"/>
                <w:sz w:val="20"/>
                <w:szCs w:val="20"/>
              </w:rPr>
              <w:lastRenderedPageBreak/>
              <w:t>Competitor</w:t>
            </w:r>
          </w:p>
        </w:tc>
        <w:tc>
          <w:tcPr>
            <w:tcW w:w="1440" w:type="dxa"/>
          </w:tcPr>
          <w:p w14:paraId="54EC49E2"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Type</w:t>
            </w:r>
          </w:p>
        </w:tc>
        <w:tc>
          <w:tcPr>
            <w:tcW w:w="2160" w:type="dxa"/>
          </w:tcPr>
          <w:p w14:paraId="07DB390C"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Why it matters</w:t>
            </w:r>
          </w:p>
        </w:tc>
        <w:tc>
          <w:tcPr>
            <w:tcW w:w="4098" w:type="dxa"/>
          </w:tcPr>
          <w:p w14:paraId="002841F4" w14:textId="77777777" w:rsidR="00FE356E" w:rsidRPr="009A33A5"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Critical comparison</w:t>
            </w:r>
          </w:p>
        </w:tc>
      </w:tr>
      <w:tr w:rsidR="00FE356E" w:rsidRPr="009A33A5" w14:paraId="7247931A"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203469C4" w14:textId="77777777" w:rsidR="00FE356E" w:rsidRPr="009A33A5" w:rsidRDefault="00823F54" w:rsidP="00334845">
            <w:pPr>
              <w:spacing w:line="360" w:lineRule="auto"/>
              <w:jc w:val="both"/>
              <w:rPr>
                <w:rFonts w:cs="Arial"/>
                <w:sz w:val="20"/>
                <w:szCs w:val="20"/>
              </w:rPr>
            </w:pPr>
            <w:r w:rsidRPr="009A33A5">
              <w:rPr>
                <w:rFonts w:cs="Arial"/>
                <w:sz w:val="20"/>
                <w:szCs w:val="20"/>
              </w:rPr>
              <w:t>Pret A Manger</w:t>
            </w:r>
          </w:p>
        </w:tc>
        <w:tc>
          <w:tcPr>
            <w:tcW w:w="1440" w:type="dxa"/>
          </w:tcPr>
          <w:p w14:paraId="15CA55A7"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Direct</w:t>
            </w:r>
          </w:p>
        </w:tc>
        <w:tc>
          <w:tcPr>
            <w:tcW w:w="2160" w:type="dxa"/>
          </w:tcPr>
          <w:p w14:paraId="0E44AC28"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Premium sandwiches, coffee, breakfast and office-worker food-to-go.</w:t>
            </w:r>
          </w:p>
        </w:tc>
        <w:tc>
          <w:tcPr>
            <w:tcW w:w="4098" w:type="dxa"/>
          </w:tcPr>
          <w:p w14:paraId="7B8D2EC1"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Pret can command higher price points and urban credibility; Greggs wins on value and wider national access but must avoid seeming low quality (Pret A Manger, 2026).</w:t>
            </w:r>
          </w:p>
        </w:tc>
      </w:tr>
      <w:tr w:rsidR="00FE356E" w:rsidRPr="009A33A5" w14:paraId="4323F843" w14:textId="77777777" w:rsidTr="009A33A5">
        <w:tc>
          <w:tcPr>
            <w:cnfStyle w:val="001000000000" w:firstRow="0" w:lastRow="0" w:firstColumn="1" w:lastColumn="0" w:oddVBand="0" w:evenVBand="0" w:oddHBand="0" w:evenHBand="0" w:firstRowFirstColumn="0" w:firstRowLastColumn="0" w:lastRowFirstColumn="0" w:lastRowLastColumn="0"/>
            <w:tcW w:w="1818" w:type="dxa"/>
          </w:tcPr>
          <w:p w14:paraId="3EE3495A" w14:textId="77777777" w:rsidR="00FE356E" w:rsidRPr="009A33A5" w:rsidRDefault="00823F54" w:rsidP="00334845">
            <w:pPr>
              <w:spacing w:line="360" w:lineRule="auto"/>
              <w:jc w:val="both"/>
              <w:rPr>
                <w:rFonts w:cs="Arial"/>
                <w:sz w:val="20"/>
                <w:szCs w:val="20"/>
              </w:rPr>
            </w:pPr>
            <w:r w:rsidRPr="009A33A5">
              <w:rPr>
                <w:rFonts w:cs="Arial"/>
                <w:sz w:val="20"/>
                <w:szCs w:val="20"/>
              </w:rPr>
              <w:t>Subway</w:t>
            </w:r>
          </w:p>
        </w:tc>
        <w:tc>
          <w:tcPr>
            <w:tcW w:w="1440" w:type="dxa"/>
          </w:tcPr>
          <w:p w14:paraId="3081D3BE"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Direct</w:t>
            </w:r>
          </w:p>
        </w:tc>
        <w:tc>
          <w:tcPr>
            <w:tcW w:w="2160" w:type="dxa"/>
          </w:tcPr>
          <w:p w14:paraId="7FA4F5E3"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Customisable sandwiches, wraps, salads and delivery.</w:t>
            </w:r>
          </w:p>
        </w:tc>
        <w:tc>
          <w:tcPr>
            <w:tcW w:w="4098" w:type="dxa"/>
          </w:tcPr>
          <w:p w14:paraId="767A0BCF"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Subway competes on personalisation and health/protein choices; Greggs is faster but less customisable (Subway, 2026).</w:t>
            </w:r>
          </w:p>
        </w:tc>
      </w:tr>
      <w:tr w:rsidR="00FE356E" w:rsidRPr="009A33A5" w14:paraId="53DC2CE3"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55F80A1D" w14:textId="77777777" w:rsidR="00FE356E" w:rsidRPr="009A33A5" w:rsidRDefault="00823F54" w:rsidP="00334845">
            <w:pPr>
              <w:spacing w:line="360" w:lineRule="auto"/>
              <w:jc w:val="both"/>
              <w:rPr>
                <w:rFonts w:cs="Arial"/>
                <w:sz w:val="20"/>
                <w:szCs w:val="20"/>
              </w:rPr>
            </w:pPr>
            <w:r w:rsidRPr="009A33A5">
              <w:rPr>
                <w:rFonts w:cs="Arial"/>
                <w:sz w:val="20"/>
                <w:szCs w:val="20"/>
              </w:rPr>
              <w:t>McDonald’s</w:t>
            </w:r>
          </w:p>
        </w:tc>
        <w:tc>
          <w:tcPr>
            <w:tcW w:w="1440" w:type="dxa"/>
          </w:tcPr>
          <w:p w14:paraId="27A8EA54"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Indirect/direct</w:t>
            </w:r>
          </w:p>
        </w:tc>
        <w:tc>
          <w:tcPr>
            <w:tcW w:w="2160" w:type="dxa"/>
          </w:tcPr>
          <w:p w14:paraId="163272A8"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Breakfast, coffee, saver products, delivery and evening meals.</w:t>
            </w:r>
          </w:p>
        </w:tc>
        <w:tc>
          <w:tcPr>
            <w:tcW w:w="4098" w:type="dxa"/>
          </w:tcPr>
          <w:p w14:paraId="28655E37" w14:textId="77777777" w:rsidR="00FE356E" w:rsidRPr="009A33A5"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McDonald’s pressures Greggs beyond lunch and snacks, especially through app scale and evening trading (McDonalds UK, 2026).</w:t>
            </w:r>
          </w:p>
        </w:tc>
      </w:tr>
      <w:tr w:rsidR="00FE356E" w:rsidRPr="009A33A5" w14:paraId="2A1C57A4" w14:textId="77777777" w:rsidTr="009A33A5">
        <w:tc>
          <w:tcPr>
            <w:cnfStyle w:val="001000000000" w:firstRow="0" w:lastRow="0" w:firstColumn="1" w:lastColumn="0" w:oddVBand="0" w:evenVBand="0" w:oddHBand="0" w:evenHBand="0" w:firstRowFirstColumn="0" w:firstRowLastColumn="0" w:lastRowFirstColumn="0" w:lastRowLastColumn="0"/>
            <w:tcW w:w="1818" w:type="dxa"/>
          </w:tcPr>
          <w:p w14:paraId="40B2D030" w14:textId="77777777" w:rsidR="00FE356E" w:rsidRPr="009A33A5" w:rsidRDefault="00823F54" w:rsidP="00334845">
            <w:pPr>
              <w:spacing w:line="360" w:lineRule="auto"/>
              <w:jc w:val="both"/>
              <w:rPr>
                <w:rFonts w:cs="Arial"/>
                <w:sz w:val="20"/>
                <w:szCs w:val="20"/>
              </w:rPr>
            </w:pPr>
            <w:r w:rsidRPr="009A33A5">
              <w:rPr>
                <w:rFonts w:cs="Arial"/>
                <w:sz w:val="20"/>
                <w:szCs w:val="20"/>
              </w:rPr>
              <w:t>Tesco meal deals</w:t>
            </w:r>
          </w:p>
        </w:tc>
        <w:tc>
          <w:tcPr>
            <w:tcW w:w="1440" w:type="dxa"/>
          </w:tcPr>
          <w:p w14:paraId="26E9A578"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Indirect</w:t>
            </w:r>
          </w:p>
        </w:tc>
        <w:tc>
          <w:tcPr>
            <w:tcW w:w="2160" w:type="dxa"/>
          </w:tcPr>
          <w:p w14:paraId="6C7DB2E0"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Low-cost lunch bundle and supermarket convenience.</w:t>
            </w:r>
          </w:p>
        </w:tc>
        <w:tc>
          <w:tcPr>
            <w:tcW w:w="4098" w:type="dxa"/>
          </w:tcPr>
          <w:p w14:paraId="2D4423C0" w14:textId="77777777" w:rsidR="00FE356E" w:rsidRPr="009A33A5"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Tesco anchors customer expectations for lunch value; Greggs must justify price through hot food, freshness and speed (Tesco, 2026).</w:t>
            </w:r>
          </w:p>
        </w:tc>
      </w:tr>
    </w:tbl>
    <w:p w14:paraId="1C5AEEB8" w14:textId="77777777" w:rsidR="00FE356E" w:rsidRPr="00334845" w:rsidRDefault="00823F54" w:rsidP="00334845">
      <w:pPr>
        <w:pStyle w:val="Caption"/>
        <w:spacing w:after="120" w:line="360" w:lineRule="auto"/>
        <w:jc w:val="both"/>
        <w:rPr>
          <w:rFonts w:cs="Arial"/>
        </w:rPr>
      </w:pPr>
      <w:r>
        <w:rPr>
          <w:rFonts w:cs="Arial"/>
          <w:b w:val="0"/>
          <w:i/>
        </w:rPr>
        <w:t>Table 4: Competitor analysis: two direct and two indirect competitors.</w:t>
      </w:r>
    </w:p>
    <w:p w14:paraId="053C233D" w14:textId="06FDFFC4" w:rsidR="006E3117" w:rsidRDefault="006E3117" w:rsidP="00334845">
      <w:pPr>
        <w:spacing w:after="120" w:line="360" w:lineRule="auto"/>
        <w:jc w:val="both"/>
        <w:rPr>
          <w:rFonts w:cs="Arial"/>
        </w:rPr>
      </w:pPr>
      <w:r>
        <w:rPr>
          <w:rFonts w:cs="Arial"/>
        </w:rPr>
        <w:t>This competitor set demonstrates that Greggs will defend against competitive products and against some alternative customer missions. Pret's attack is freshness and convenience; Subway's attack is customisation and a healthier choice; McDonald's attack is breakfast and evening meals, and Tesco meal deals attack everyday value and price expectations for lunch. Greggs' best answer is not to copy its competitors, as this might water down its simple, quick and budget-friendly brand image. Rather, Greggs must build their own system – quick service, value-based pricing, store access, app-based customer information and efficient operations and very carefully streamlined product innovation which enhances choice without adding unnecessary complexity (Kotler, Keller and Chernev, 2022; Porter, 1985).</w:t>
      </w:r>
    </w:p>
    <w:p w14:paraId="5949A57E" w14:textId="795EC1D0" w:rsidR="009A33A5" w:rsidRDefault="009A33A5" w:rsidP="00334845">
      <w:pPr>
        <w:spacing w:after="120" w:line="360" w:lineRule="auto"/>
        <w:jc w:val="both"/>
        <w:rPr>
          <w:rFonts w:cs="Arial"/>
        </w:rPr>
      </w:pPr>
    </w:p>
    <w:p w14:paraId="433E501C" w14:textId="77777777" w:rsidR="009A33A5" w:rsidRPr="00334845" w:rsidRDefault="009A33A5" w:rsidP="00334845">
      <w:pPr>
        <w:spacing w:after="120" w:line="360" w:lineRule="auto"/>
        <w:jc w:val="both"/>
        <w:rPr>
          <w:rFonts w:cs="Arial"/>
        </w:rPr>
      </w:pPr>
    </w:p>
    <w:p w14:paraId="33281898" w14:textId="77777777" w:rsidR="008A49FF" w:rsidRPr="00A80F30" w:rsidRDefault="008A49FF" w:rsidP="00334845">
      <w:pPr>
        <w:pStyle w:val="Heading1"/>
        <w:spacing w:before="200" w:after="80" w:line="360" w:lineRule="auto"/>
        <w:jc w:val="both"/>
        <w:rPr>
          <w:rFonts w:ascii="Arial" w:hAnsi="Arial" w:cs="Arial"/>
          <w:sz w:val="24"/>
          <w:szCs w:val="24"/>
        </w:rPr>
      </w:pPr>
      <w:bookmarkStart w:id="8" w:name="_Toc233326213"/>
      <w:r w:rsidRPr="00A80F30">
        <w:rPr>
          <w:rFonts w:ascii="Arial" w:hAnsi="Arial" w:cs="Arial"/>
          <w:color w:val="1F4E79"/>
          <w:sz w:val="24"/>
          <w:szCs w:val="24"/>
        </w:rPr>
        <w:t>4. Element 3: 4Ps, Market Segmentation and Marketing Strategies</w:t>
      </w:r>
      <w:bookmarkEnd w:id="8"/>
    </w:p>
    <w:p w14:paraId="24445F81" w14:textId="77777777" w:rsidR="008A49FF" w:rsidRPr="00A80F30" w:rsidRDefault="008A49FF" w:rsidP="00334845">
      <w:pPr>
        <w:pStyle w:val="Heading2"/>
        <w:spacing w:before="120" w:after="80" w:line="360" w:lineRule="auto"/>
        <w:jc w:val="both"/>
        <w:rPr>
          <w:rFonts w:ascii="Arial" w:hAnsi="Arial" w:cs="Arial"/>
          <w:sz w:val="24"/>
          <w:szCs w:val="24"/>
        </w:rPr>
      </w:pPr>
      <w:bookmarkStart w:id="9" w:name="_Toc233326214"/>
      <w:r w:rsidRPr="00A80F30">
        <w:rPr>
          <w:rFonts w:ascii="Arial" w:hAnsi="Arial" w:cs="Arial"/>
          <w:color w:val="1F4E79"/>
          <w:sz w:val="24"/>
          <w:szCs w:val="24"/>
        </w:rPr>
        <w:t>4.1 Market segmentation</w:t>
      </w:r>
      <w:bookmarkEnd w:id="9"/>
    </w:p>
    <w:p w14:paraId="263F60AC" w14:textId="484A540F" w:rsidR="00F418DA" w:rsidRPr="00A80F30" w:rsidRDefault="00F418DA" w:rsidP="00334845">
      <w:pPr>
        <w:spacing w:after="120" w:line="360" w:lineRule="auto"/>
        <w:jc w:val="both"/>
        <w:rPr>
          <w:rFonts w:cs="Arial"/>
          <w:szCs w:val="24"/>
        </w:rPr>
      </w:pPr>
      <w:r w:rsidRPr="00A80F30">
        <w:rPr>
          <w:rFonts w:cs="Arial"/>
          <w:szCs w:val="24"/>
        </w:rPr>
        <w:t xml:space="preserve">Greggs is not targeting a niche market </w:t>
      </w:r>
      <w:proofErr w:type="gramStart"/>
      <w:r w:rsidRPr="00A80F30">
        <w:rPr>
          <w:rFonts w:cs="Arial"/>
          <w:szCs w:val="24"/>
        </w:rPr>
        <w:t>of</w:t>
      </w:r>
      <w:proofErr w:type="gramEnd"/>
      <w:r w:rsidRPr="00A80F30">
        <w:rPr>
          <w:rFonts w:cs="Arial"/>
          <w:szCs w:val="24"/>
        </w:rPr>
        <w:t xml:space="preserve"> customers. Demographically, it attracts students, workers, commuters, families and value-conscious consumers; geographically, it appeals </w:t>
      </w:r>
      <w:r w:rsidRPr="00A80F30">
        <w:rPr>
          <w:rFonts w:cs="Arial"/>
          <w:szCs w:val="24"/>
        </w:rPr>
        <w:lastRenderedPageBreak/>
        <w:t>to the nation but is also targeting under-represented breakfast, lunch, snack and, increasingly, evening locations; psychographically, it attracts speed, familiarity and value-conscious consumers; behaviourally, it targets repeat customers for breakfast, lunch, snack and, increasingly, evening occasions (Greggs plc, 2026b; Kotler, Keller and Chernev, 2022).</w:t>
      </w:r>
    </w:p>
    <w:tbl>
      <w:tblPr>
        <w:tblStyle w:val="PlainTable2"/>
        <w:tblW w:w="0" w:type="auto"/>
        <w:tblLook w:val="04A0" w:firstRow="1" w:lastRow="0" w:firstColumn="1" w:lastColumn="0" w:noHBand="0" w:noVBand="1"/>
      </w:tblPr>
      <w:tblGrid>
        <w:gridCol w:w="2379"/>
        <w:gridCol w:w="2379"/>
        <w:gridCol w:w="2379"/>
        <w:gridCol w:w="2379"/>
      </w:tblGrid>
      <w:tr w:rsidR="008A49FF" w:rsidRPr="009A33A5" w14:paraId="53EBC832"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E171F40" w14:textId="77777777" w:rsidR="008A49FF" w:rsidRPr="009A33A5" w:rsidRDefault="008A49FF" w:rsidP="00334845">
            <w:pPr>
              <w:spacing w:line="360" w:lineRule="auto"/>
              <w:jc w:val="both"/>
              <w:rPr>
                <w:rFonts w:cs="Arial"/>
                <w:sz w:val="20"/>
                <w:szCs w:val="20"/>
              </w:rPr>
            </w:pPr>
            <w:r w:rsidRPr="009A33A5">
              <w:rPr>
                <w:rFonts w:cs="Arial"/>
                <w:sz w:val="20"/>
                <w:szCs w:val="20"/>
              </w:rPr>
              <w:t>Segment basis</w:t>
            </w:r>
          </w:p>
        </w:tc>
        <w:tc>
          <w:tcPr>
            <w:tcW w:w="2379" w:type="dxa"/>
          </w:tcPr>
          <w:p w14:paraId="2816A268" w14:textId="77777777" w:rsidR="008A49FF" w:rsidRPr="009A33A5" w:rsidRDefault="008A49FF"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Target customers</w:t>
            </w:r>
          </w:p>
        </w:tc>
        <w:tc>
          <w:tcPr>
            <w:tcW w:w="2379" w:type="dxa"/>
          </w:tcPr>
          <w:p w14:paraId="0761468D" w14:textId="77777777" w:rsidR="008A49FF" w:rsidRPr="009A33A5" w:rsidRDefault="008A49FF"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Evidence/logic</w:t>
            </w:r>
          </w:p>
        </w:tc>
        <w:tc>
          <w:tcPr>
            <w:tcW w:w="2379" w:type="dxa"/>
          </w:tcPr>
          <w:p w14:paraId="39DC4FBD" w14:textId="77777777" w:rsidR="008A49FF" w:rsidRPr="009A33A5" w:rsidRDefault="008A49FF"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Critical implication</w:t>
            </w:r>
          </w:p>
        </w:tc>
      </w:tr>
      <w:tr w:rsidR="008A49FF" w:rsidRPr="009A33A5" w14:paraId="3BA0969A"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176C0B65" w14:textId="77777777" w:rsidR="008A49FF" w:rsidRPr="009A33A5" w:rsidRDefault="008A49FF" w:rsidP="00334845">
            <w:pPr>
              <w:spacing w:line="360" w:lineRule="auto"/>
              <w:jc w:val="both"/>
              <w:rPr>
                <w:rFonts w:cs="Arial"/>
                <w:sz w:val="20"/>
                <w:szCs w:val="20"/>
              </w:rPr>
            </w:pPr>
            <w:r w:rsidRPr="009A33A5">
              <w:rPr>
                <w:rFonts w:cs="Arial"/>
                <w:sz w:val="20"/>
                <w:szCs w:val="20"/>
              </w:rPr>
              <w:t>Demographic</w:t>
            </w:r>
          </w:p>
        </w:tc>
        <w:tc>
          <w:tcPr>
            <w:tcW w:w="2379" w:type="dxa"/>
          </w:tcPr>
          <w:p w14:paraId="26FDE461"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Students, workers, commuters, families, value-conscious households.</w:t>
            </w:r>
          </w:p>
        </w:tc>
        <w:tc>
          <w:tcPr>
            <w:tcW w:w="2379" w:type="dxa"/>
          </w:tcPr>
          <w:p w14:paraId="752F2A09"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Value-led brand and broad price accessibility.</w:t>
            </w:r>
          </w:p>
        </w:tc>
        <w:tc>
          <w:tcPr>
            <w:tcW w:w="2379" w:type="dxa"/>
          </w:tcPr>
          <w:p w14:paraId="2D6CA271"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Broad appeal supports scale but makes premium repositioning difficult.</w:t>
            </w:r>
          </w:p>
        </w:tc>
      </w:tr>
      <w:tr w:rsidR="008A49FF" w:rsidRPr="009A33A5" w14:paraId="4227556D" w14:textId="77777777" w:rsidTr="009A33A5">
        <w:tc>
          <w:tcPr>
            <w:cnfStyle w:val="001000000000" w:firstRow="0" w:lastRow="0" w:firstColumn="1" w:lastColumn="0" w:oddVBand="0" w:evenVBand="0" w:oddHBand="0" w:evenHBand="0" w:firstRowFirstColumn="0" w:firstRowLastColumn="0" w:lastRowFirstColumn="0" w:lastRowLastColumn="0"/>
            <w:tcW w:w="2379" w:type="dxa"/>
          </w:tcPr>
          <w:p w14:paraId="1ABE6BB6" w14:textId="77777777" w:rsidR="008A49FF" w:rsidRPr="009A33A5" w:rsidRDefault="008A49FF" w:rsidP="00334845">
            <w:pPr>
              <w:spacing w:line="360" w:lineRule="auto"/>
              <w:jc w:val="both"/>
              <w:rPr>
                <w:rFonts w:cs="Arial"/>
                <w:sz w:val="20"/>
                <w:szCs w:val="20"/>
              </w:rPr>
            </w:pPr>
            <w:r w:rsidRPr="009A33A5">
              <w:rPr>
                <w:rFonts w:cs="Arial"/>
                <w:sz w:val="20"/>
                <w:szCs w:val="20"/>
              </w:rPr>
              <w:t>Geographic</w:t>
            </w:r>
          </w:p>
        </w:tc>
        <w:tc>
          <w:tcPr>
            <w:tcW w:w="2379" w:type="dxa"/>
          </w:tcPr>
          <w:p w14:paraId="1636EFD3"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High streets, retail parks, roadsides, rail/air hubs, supermarkets, hospitals, campuses.</w:t>
            </w:r>
          </w:p>
        </w:tc>
        <w:tc>
          <w:tcPr>
            <w:tcW w:w="2379" w:type="dxa"/>
          </w:tcPr>
          <w:p w14:paraId="549B28CC"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Over half of 2025 new openings were in alternative sites.</w:t>
            </w:r>
          </w:p>
        </w:tc>
        <w:tc>
          <w:tcPr>
            <w:tcW w:w="2379" w:type="dxa"/>
          </w:tcPr>
          <w:p w14:paraId="5F790E52"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Expansion must avoid cannibalisation and protect shop-level returns.</w:t>
            </w:r>
          </w:p>
        </w:tc>
      </w:tr>
      <w:tr w:rsidR="008A49FF" w:rsidRPr="009A33A5" w14:paraId="629F8158"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A05172D" w14:textId="77777777" w:rsidR="008A49FF" w:rsidRPr="009A33A5" w:rsidRDefault="008A49FF" w:rsidP="00334845">
            <w:pPr>
              <w:spacing w:line="360" w:lineRule="auto"/>
              <w:jc w:val="both"/>
              <w:rPr>
                <w:rFonts w:cs="Arial"/>
                <w:sz w:val="20"/>
                <w:szCs w:val="20"/>
              </w:rPr>
            </w:pPr>
            <w:r w:rsidRPr="009A33A5">
              <w:rPr>
                <w:rFonts w:cs="Arial"/>
                <w:sz w:val="20"/>
                <w:szCs w:val="20"/>
              </w:rPr>
              <w:t>Psychographic</w:t>
            </w:r>
          </w:p>
        </w:tc>
        <w:tc>
          <w:tcPr>
            <w:tcW w:w="2379" w:type="dxa"/>
          </w:tcPr>
          <w:p w14:paraId="30571EB9"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Customers seeking convenience, value, familiar taste and trusted UK brand identity.</w:t>
            </w:r>
          </w:p>
        </w:tc>
        <w:tc>
          <w:tcPr>
            <w:tcW w:w="2379" w:type="dxa"/>
          </w:tcPr>
          <w:p w14:paraId="19425EF9"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Greggs ranked strongly for value and increased visit share in 2025.</w:t>
            </w:r>
          </w:p>
        </w:tc>
        <w:tc>
          <w:tcPr>
            <w:tcW w:w="2379" w:type="dxa"/>
          </w:tcPr>
          <w:p w14:paraId="2242400A"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Value must be defended through productivity, not repeated price increases.</w:t>
            </w:r>
          </w:p>
        </w:tc>
      </w:tr>
      <w:tr w:rsidR="008A49FF" w:rsidRPr="009A33A5" w14:paraId="586FBE39" w14:textId="77777777" w:rsidTr="009A33A5">
        <w:tc>
          <w:tcPr>
            <w:cnfStyle w:val="001000000000" w:firstRow="0" w:lastRow="0" w:firstColumn="1" w:lastColumn="0" w:oddVBand="0" w:evenVBand="0" w:oddHBand="0" w:evenHBand="0" w:firstRowFirstColumn="0" w:firstRowLastColumn="0" w:lastRowFirstColumn="0" w:lastRowLastColumn="0"/>
            <w:tcW w:w="2379" w:type="dxa"/>
          </w:tcPr>
          <w:p w14:paraId="1C31F246" w14:textId="77777777" w:rsidR="008A49FF" w:rsidRPr="009A33A5" w:rsidRDefault="008A49FF" w:rsidP="00334845">
            <w:pPr>
              <w:spacing w:line="360" w:lineRule="auto"/>
              <w:jc w:val="both"/>
              <w:rPr>
                <w:rFonts w:cs="Arial"/>
                <w:sz w:val="20"/>
                <w:szCs w:val="20"/>
              </w:rPr>
            </w:pPr>
            <w:r w:rsidRPr="009A33A5">
              <w:rPr>
                <w:rFonts w:cs="Arial"/>
                <w:sz w:val="20"/>
                <w:szCs w:val="20"/>
              </w:rPr>
              <w:t>Behavioural</w:t>
            </w:r>
          </w:p>
        </w:tc>
        <w:tc>
          <w:tcPr>
            <w:tcW w:w="2379" w:type="dxa"/>
          </w:tcPr>
          <w:p w14:paraId="43283116"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Breakfast, lunch, snacking, delivery and evening meal missions.</w:t>
            </w:r>
          </w:p>
        </w:tc>
        <w:tc>
          <w:tcPr>
            <w:tcW w:w="2379" w:type="dxa"/>
          </w:tcPr>
          <w:p w14:paraId="77EFE1AB"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Evening sales reached 9.4% of company-managed sales in 2025.</w:t>
            </w:r>
          </w:p>
        </w:tc>
        <w:tc>
          <w:tcPr>
            <w:tcW w:w="2379" w:type="dxa"/>
          </w:tcPr>
          <w:p w14:paraId="48B164AB"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Daypart growth can raise utilisation but requires products suited to hot holding and delivery.</w:t>
            </w:r>
          </w:p>
        </w:tc>
      </w:tr>
    </w:tbl>
    <w:p w14:paraId="51E18332" w14:textId="77777777" w:rsidR="008A49FF" w:rsidRPr="00334845" w:rsidRDefault="008A49FF" w:rsidP="00334845">
      <w:pPr>
        <w:pStyle w:val="Caption"/>
        <w:spacing w:after="120" w:line="360" w:lineRule="auto"/>
        <w:jc w:val="both"/>
        <w:rPr>
          <w:rFonts w:cs="Arial"/>
        </w:rPr>
      </w:pPr>
      <w:r>
        <w:rPr>
          <w:rFonts w:cs="Arial"/>
          <w:i/>
        </w:rPr>
        <w:t xml:space="preserve">Table 5: </w:t>
      </w:r>
      <w:proofErr w:type="gramStart"/>
      <w:r>
        <w:rPr>
          <w:rFonts w:cs="Arial"/>
          <w:i/>
        </w:rPr>
        <w:t>Greggs</w:t>
      </w:r>
      <w:proofErr w:type="gramEnd"/>
      <w:r>
        <w:rPr>
          <w:rFonts w:cs="Arial"/>
          <w:i/>
        </w:rPr>
        <w:t xml:space="preserve"> segmentation analysis.</w:t>
      </w:r>
    </w:p>
    <w:p w14:paraId="537303FB" w14:textId="77777777" w:rsidR="008A49FF" w:rsidRPr="00A80F30" w:rsidRDefault="008A49FF" w:rsidP="00334845">
      <w:pPr>
        <w:pStyle w:val="Heading2"/>
        <w:spacing w:before="120" w:after="80" w:line="360" w:lineRule="auto"/>
        <w:jc w:val="both"/>
        <w:rPr>
          <w:rFonts w:ascii="Arial" w:hAnsi="Arial" w:cs="Arial"/>
          <w:sz w:val="24"/>
          <w:szCs w:val="24"/>
        </w:rPr>
      </w:pPr>
      <w:bookmarkStart w:id="10" w:name="_Toc233326215"/>
      <w:r w:rsidRPr="00A80F30">
        <w:rPr>
          <w:rFonts w:ascii="Arial" w:hAnsi="Arial" w:cs="Arial"/>
          <w:color w:val="1F4E79"/>
          <w:sz w:val="24"/>
          <w:szCs w:val="24"/>
        </w:rPr>
        <w:t>4.2 Marketing mix: 4Ps</w:t>
      </w:r>
      <w:bookmarkEnd w:id="10"/>
    </w:p>
    <w:p w14:paraId="2773C9CB" w14:textId="77777777" w:rsidR="007F5A5E" w:rsidRPr="00A80F30" w:rsidRDefault="007F5A5E" w:rsidP="00334845">
      <w:pPr>
        <w:spacing w:after="120" w:line="360" w:lineRule="auto"/>
        <w:jc w:val="both"/>
        <w:rPr>
          <w:rFonts w:cs="Arial"/>
          <w:szCs w:val="24"/>
        </w:rPr>
      </w:pPr>
      <w:r w:rsidRPr="00A80F30">
        <w:rPr>
          <w:rFonts w:cs="Arial"/>
          <w:szCs w:val="24"/>
        </w:rPr>
        <w:t xml:space="preserve">The biggest strength and risk for Greggs is product strategy. The company is continuing to maintain </w:t>
      </w:r>
      <w:proofErr w:type="gramStart"/>
      <w:r w:rsidRPr="00A80F30">
        <w:rPr>
          <w:rFonts w:cs="Arial"/>
          <w:szCs w:val="24"/>
        </w:rPr>
        <w:t>the iconic</w:t>
      </w:r>
      <w:proofErr w:type="gramEnd"/>
      <w:r w:rsidRPr="00A80F30">
        <w:rPr>
          <w:rFonts w:cs="Arial"/>
          <w:szCs w:val="24"/>
        </w:rPr>
        <w:t xml:space="preserve"> items like sausage rolls while introducing healthier options, pizza, hot food, iced drinks and grocery items. While this is in line with the broader objectives of customer missions, complexity can lead to more waste, longer queuing periods and more training requirements, unless supported by robust forecasting and operating routines that are easy to follow (</w:t>
      </w:r>
      <w:proofErr w:type="gramStart"/>
      <w:r w:rsidRPr="00A80F30">
        <w:rPr>
          <w:rFonts w:cs="Arial"/>
          <w:szCs w:val="24"/>
        </w:rPr>
        <w:t>Greggs</w:t>
      </w:r>
      <w:proofErr w:type="gramEnd"/>
      <w:r w:rsidRPr="00A80F30">
        <w:rPr>
          <w:rFonts w:cs="Arial"/>
          <w:szCs w:val="24"/>
        </w:rPr>
        <w:t xml:space="preserve"> plc, 2026b; Kotler, Keller and Chernev, 2022).</w:t>
      </w:r>
    </w:p>
    <w:p w14:paraId="5210F20B" w14:textId="77777777" w:rsidR="007F5A5E" w:rsidRPr="00A80F30" w:rsidRDefault="007F5A5E" w:rsidP="00334845">
      <w:pPr>
        <w:spacing w:after="120" w:line="360" w:lineRule="auto"/>
        <w:jc w:val="both"/>
        <w:rPr>
          <w:rFonts w:cs="Arial"/>
          <w:szCs w:val="24"/>
        </w:rPr>
      </w:pPr>
      <w:r w:rsidRPr="00A80F30">
        <w:rPr>
          <w:rFonts w:cs="Arial"/>
          <w:szCs w:val="24"/>
        </w:rPr>
        <w:t xml:space="preserve">The USP has a strong focus on price strategy, as it is essential that Greggs' products are affordable to the customer. A company's pricing strategy cannot afford to increase prices across the board without hurting its brand, and it needs to mix in some selective price </w:t>
      </w:r>
      <w:r w:rsidRPr="00A80F30">
        <w:rPr>
          <w:rFonts w:cs="Arial"/>
          <w:szCs w:val="24"/>
        </w:rPr>
        <w:lastRenderedPageBreak/>
        <w:t xml:space="preserve">increases, bundles, app rewards and supply-chain </w:t>
      </w:r>
      <w:proofErr w:type="gramStart"/>
      <w:r w:rsidRPr="00A80F30">
        <w:rPr>
          <w:rFonts w:cs="Arial"/>
          <w:szCs w:val="24"/>
        </w:rPr>
        <w:t>efficiencies</w:t>
      </w:r>
      <w:proofErr w:type="gramEnd"/>
      <w:r w:rsidRPr="00A80F30">
        <w:rPr>
          <w:rFonts w:cs="Arial"/>
          <w:szCs w:val="24"/>
        </w:rPr>
        <w:t>. Customers can easily do comparison shopping around Greggs' value (Tesco, 2026; McDonald's UK, 2026), as it is competitive with other anchors like Tesco meal deals and saver items from McDonald's.</w:t>
      </w:r>
    </w:p>
    <w:p w14:paraId="17797A73" w14:textId="77777777" w:rsidR="007F5A5E" w:rsidRPr="00A80F30" w:rsidRDefault="007F5A5E" w:rsidP="00334845">
      <w:pPr>
        <w:spacing w:after="120" w:line="360" w:lineRule="auto"/>
        <w:jc w:val="both"/>
        <w:rPr>
          <w:rFonts w:cs="Arial"/>
          <w:szCs w:val="24"/>
        </w:rPr>
      </w:pPr>
      <w:r w:rsidRPr="00A80F30">
        <w:rPr>
          <w:rFonts w:cs="Arial"/>
          <w:szCs w:val="24"/>
        </w:rPr>
        <w:t xml:space="preserve">Place is a key strategic asset. High streets, transport hubs, roadside locations, retail parks, supermarkets, groceries, delivery services and food partners are all Greggs' locations. This results in availability across customer missions, but with caveats of diminishing returns; marginal sites can boost the headline figures but reduce sales density where catchments overlap or labour </w:t>
      </w:r>
      <w:proofErr w:type="gramStart"/>
      <w:r w:rsidRPr="00A80F30">
        <w:rPr>
          <w:rFonts w:cs="Arial"/>
          <w:szCs w:val="24"/>
        </w:rPr>
        <w:t>is</w:t>
      </w:r>
      <w:proofErr w:type="gramEnd"/>
      <w:r w:rsidRPr="00A80F30">
        <w:rPr>
          <w:rFonts w:cs="Arial"/>
          <w:szCs w:val="24"/>
        </w:rPr>
        <w:t xml:space="preserve"> scarce (</w:t>
      </w:r>
      <w:proofErr w:type="gramStart"/>
      <w:r w:rsidRPr="00A80F30">
        <w:rPr>
          <w:rFonts w:cs="Arial"/>
          <w:szCs w:val="24"/>
        </w:rPr>
        <w:t>Greggs</w:t>
      </w:r>
      <w:proofErr w:type="gramEnd"/>
      <w:r w:rsidRPr="00A80F30">
        <w:rPr>
          <w:rFonts w:cs="Arial"/>
          <w:szCs w:val="24"/>
        </w:rPr>
        <w:t xml:space="preserve"> plc, 2026b; </w:t>
      </w:r>
      <w:proofErr w:type="gramStart"/>
      <w:r w:rsidRPr="00A80F30">
        <w:rPr>
          <w:rFonts w:cs="Arial"/>
          <w:szCs w:val="24"/>
        </w:rPr>
        <w:t>Greggs</w:t>
      </w:r>
      <w:proofErr w:type="gramEnd"/>
      <w:r w:rsidRPr="00A80F30">
        <w:rPr>
          <w:rFonts w:cs="Arial"/>
          <w:szCs w:val="24"/>
        </w:rPr>
        <w:t xml:space="preserve"> plc, 2026d).</w:t>
      </w:r>
    </w:p>
    <w:p w14:paraId="37E144B4" w14:textId="2C2A1DE9" w:rsidR="008A49FF" w:rsidRPr="00A80F30" w:rsidRDefault="007F5A5E" w:rsidP="00334845">
      <w:pPr>
        <w:spacing w:after="120" w:line="360" w:lineRule="auto"/>
        <w:jc w:val="both"/>
        <w:rPr>
          <w:rFonts w:cs="Arial"/>
          <w:szCs w:val="24"/>
        </w:rPr>
      </w:pPr>
      <w:r w:rsidRPr="00A80F30">
        <w:rPr>
          <w:rFonts w:cs="Arial"/>
          <w:szCs w:val="24"/>
        </w:rPr>
        <w:t xml:space="preserve">The difference between promotion and advertising is that Greggs doesn't just use traditional advertising – it also utilises its products' launches, app loyalty, popular culture and comedy. In 2025, digital </w:t>
      </w:r>
      <w:r w:rsidR="00C967B4" w:rsidRPr="00A80F30">
        <w:rPr>
          <w:rFonts w:cs="Arial"/>
          <w:szCs w:val="24"/>
        </w:rPr>
        <w:t>engagement increased</w:t>
      </w:r>
      <w:r w:rsidRPr="00A80F30">
        <w:rPr>
          <w:rFonts w:cs="Arial"/>
          <w:szCs w:val="24"/>
        </w:rPr>
        <w:t xml:space="preserve"> 26.7% of company-managed shop transactions as the Greggs app was scanned. It is </w:t>
      </w:r>
      <w:r w:rsidR="00C967B4" w:rsidRPr="00A80F30">
        <w:rPr>
          <w:rFonts w:cs="Arial"/>
          <w:szCs w:val="24"/>
        </w:rPr>
        <w:t>a</w:t>
      </w:r>
      <w:r w:rsidRPr="00A80F30">
        <w:rPr>
          <w:rFonts w:cs="Arial"/>
          <w:szCs w:val="24"/>
        </w:rPr>
        <w:t xml:space="preserve"> fact that loyalty schemes are not necessarily a discount machine when they </w:t>
      </w:r>
      <w:proofErr w:type="gramStart"/>
      <w:r w:rsidRPr="00A80F30">
        <w:rPr>
          <w:rFonts w:cs="Arial"/>
          <w:szCs w:val="24"/>
        </w:rPr>
        <w:t>are not capable of providing</w:t>
      </w:r>
      <w:proofErr w:type="gramEnd"/>
      <w:r w:rsidRPr="00A80F30">
        <w:rPr>
          <w:rFonts w:cs="Arial"/>
          <w:szCs w:val="24"/>
        </w:rPr>
        <w:t xml:space="preserve"> incremental visits and providing better data-based decisions (</w:t>
      </w:r>
      <w:proofErr w:type="gramStart"/>
      <w:r w:rsidRPr="00A80F30">
        <w:rPr>
          <w:rFonts w:cs="Arial"/>
          <w:szCs w:val="24"/>
        </w:rPr>
        <w:t>Greggs</w:t>
      </w:r>
      <w:proofErr w:type="gramEnd"/>
      <w:r w:rsidRPr="00A80F30">
        <w:rPr>
          <w:rFonts w:cs="Arial"/>
          <w:szCs w:val="24"/>
        </w:rPr>
        <w:t xml:space="preserve"> plc, 2026b; Kotler, Keller and Chernev, 2022).</w:t>
      </w:r>
    </w:p>
    <w:tbl>
      <w:tblPr>
        <w:tblStyle w:val="PlainTable2"/>
        <w:tblW w:w="0" w:type="auto"/>
        <w:tblLook w:val="04A0" w:firstRow="1" w:lastRow="0" w:firstColumn="1" w:lastColumn="0" w:noHBand="0" w:noVBand="1"/>
      </w:tblPr>
      <w:tblGrid>
        <w:gridCol w:w="1818"/>
        <w:gridCol w:w="3150"/>
        <w:gridCol w:w="4550"/>
      </w:tblGrid>
      <w:tr w:rsidR="008A49FF" w:rsidRPr="00334845" w14:paraId="0756865B"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58158CA0" w14:textId="77777777" w:rsidR="008A49FF" w:rsidRPr="009A33A5" w:rsidRDefault="008A49FF" w:rsidP="00334845">
            <w:pPr>
              <w:spacing w:line="360" w:lineRule="auto"/>
              <w:jc w:val="both"/>
              <w:rPr>
                <w:rFonts w:cs="Arial"/>
                <w:sz w:val="20"/>
                <w:szCs w:val="20"/>
              </w:rPr>
            </w:pPr>
            <w:r w:rsidRPr="009A33A5">
              <w:rPr>
                <w:rFonts w:cs="Arial"/>
                <w:sz w:val="20"/>
                <w:szCs w:val="20"/>
              </w:rPr>
              <w:t>4P</w:t>
            </w:r>
          </w:p>
        </w:tc>
        <w:tc>
          <w:tcPr>
            <w:tcW w:w="3150" w:type="dxa"/>
          </w:tcPr>
          <w:p w14:paraId="4DC0AACB" w14:textId="77777777" w:rsidR="008A49FF" w:rsidRPr="009A33A5" w:rsidRDefault="008A49FF"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Current application</w:t>
            </w:r>
          </w:p>
        </w:tc>
        <w:tc>
          <w:tcPr>
            <w:tcW w:w="4551" w:type="dxa"/>
          </w:tcPr>
          <w:p w14:paraId="73651153" w14:textId="77777777" w:rsidR="008A49FF" w:rsidRPr="009A33A5" w:rsidRDefault="008A49FF"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Critical improvement needed</w:t>
            </w:r>
          </w:p>
        </w:tc>
      </w:tr>
      <w:tr w:rsidR="008A49FF" w:rsidRPr="00334845" w14:paraId="65581CC8"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1D6D0570" w14:textId="77777777" w:rsidR="008A49FF" w:rsidRPr="009A33A5" w:rsidRDefault="008A49FF" w:rsidP="00334845">
            <w:pPr>
              <w:spacing w:line="360" w:lineRule="auto"/>
              <w:jc w:val="both"/>
              <w:rPr>
                <w:rFonts w:cs="Arial"/>
                <w:sz w:val="20"/>
                <w:szCs w:val="20"/>
              </w:rPr>
            </w:pPr>
            <w:r w:rsidRPr="009A33A5">
              <w:rPr>
                <w:rFonts w:cs="Arial"/>
                <w:sz w:val="20"/>
                <w:szCs w:val="20"/>
              </w:rPr>
              <w:t>Product</w:t>
            </w:r>
          </w:p>
        </w:tc>
        <w:tc>
          <w:tcPr>
            <w:tcW w:w="3150" w:type="dxa"/>
          </w:tcPr>
          <w:p w14:paraId="7A764BE3"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Bakery, hot food, drinks, sandwiches, salads, delivery products and grocery items.</w:t>
            </w:r>
          </w:p>
        </w:tc>
        <w:tc>
          <w:tcPr>
            <w:tcW w:w="4551" w:type="dxa"/>
          </w:tcPr>
          <w:p w14:paraId="274A3821"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Use menu engineering: keep high-frequency icons, remove low-margin complexity, and expand protein/healthier options carefully.</w:t>
            </w:r>
          </w:p>
        </w:tc>
      </w:tr>
      <w:tr w:rsidR="008A49FF" w:rsidRPr="00334845" w14:paraId="2924D47A" w14:textId="77777777" w:rsidTr="009A33A5">
        <w:tc>
          <w:tcPr>
            <w:cnfStyle w:val="001000000000" w:firstRow="0" w:lastRow="0" w:firstColumn="1" w:lastColumn="0" w:oddVBand="0" w:evenVBand="0" w:oddHBand="0" w:evenHBand="0" w:firstRowFirstColumn="0" w:firstRowLastColumn="0" w:lastRowFirstColumn="0" w:lastRowLastColumn="0"/>
            <w:tcW w:w="1818" w:type="dxa"/>
          </w:tcPr>
          <w:p w14:paraId="005519D9" w14:textId="77777777" w:rsidR="008A49FF" w:rsidRPr="009A33A5" w:rsidRDefault="008A49FF" w:rsidP="00334845">
            <w:pPr>
              <w:spacing w:line="360" w:lineRule="auto"/>
              <w:jc w:val="both"/>
              <w:rPr>
                <w:rFonts w:cs="Arial"/>
                <w:sz w:val="20"/>
                <w:szCs w:val="20"/>
              </w:rPr>
            </w:pPr>
            <w:r w:rsidRPr="009A33A5">
              <w:rPr>
                <w:rFonts w:cs="Arial"/>
                <w:sz w:val="20"/>
                <w:szCs w:val="20"/>
              </w:rPr>
              <w:t>Price</w:t>
            </w:r>
          </w:p>
        </w:tc>
        <w:tc>
          <w:tcPr>
            <w:tcW w:w="3150" w:type="dxa"/>
          </w:tcPr>
          <w:p w14:paraId="5BCD509A"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Value-led everyday pricing with meal/bundle logic and app rewards.</w:t>
            </w:r>
          </w:p>
        </w:tc>
        <w:tc>
          <w:tcPr>
            <w:tcW w:w="4551" w:type="dxa"/>
          </w:tcPr>
          <w:p w14:paraId="6E9A1BAE"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Protect price perception while using productivity and waste reduction to fund value.</w:t>
            </w:r>
          </w:p>
        </w:tc>
      </w:tr>
      <w:tr w:rsidR="008A49FF" w:rsidRPr="00334845" w14:paraId="3339A2CF"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04F82650" w14:textId="77777777" w:rsidR="008A49FF" w:rsidRPr="009A33A5" w:rsidRDefault="008A49FF" w:rsidP="00334845">
            <w:pPr>
              <w:spacing w:line="360" w:lineRule="auto"/>
              <w:jc w:val="both"/>
              <w:rPr>
                <w:rFonts w:cs="Arial"/>
                <w:sz w:val="20"/>
                <w:szCs w:val="20"/>
              </w:rPr>
            </w:pPr>
            <w:r w:rsidRPr="009A33A5">
              <w:rPr>
                <w:rFonts w:cs="Arial"/>
                <w:sz w:val="20"/>
                <w:szCs w:val="20"/>
              </w:rPr>
              <w:t>Place</w:t>
            </w:r>
          </w:p>
        </w:tc>
        <w:tc>
          <w:tcPr>
            <w:tcW w:w="3150" w:type="dxa"/>
          </w:tcPr>
          <w:p w14:paraId="3EE2844F"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2,739 shops at end-2025 plus delivery, franchise, grocery and alternative locations.</w:t>
            </w:r>
          </w:p>
        </w:tc>
        <w:tc>
          <w:tcPr>
            <w:tcW w:w="4551" w:type="dxa"/>
          </w:tcPr>
          <w:p w14:paraId="12FA9BDA" w14:textId="77777777" w:rsidR="008A49FF" w:rsidRPr="009A33A5" w:rsidRDefault="008A49FF"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Prioritise incremental catchments and return-on-investment, not only estate size.</w:t>
            </w:r>
          </w:p>
        </w:tc>
      </w:tr>
      <w:tr w:rsidR="008A49FF" w:rsidRPr="00334845" w14:paraId="11B14F9E" w14:textId="77777777" w:rsidTr="009A33A5">
        <w:tc>
          <w:tcPr>
            <w:cnfStyle w:val="001000000000" w:firstRow="0" w:lastRow="0" w:firstColumn="1" w:lastColumn="0" w:oddVBand="0" w:evenVBand="0" w:oddHBand="0" w:evenHBand="0" w:firstRowFirstColumn="0" w:firstRowLastColumn="0" w:lastRowFirstColumn="0" w:lastRowLastColumn="0"/>
            <w:tcW w:w="1818" w:type="dxa"/>
          </w:tcPr>
          <w:p w14:paraId="4527A3E9" w14:textId="77777777" w:rsidR="008A49FF" w:rsidRPr="009A33A5" w:rsidRDefault="008A49FF" w:rsidP="00334845">
            <w:pPr>
              <w:spacing w:line="360" w:lineRule="auto"/>
              <w:jc w:val="both"/>
              <w:rPr>
                <w:rFonts w:cs="Arial"/>
                <w:sz w:val="20"/>
                <w:szCs w:val="20"/>
              </w:rPr>
            </w:pPr>
            <w:r w:rsidRPr="009A33A5">
              <w:rPr>
                <w:rFonts w:cs="Arial"/>
                <w:sz w:val="20"/>
                <w:szCs w:val="20"/>
              </w:rPr>
              <w:t>Promotion</w:t>
            </w:r>
          </w:p>
        </w:tc>
        <w:tc>
          <w:tcPr>
            <w:tcW w:w="3150" w:type="dxa"/>
          </w:tcPr>
          <w:p w14:paraId="1CC7EAC7"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Brand humour, product launches, app loyalty, social media and PR.</w:t>
            </w:r>
          </w:p>
        </w:tc>
        <w:tc>
          <w:tcPr>
            <w:tcW w:w="4551" w:type="dxa"/>
          </w:tcPr>
          <w:p w14:paraId="3C86928F" w14:textId="77777777" w:rsidR="008A49FF" w:rsidRPr="009A33A5" w:rsidRDefault="008A49FF"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Use personalised digital offers to grow frequency rather than subsidise existing behaviour.</w:t>
            </w:r>
          </w:p>
        </w:tc>
      </w:tr>
    </w:tbl>
    <w:p w14:paraId="5A4827CE" w14:textId="77777777" w:rsidR="008A49FF" w:rsidRPr="00334845" w:rsidRDefault="008A49FF" w:rsidP="00334845">
      <w:pPr>
        <w:pStyle w:val="Caption"/>
        <w:spacing w:after="120" w:line="360" w:lineRule="auto"/>
        <w:jc w:val="both"/>
        <w:rPr>
          <w:rFonts w:cs="Arial"/>
        </w:rPr>
      </w:pPr>
      <w:r>
        <w:rPr>
          <w:rFonts w:cs="Arial"/>
          <w:i/>
        </w:rPr>
        <w:t>Table 6: 4Ps analysis and critical improvement areas.</w:t>
      </w:r>
    </w:p>
    <w:p w14:paraId="1D2BE7A6" w14:textId="77777777" w:rsidR="008A49FF" w:rsidRPr="00334845" w:rsidRDefault="008A49FF" w:rsidP="00334845">
      <w:pPr>
        <w:pStyle w:val="Heading2"/>
        <w:spacing w:before="120" w:after="80" w:line="360" w:lineRule="auto"/>
        <w:jc w:val="both"/>
        <w:rPr>
          <w:rFonts w:ascii="Arial" w:hAnsi="Arial" w:cs="Arial"/>
        </w:rPr>
      </w:pPr>
      <w:bookmarkStart w:id="11" w:name="_Toc233326216"/>
      <w:r>
        <w:rPr>
          <w:rFonts w:ascii="Arial" w:hAnsi="Arial" w:cs="Arial"/>
          <w:color w:val="1F4E79"/>
        </w:rPr>
        <w:t>4.3 Online and digital marketing strategies</w:t>
      </w:r>
      <w:bookmarkEnd w:id="11"/>
    </w:p>
    <w:p w14:paraId="4C265865" w14:textId="77777777" w:rsidR="007F5A5E" w:rsidRPr="007F5A5E" w:rsidRDefault="007F5A5E"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The Greggs App, Greggs Rewards, Greggs Click + Collect, delivery on Just Eat and Uber Eats, digital customer insight and self-service ordering trials and data tools for business decisions </w:t>
      </w:r>
      <w:r w:rsidRPr="009A33A5">
        <w:rPr>
          <w:rFonts w:eastAsia="Times New Roman" w:cs="Arial"/>
          <w:szCs w:val="24"/>
        </w:rPr>
        <w:t>are all part of Greggs’ digital strategy (Chaffey and Ellis-Chadwick, 2022).</w:t>
      </w:r>
      <w:r>
        <w:rPr>
          <w:rFonts w:eastAsia="Times New Roman" w:cs="Arial"/>
          <w:szCs w:val="24"/>
        </w:rPr>
        <w:t xml:space="preserve"> These channels demonstrate that Greggs are no longer relying on digital technology for </w:t>
      </w:r>
      <w:r>
        <w:rPr>
          <w:rFonts w:eastAsia="Times New Roman" w:cs="Arial"/>
          <w:szCs w:val="24"/>
        </w:rPr>
        <w:lastRenderedPageBreak/>
        <w:t>promotional activities only but are now integrating digital into their overall operating model. Customer engagement is now important in attracting and retaining customers in digital channels, as digital scan accounted for 26.7% of all company-managed shop transactions in 2025, while delivery generated a total of 6.8% of all shop transactions. The app also provides Greggs important insights into customer buying habits, customer loyalty and popular items and time of day demand, which can be used to inform menu planning, reward customers for buying their products and predict stock demand and purchases (Greggs plc, 2026b).</w:t>
      </w:r>
    </w:p>
    <w:p w14:paraId="00FCD784" w14:textId="411CE3EA" w:rsidR="008A49FF" w:rsidRPr="00334845" w:rsidRDefault="007F5A5E" w:rsidP="00334845">
      <w:pPr>
        <w:spacing w:before="100" w:beforeAutospacing="1" w:after="100" w:afterAutospacing="1" w:line="360" w:lineRule="auto"/>
        <w:jc w:val="both"/>
        <w:rPr>
          <w:rFonts w:eastAsia="Times New Roman" w:cs="Arial"/>
          <w:szCs w:val="24"/>
        </w:rPr>
      </w:pPr>
      <w:r>
        <w:rPr>
          <w:rFonts w:eastAsia="Times New Roman" w:cs="Arial"/>
          <w:szCs w:val="24"/>
        </w:rPr>
        <w:t>But the important point is profitability and quality. While delivery baskets might be bigger, net margins may be hurt by platform commission, packaging, labour time, and order preparation complexity and potential delays. Likewise, rewards for the apps can help cultivate loyalty, and too many deals can just be a cost of customers who would have bought them anyway. So, while digital channels can be a tool that Greggs can use to drive sales, it should also be one they can turn to for a better understanding of forecasting, queue management, customer life time value, product availability and day-part utilisation. When properly managed, digital can be a strategic tool that increases efficiency and customer loyalty and not a cost centre to promote (Teece, 2007; Greggs plc, 2026b).</w:t>
      </w:r>
    </w:p>
    <w:p w14:paraId="18F7EB23" w14:textId="77777777" w:rsidR="00FE356E" w:rsidRPr="00C967B4" w:rsidRDefault="00823F54" w:rsidP="00334845">
      <w:pPr>
        <w:pStyle w:val="Heading1"/>
        <w:spacing w:before="180" w:after="80" w:line="360" w:lineRule="auto"/>
        <w:jc w:val="both"/>
        <w:rPr>
          <w:rFonts w:ascii="Arial" w:hAnsi="Arial" w:cs="Arial"/>
          <w:sz w:val="24"/>
          <w:szCs w:val="24"/>
        </w:rPr>
      </w:pPr>
      <w:bookmarkStart w:id="12" w:name="_Toc233326217"/>
      <w:r w:rsidRPr="00C967B4">
        <w:rPr>
          <w:rFonts w:ascii="Arial" w:hAnsi="Arial" w:cs="Arial"/>
          <w:color w:val="1F4E79"/>
          <w:sz w:val="24"/>
          <w:szCs w:val="24"/>
        </w:rPr>
        <w:t>5. Element 4: Financial Planning and Comprehensive Financial Analysis</w:t>
      </w:r>
      <w:bookmarkEnd w:id="12"/>
    </w:p>
    <w:p w14:paraId="3C3E6BEA" w14:textId="2F2EB8B5" w:rsidR="00CD4A25" w:rsidRPr="00C967B4" w:rsidRDefault="00CD4A25" w:rsidP="00334845">
      <w:pPr>
        <w:spacing w:after="120" w:line="360" w:lineRule="auto"/>
        <w:jc w:val="both"/>
        <w:rPr>
          <w:rFonts w:cs="Arial"/>
          <w:szCs w:val="24"/>
        </w:rPr>
      </w:pPr>
      <w:r w:rsidRPr="00C967B4">
        <w:rPr>
          <w:rFonts w:cs="Arial"/>
          <w:szCs w:val="24"/>
        </w:rPr>
        <w:t xml:space="preserve">Greggs' financial record shows good scaling and a definite margin warning. Sales are expected to increase from GBP1,229.7 million in 2021 to GBP2,151.2 million in 2025, at a compound annual growth rate of around 15.0%. But </w:t>
      </w:r>
      <w:proofErr w:type="gramStart"/>
      <w:r w:rsidRPr="00C967B4">
        <w:rPr>
          <w:rFonts w:cs="Arial"/>
          <w:szCs w:val="24"/>
        </w:rPr>
        <w:t>profit</w:t>
      </w:r>
      <w:proofErr w:type="gramEnd"/>
      <w:r w:rsidRPr="00C967B4">
        <w:rPr>
          <w:rFonts w:cs="Arial"/>
          <w:szCs w:val="24"/>
        </w:rPr>
        <w:t xml:space="preserve"> before tax </w:t>
      </w:r>
      <w:proofErr w:type="gramStart"/>
      <w:r w:rsidRPr="00C967B4">
        <w:rPr>
          <w:rFonts w:cs="Arial"/>
          <w:szCs w:val="24"/>
        </w:rPr>
        <w:t>has</w:t>
      </w:r>
      <w:proofErr w:type="gramEnd"/>
      <w:r w:rsidRPr="00C967B4">
        <w:rPr>
          <w:rFonts w:cs="Arial"/>
          <w:szCs w:val="24"/>
        </w:rPr>
        <w:t xml:space="preserve"> increased from GBP145.6 million to just GBP171.9 million during the same period and </w:t>
      </w:r>
      <w:proofErr w:type="gramStart"/>
      <w:r w:rsidRPr="00C967B4">
        <w:rPr>
          <w:rFonts w:cs="Arial"/>
          <w:szCs w:val="24"/>
        </w:rPr>
        <w:t>has</w:t>
      </w:r>
      <w:proofErr w:type="gramEnd"/>
      <w:r w:rsidRPr="00C967B4">
        <w:rPr>
          <w:rFonts w:cs="Arial"/>
          <w:szCs w:val="24"/>
        </w:rPr>
        <w:t xml:space="preserve"> not grown as quickly as sales. The economy of growth is the most crucial financial insight that matters in the business plan, as growth is real, but the economy of growth weakened in 2025 (</w:t>
      </w:r>
      <w:proofErr w:type="gramStart"/>
      <w:r w:rsidRPr="00C967B4">
        <w:rPr>
          <w:rFonts w:cs="Arial"/>
          <w:szCs w:val="24"/>
        </w:rPr>
        <w:t>Greggs</w:t>
      </w:r>
      <w:proofErr w:type="gramEnd"/>
      <w:r w:rsidRPr="00C967B4">
        <w:rPr>
          <w:rFonts w:cs="Arial"/>
          <w:szCs w:val="24"/>
        </w:rPr>
        <w:t xml:space="preserve"> plc, 2023; </w:t>
      </w:r>
      <w:proofErr w:type="gramStart"/>
      <w:r w:rsidRPr="00C967B4">
        <w:rPr>
          <w:rFonts w:cs="Arial"/>
          <w:szCs w:val="24"/>
        </w:rPr>
        <w:t>Greggs</w:t>
      </w:r>
      <w:proofErr w:type="gramEnd"/>
      <w:r w:rsidRPr="00C967B4">
        <w:rPr>
          <w:rFonts w:cs="Arial"/>
          <w:szCs w:val="24"/>
        </w:rPr>
        <w:t xml:space="preserve"> plc, 2026b).</w:t>
      </w:r>
    </w:p>
    <w:p w14:paraId="0538D759" w14:textId="77777777" w:rsidR="00255D9E" w:rsidRPr="00334845" w:rsidRDefault="00255D9E" w:rsidP="00334845">
      <w:pPr>
        <w:spacing w:line="360" w:lineRule="auto"/>
        <w:jc w:val="both"/>
        <w:rPr>
          <w:rFonts w:cs="Arial"/>
        </w:rPr>
      </w:pPr>
      <w:r>
        <w:rPr>
          <w:rFonts w:cs="Arial"/>
          <w:noProof/>
        </w:rPr>
        <w:lastRenderedPageBreak/>
        <w:drawing>
          <wp:inline distT="0" distB="0" distL="0" distR="0" wp14:anchorId="652B4CB4" wp14:editId="492A8542">
            <wp:extent cx="5486400" cy="2743200"/>
            <wp:effectExtent l="0" t="0" r="0" b="0"/>
            <wp:docPr id="20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0AA178B" w14:textId="77777777" w:rsidR="00255D9E" w:rsidRPr="009A33A5" w:rsidRDefault="00255D9E" w:rsidP="00334845">
      <w:pPr>
        <w:pStyle w:val="Caption"/>
        <w:spacing w:after="120" w:line="360" w:lineRule="auto"/>
        <w:jc w:val="both"/>
        <w:rPr>
          <w:rFonts w:cs="Arial"/>
          <w:i/>
        </w:rPr>
      </w:pPr>
      <w:r>
        <w:rPr>
          <w:rFonts w:cs="Arial"/>
          <w:i/>
        </w:rPr>
        <w:t xml:space="preserve">Figure 2: Greggs revenue and profit after tax, 2021-2025 (editable native Word chart; data sources: </w:t>
      </w:r>
      <w:r w:rsidRPr="009A33A5">
        <w:rPr>
          <w:rFonts w:cs="Arial"/>
          <w:i/>
        </w:rPr>
        <w:t>Greggs plc, 2026a</w:t>
      </w:r>
      <w:r>
        <w:rPr>
          <w:rFonts w:cs="Arial"/>
          <w:i/>
        </w:rPr>
        <w:t>; 2024; 2025; 2026b).</w:t>
      </w:r>
    </w:p>
    <w:p w14:paraId="53FA24BB" w14:textId="4F956B89" w:rsidR="005070AC" w:rsidRPr="00C967B4" w:rsidRDefault="005070AC" w:rsidP="00334845">
      <w:pPr>
        <w:spacing w:after="120" w:line="360" w:lineRule="auto"/>
        <w:jc w:val="both"/>
        <w:rPr>
          <w:rFonts w:cs="Arial"/>
          <w:szCs w:val="24"/>
        </w:rPr>
      </w:pPr>
      <w:r w:rsidRPr="00C967B4">
        <w:rPr>
          <w:rFonts w:cs="Arial"/>
          <w:szCs w:val="24"/>
        </w:rPr>
        <w:t>Revenue growth remained positive in 2025, but the rate slowed to 6.8% after 11.3% in 2024 and 19.6% in 2023. The slowdown is significant, as Greggs was simultaneously incurring higher fixed costs due to manufacturing, logistics and technology capacity. A business plan centred on the sole objective of growing sales would thus be incomplete; rather, the focus should be on sales quality, labour productivity, returns on the sites, and profitability of the channels (</w:t>
      </w:r>
      <w:proofErr w:type="gramStart"/>
      <w:r w:rsidRPr="00C967B4">
        <w:rPr>
          <w:rFonts w:cs="Arial"/>
          <w:szCs w:val="24"/>
        </w:rPr>
        <w:t>Greggs</w:t>
      </w:r>
      <w:proofErr w:type="gramEnd"/>
      <w:r w:rsidRPr="00C967B4">
        <w:rPr>
          <w:rFonts w:cs="Arial"/>
          <w:szCs w:val="24"/>
        </w:rPr>
        <w:t xml:space="preserve"> plc, 2026b).</w:t>
      </w:r>
    </w:p>
    <w:p w14:paraId="2B5A0FD5" w14:textId="77777777" w:rsidR="00255D9E" w:rsidRPr="00334845" w:rsidRDefault="00255D9E" w:rsidP="00334845">
      <w:pPr>
        <w:spacing w:line="360" w:lineRule="auto"/>
        <w:jc w:val="both"/>
        <w:rPr>
          <w:rFonts w:cs="Arial"/>
        </w:rPr>
      </w:pPr>
      <w:r>
        <w:rPr>
          <w:rFonts w:cs="Arial"/>
          <w:noProof/>
        </w:rPr>
        <w:drawing>
          <wp:inline distT="0" distB="0" distL="0" distR="0" wp14:anchorId="7F471615" wp14:editId="65270D0D">
            <wp:extent cx="5486400" cy="2743200"/>
            <wp:effectExtent l="0" t="0" r="0" b="0"/>
            <wp:docPr id="2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1E17A0" w14:textId="77777777" w:rsidR="00255D9E" w:rsidRPr="009A33A5" w:rsidRDefault="00255D9E" w:rsidP="00334845">
      <w:pPr>
        <w:pStyle w:val="Caption"/>
        <w:spacing w:after="120" w:line="360" w:lineRule="auto"/>
        <w:jc w:val="both"/>
        <w:rPr>
          <w:rFonts w:cs="Arial"/>
          <w:i/>
        </w:rPr>
      </w:pPr>
      <w:r>
        <w:rPr>
          <w:rFonts w:cs="Arial"/>
          <w:i/>
        </w:rPr>
        <w:t xml:space="preserve">Figure 3: Underlying PBT margin and ROCE, 2021-2025 (editable native Word chart; data sources: </w:t>
      </w:r>
      <w:r w:rsidRPr="009A33A5">
        <w:rPr>
          <w:rFonts w:cs="Arial"/>
          <w:i/>
        </w:rPr>
        <w:t>Greggs plc, 2022; 2026a; 2026b</w:t>
      </w:r>
      <w:r>
        <w:rPr>
          <w:rFonts w:cs="Arial"/>
          <w:i/>
        </w:rPr>
        <w:t>).</w:t>
      </w:r>
    </w:p>
    <w:p w14:paraId="44D267F6" w14:textId="4BE41EA0" w:rsidR="005902CF" w:rsidRPr="00C967B4" w:rsidRDefault="005902CF" w:rsidP="00334845">
      <w:pPr>
        <w:spacing w:after="120" w:line="360" w:lineRule="auto"/>
        <w:jc w:val="both"/>
        <w:rPr>
          <w:rFonts w:cs="Arial"/>
          <w:szCs w:val="24"/>
        </w:rPr>
      </w:pPr>
      <w:r w:rsidRPr="00C967B4">
        <w:rPr>
          <w:rFonts w:cs="Arial"/>
          <w:szCs w:val="24"/>
        </w:rPr>
        <w:lastRenderedPageBreak/>
        <w:t>Profitability substantiates the worry. Underlying PBT margin fell to approximately 8.0% in 2025 from 9.4% in 2024, and ROCE fell to 16.0% from 20.3%. This does not mean that the business is failing as cash generation and market share are strong, but it does mean that the expansion plan needs to pay off the capital invested in additional logistics space and the building of stores (</w:t>
      </w:r>
      <w:proofErr w:type="gramStart"/>
      <w:r w:rsidRPr="00C967B4">
        <w:rPr>
          <w:rFonts w:cs="Arial"/>
          <w:szCs w:val="24"/>
        </w:rPr>
        <w:t>Greggs</w:t>
      </w:r>
      <w:proofErr w:type="gramEnd"/>
      <w:r w:rsidRPr="00C967B4">
        <w:rPr>
          <w:rFonts w:cs="Arial"/>
          <w:szCs w:val="24"/>
        </w:rPr>
        <w:t xml:space="preserve"> plc, 2026b).</w:t>
      </w:r>
    </w:p>
    <w:p w14:paraId="26321A68" w14:textId="77777777" w:rsidR="00255D9E" w:rsidRPr="00334845" w:rsidRDefault="00255D9E" w:rsidP="00334845">
      <w:pPr>
        <w:spacing w:line="360" w:lineRule="auto"/>
        <w:jc w:val="both"/>
        <w:rPr>
          <w:rFonts w:cs="Arial"/>
        </w:rPr>
      </w:pPr>
      <w:r>
        <w:rPr>
          <w:rFonts w:cs="Arial"/>
          <w:noProof/>
        </w:rPr>
        <w:drawing>
          <wp:inline distT="0" distB="0" distL="0" distR="0" wp14:anchorId="262C9B71" wp14:editId="18541139">
            <wp:extent cx="5486400" cy="2743200"/>
            <wp:effectExtent l="0" t="0" r="0" b="0"/>
            <wp:docPr id="20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2BCC7D" w14:textId="77777777" w:rsidR="00255D9E" w:rsidRPr="009A33A5" w:rsidRDefault="00255D9E" w:rsidP="00334845">
      <w:pPr>
        <w:pStyle w:val="Caption"/>
        <w:spacing w:after="120" w:line="360" w:lineRule="auto"/>
        <w:jc w:val="both"/>
        <w:rPr>
          <w:rFonts w:cs="Arial"/>
          <w:i/>
        </w:rPr>
      </w:pPr>
      <w:r>
        <w:rPr>
          <w:rFonts w:cs="Arial"/>
          <w:i/>
        </w:rPr>
        <w:t xml:space="preserve">Figure 4: Greggs shop estate growth, 2021-2026 YTD (editable native Word chart; data sources: </w:t>
      </w:r>
      <w:r w:rsidRPr="009A33A5">
        <w:rPr>
          <w:rFonts w:cs="Arial"/>
          <w:i/>
        </w:rPr>
        <w:t>Greggs plc, 2022; 2026a; 2026b; 2026d</w:t>
      </w:r>
      <w:r>
        <w:rPr>
          <w:rFonts w:cs="Arial"/>
          <w:i/>
        </w:rPr>
        <w:t>).</w:t>
      </w:r>
    </w:p>
    <w:p w14:paraId="22E08F04" w14:textId="2E360046" w:rsidR="005E2DA8" w:rsidRPr="00C967B4" w:rsidRDefault="005E2DA8" w:rsidP="00334845">
      <w:pPr>
        <w:spacing w:after="120" w:line="360" w:lineRule="auto"/>
        <w:jc w:val="both"/>
        <w:rPr>
          <w:rFonts w:cs="Arial"/>
          <w:szCs w:val="24"/>
        </w:rPr>
      </w:pPr>
      <w:r w:rsidRPr="00C967B4">
        <w:rPr>
          <w:rFonts w:cs="Arial"/>
          <w:szCs w:val="24"/>
        </w:rPr>
        <w:t xml:space="preserve">The estate grew from 2,181 shops at the end of 2021 to 2,739 at the end of 2025 and to 2,759 by 9 May 2026. These </w:t>
      </w:r>
      <w:proofErr w:type="gramStart"/>
      <w:r w:rsidRPr="00C967B4">
        <w:rPr>
          <w:rFonts w:cs="Arial"/>
          <w:szCs w:val="24"/>
        </w:rPr>
        <w:t>sales per shop</w:t>
      </w:r>
      <w:proofErr w:type="gramEnd"/>
      <w:r w:rsidRPr="00C967B4">
        <w:rPr>
          <w:rFonts w:cs="Arial"/>
          <w:szCs w:val="24"/>
        </w:rPr>
        <w:t xml:space="preserve"> rose from around GBP564,000 in 2021 to GBP785,000 in 2025, indicating that growth has not been attributed simply to an increase in the number of shops. However, this is the possibility of inflationary and mix effects as part of the improvement, which should be monitored by management and not average revenue from each shop (</w:t>
      </w:r>
      <w:proofErr w:type="gramStart"/>
      <w:r w:rsidRPr="00C967B4">
        <w:rPr>
          <w:rFonts w:cs="Arial"/>
          <w:szCs w:val="24"/>
        </w:rPr>
        <w:t>Greggs</w:t>
      </w:r>
      <w:proofErr w:type="gramEnd"/>
      <w:r w:rsidRPr="00C967B4">
        <w:rPr>
          <w:rFonts w:cs="Arial"/>
          <w:szCs w:val="24"/>
        </w:rPr>
        <w:t xml:space="preserve"> plc, 2022; </w:t>
      </w:r>
      <w:proofErr w:type="gramStart"/>
      <w:r w:rsidRPr="00C967B4">
        <w:rPr>
          <w:rFonts w:cs="Arial"/>
          <w:szCs w:val="24"/>
        </w:rPr>
        <w:t>Greggs</w:t>
      </w:r>
      <w:proofErr w:type="gramEnd"/>
      <w:r w:rsidRPr="00C967B4">
        <w:rPr>
          <w:rFonts w:cs="Arial"/>
          <w:szCs w:val="24"/>
        </w:rPr>
        <w:t xml:space="preserve"> plc, 2026b; </w:t>
      </w:r>
      <w:proofErr w:type="gramStart"/>
      <w:r w:rsidRPr="00C967B4">
        <w:rPr>
          <w:rFonts w:cs="Arial"/>
          <w:szCs w:val="24"/>
        </w:rPr>
        <w:t>Greggs</w:t>
      </w:r>
      <w:proofErr w:type="gramEnd"/>
      <w:r w:rsidRPr="00C967B4">
        <w:rPr>
          <w:rFonts w:cs="Arial"/>
          <w:szCs w:val="24"/>
        </w:rPr>
        <w:t xml:space="preserve"> plc, 2026d).</w:t>
      </w:r>
    </w:p>
    <w:tbl>
      <w:tblPr>
        <w:tblStyle w:val="PlainTable2"/>
        <w:tblW w:w="0" w:type="auto"/>
        <w:tblLook w:val="04A0" w:firstRow="1" w:lastRow="0" w:firstColumn="1" w:lastColumn="0" w:noHBand="0" w:noVBand="1"/>
      </w:tblPr>
      <w:tblGrid>
        <w:gridCol w:w="1607"/>
        <w:gridCol w:w="1188"/>
        <w:gridCol w:w="1187"/>
        <w:gridCol w:w="1187"/>
        <w:gridCol w:w="1187"/>
        <w:gridCol w:w="884"/>
        <w:gridCol w:w="2278"/>
      </w:tblGrid>
      <w:tr w:rsidR="00255D9E" w:rsidRPr="009A33A5" w14:paraId="6718809D" w14:textId="77777777" w:rsidTr="009A33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6" w:type="dxa"/>
          </w:tcPr>
          <w:p w14:paraId="57EB708C" w14:textId="77777777" w:rsidR="00255D9E" w:rsidRPr="009A33A5" w:rsidRDefault="00255D9E" w:rsidP="00334845">
            <w:pPr>
              <w:spacing w:line="360" w:lineRule="auto"/>
              <w:jc w:val="both"/>
              <w:rPr>
                <w:rFonts w:cs="Arial"/>
                <w:sz w:val="20"/>
                <w:szCs w:val="20"/>
              </w:rPr>
            </w:pPr>
            <w:r w:rsidRPr="009A33A5">
              <w:rPr>
                <w:rFonts w:cs="Arial"/>
                <w:sz w:val="20"/>
                <w:szCs w:val="20"/>
              </w:rPr>
              <w:t>Metric</w:t>
            </w:r>
          </w:p>
        </w:tc>
        <w:tc>
          <w:tcPr>
            <w:tcW w:w="1231" w:type="dxa"/>
          </w:tcPr>
          <w:p w14:paraId="7E498286"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2021</w:t>
            </w:r>
          </w:p>
        </w:tc>
        <w:tc>
          <w:tcPr>
            <w:tcW w:w="1231" w:type="dxa"/>
          </w:tcPr>
          <w:p w14:paraId="65213C73"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2022</w:t>
            </w:r>
          </w:p>
        </w:tc>
        <w:tc>
          <w:tcPr>
            <w:tcW w:w="1231" w:type="dxa"/>
          </w:tcPr>
          <w:p w14:paraId="4718E5AA"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2023</w:t>
            </w:r>
          </w:p>
        </w:tc>
        <w:tc>
          <w:tcPr>
            <w:tcW w:w="1231" w:type="dxa"/>
          </w:tcPr>
          <w:p w14:paraId="212F7517"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2024</w:t>
            </w:r>
          </w:p>
        </w:tc>
        <w:tc>
          <w:tcPr>
            <w:tcW w:w="882" w:type="dxa"/>
          </w:tcPr>
          <w:p w14:paraId="34ABAE06"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2025</w:t>
            </w:r>
          </w:p>
        </w:tc>
        <w:tc>
          <w:tcPr>
            <w:tcW w:w="2322" w:type="dxa"/>
          </w:tcPr>
          <w:p w14:paraId="393FFEA3" w14:textId="77777777" w:rsidR="00255D9E" w:rsidRPr="009A33A5" w:rsidRDefault="00255D9E"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Critical interpretation</w:t>
            </w:r>
          </w:p>
        </w:tc>
      </w:tr>
      <w:tr w:rsidR="00255D9E" w:rsidRPr="009A33A5" w14:paraId="6B2047CA"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6" w:type="dxa"/>
          </w:tcPr>
          <w:p w14:paraId="320AF93A" w14:textId="77777777" w:rsidR="00255D9E" w:rsidRPr="009A33A5" w:rsidRDefault="00255D9E" w:rsidP="00334845">
            <w:pPr>
              <w:spacing w:line="360" w:lineRule="auto"/>
              <w:jc w:val="both"/>
              <w:rPr>
                <w:rFonts w:cs="Arial"/>
                <w:sz w:val="20"/>
                <w:szCs w:val="20"/>
              </w:rPr>
            </w:pPr>
            <w:r w:rsidRPr="009A33A5">
              <w:rPr>
                <w:rFonts w:cs="Arial"/>
                <w:sz w:val="20"/>
                <w:szCs w:val="20"/>
              </w:rPr>
              <w:t>Revenue/sales (GBPm)</w:t>
            </w:r>
          </w:p>
        </w:tc>
        <w:tc>
          <w:tcPr>
            <w:tcW w:w="1231" w:type="dxa"/>
          </w:tcPr>
          <w:p w14:paraId="6A07F904"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1,229.7</w:t>
            </w:r>
          </w:p>
        </w:tc>
        <w:tc>
          <w:tcPr>
            <w:tcW w:w="1231" w:type="dxa"/>
          </w:tcPr>
          <w:p w14:paraId="4EE8EB37"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1,512.8</w:t>
            </w:r>
          </w:p>
        </w:tc>
        <w:tc>
          <w:tcPr>
            <w:tcW w:w="1231" w:type="dxa"/>
          </w:tcPr>
          <w:p w14:paraId="589471E0"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1,809.6</w:t>
            </w:r>
          </w:p>
        </w:tc>
        <w:tc>
          <w:tcPr>
            <w:tcW w:w="1231" w:type="dxa"/>
          </w:tcPr>
          <w:p w14:paraId="51E1707F"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2,014.4</w:t>
            </w:r>
          </w:p>
        </w:tc>
        <w:tc>
          <w:tcPr>
            <w:tcW w:w="882" w:type="dxa"/>
          </w:tcPr>
          <w:p w14:paraId="50A594F9"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2,151.2</w:t>
            </w:r>
          </w:p>
        </w:tc>
        <w:tc>
          <w:tcPr>
            <w:tcW w:w="2322" w:type="dxa"/>
          </w:tcPr>
          <w:p w14:paraId="7B50F051"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Strong five-year scaling but slowing growth in 2025.</w:t>
            </w:r>
          </w:p>
        </w:tc>
      </w:tr>
      <w:tr w:rsidR="00255D9E" w:rsidRPr="009A33A5" w14:paraId="62B6CDB2" w14:textId="77777777" w:rsidTr="009A33A5">
        <w:tc>
          <w:tcPr>
            <w:cnfStyle w:val="001000000000" w:firstRow="0" w:lastRow="0" w:firstColumn="1" w:lastColumn="0" w:oddVBand="0" w:evenVBand="0" w:oddHBand="0" w:evenHBand="0" w:firstRowFirstColumn="0" w:firstRowLastColumn="0" w:lastRowFirstColumn="0" w:lastRowLastColumn="0"/>
            <w:tcW w:w="1606" w:type="dxa"/>
          </w:tcPr>
          <w:p w14:paraId="506EEDAB" w14:textId="77777777" w:rsidR="00255D9E" w:rsidRPr="009A33A5" w:rsidRDefault="00255D9E" w:rsidP="00334845">
            <w:pPr>
              <w:spacing w:line="360" w:lineRule="auto"/>
              <w:jc w:val="both"/>
              <w:rPr>
                <w:rFonts w:cs="Arial"/>
                <w:sz w:val="20"/>
                <w:szCs w:val="20"/>
              </w:rPr>
            </w:pPr>
            <w:r w:rsidRPr="009A33A5">
              <w:rPr>
                <w:rFonts w:cs="Arial"/>
                <w:sz w:val="20"/>
                <w:szCs w:val="20"/>
              </w:rPr>
              <w:t>Underlying PBT (GBPm)</w:t>
            </w:r>
          </w:p>
        </w:tc>
        <w:tc>
          <w:tcPr>
            <w:tcW w:w="1231" w:type="dxa"/>
          </w:tcPr>
          <w:p w14:paraId="4AA09881"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145.6</w:t>
            </w:r>
          </w:p>
        </w:tc>
        <w:tc>
          <w:tcPr>
            <w:tcW w:w="1231" w:type="dxa"/>
          </w:tcPr>
          <w:p w14:paraId="0E076F79"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148.3</w:t>
            </w:r>
          </w:p>
        </w:tc>
        <w:tc>
          <w:tcPr>
            <w:tcW w:w="1231" w:type="dxa"/>
          </w:tcPr>
          <w:p w14:paraId="4E4C29EE"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167.7</w:t>
            </w:r>
          </w:p>
        </w:tc>
        <w:tc>
          <w:tcPr>
            <w:tcW w:w="1231" w:type="dxa"/>
          </w:tcPr>
          <w:p w14:paraId="5AF17969"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189.8</w:t>
            </w:r>
          </w:p>
        </w:tc>
        <w:tc>
          <w:tcPr>
            <w:tcW w:w="882" w:type="dxa"/>
          </w:tcPr>
          <w:p w14:paraId="7CCB84D6"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171.9</w:t>
            </w:r>
          </w:p>
        </w:tc>
        <w:tc>
          <w:tcPr>
            <w:tcW w:w="2322" w:type="dxa"/>
          </w:tcPr>
          <w:p w14:paraId="26B401D3"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Profit growth lagged sales growth and reversed in 2025.</w:t>
            </w:r>
          </w:p>
        </w:tc>
      </w:tr>
      <w:tr w:rsidR="00255D9E" w:rsidRPr="009A33A5" w14:paraId="5C39FDB1"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6" w:type="dxa"/>
          </w:tcPr>
          <w:p w14:paraId="19FE21E6" w14:textId="77777777" w:rsidR="00255D9E" w:rsidRPr="009A33A5" w:rsidRDefault="00255D9E" w:rsidP="00334845">
            <w:pPr>
              <w:spacing w:line="360" w:lineRule="auto"/>
              <w:jc w:val="both"/>
              <w:rPr>
                <w:rFonts w:cs="Arial"/>
                <w:sz w:val="20"/>
                <w:szCs w:val="20"/>
              </w:rPr>
            </w:pPr>
            <w:r w:rsidRPr="009A33A5">
              <w:rPr>
                <w:rFonts w:cs="Arial"/>
                <w:sz w:val="20"/>
                <w:szCs w:val="20"/>
              </w:rPr>
              <w:t>PAT (GBPm)</w:t>
            </w:r>
          </w:p>
        </w:tc>
        <w:tc>
          <w:tcPr>
            <w:tcW w:w="1231" w:type="dxa"/>
          </w:tcPr>
          <w:p w14:paraId="45672E2D"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117.5</w:t>
            </w:r>
          </w:p>
        </w:tc>
        <w:tc>
          <w:tcPr>
            <w:tcW w:w="1231" w:type="dxa"/>
          </w:tcPr>
          <w:p w14:paraId="226341FA"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120.3</w:t>
            </w:r>
          </w:p>
        </w:tc>
        <w:tc>
          <w:tcPr>
            <w:tcW w:w="1231" w:type="dxa"/>
          </w:tcPr>
          <w:p w14:paraId="54E6CE30"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142.5</w:t>
            </w:r>
          </w:p>
        </w:tc>
        <w:tc>
          <w:tcPr>
            <w:tcW w:w="1231" w:type="dxa"/>
          </w:tcPr>
          <w:p w14:paraId="3580F462"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153.4</w:t>
            </w:r>
          </w:p>
        </w:tc>
        <w:tc>
          <w:tcPr>
            <w:tcW w:w="882" w:type="dxa"/>
          </w:tcPr>
          <w:p w14:paraId="2F2C317D"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122.2</w:t>
            </w:r>
          </w:p>
        </w:tc>
        <w:tc>
          <w:tcPr>
            <w:tcW w:w="2322" w:type="dxa"/>
          </w:tcPr>
          <w:p w14:paraId="4D7352BD"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 xml:space="preserve">Net profit decline shows </w:t>
            </w:r>
            <w:r w:rsidRPr="009A33A5">
              <w:rPr>
                <w:rFonts w:cs="Arial"/>
                <w:sz w:val="20"/>
                <w:szCs w:val="20"/>
              </w:rPr>
              <w:lastRenderedPageBreak/>
              <w:t>cost/tax/exceptional pressures.</w:t>
            </w:r>
          </w:p>
        </w:tc>
      </w:tr>
      <w:tr w:rsidR="00255D9E" w:rsidRPr="009A33A5" w14:paraId="2BD1030E" w14:textId="77777777" w:rsidTr="009A33A5">
        <w:tc>
          <w:tcPr>
            <w:cnfStyle w:val="001000000000" w:firstRow="0" w:lastRow="0" w:firstColumn="1" w:lastColumn="0" w:oddVBand="0" w:evenVBand="0" w:oddHBand="0" w:evenHBand="0" w:firstRowFirstColumn="0" w:firstRowLastColumn="0" w:lastRowFirstColumn="0" w:lastRowLastColumn="0"/>
            <w:tcW w:w="1606" w:type="dxa"/>
          </w:tcPr>
          <w:p w14:paraId="37C651C2" w14:textId="77777777" w:rsidR="00255D9E" w:rsidRPr="009A33A5" w:rsidRDefault="00255D9E" w:rsidP="00334845">
            <w:pPr>
              <w:spacing w:line="360" w:lineRule="auto"/>
              <w:jc w:val="both"/>
              <w:rPr>
                <w:rFonts w:cs="Arial"/>
                <w:sz w:val="20"/>
                <w:szCs w:val="20"/>
              </w:rPr>
            </w:pPr>
            <w:r w:rsidRPr="009A33A5">
              <w:rPr>
                <w:rFonts w:cs="Arial"/>
                <w:sz w:val="20"/>
                <w:szCs w:val="20"/>
              </w:rPr>
              <w:lastRenderedPageBreak/>
              <w:t>Underlying PBT margin</w:t>
            </w:r>
          </w:p>
        </w:tc>
        <w:tc>
          <w:tcPr>
            <w:tcW w:w="1231" w:type="dxa"/>
          </w:tcPr>
          <w:p w14:paraId="4E3B4CE0"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11.8%</w:t>
            </w:r>
          </w:p>
        </w:tc>
        <w:tc>
          <w:tcPr>
            <w:tcW w:w="1231" w:type="dxa"/>
          </w:tcPr>
          <w:p w14:paraId="54011F91"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9.8%</w:t>
            </w:r>
          </w:p>
        </w:tc>
        <w:tc>
          <w:tcPr>
            <w:tcW w:w="1231" w:type="dxa"/>
          </w:tcPr>
          <w:p w14:paraId="4A24D09F"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9.3%</w:t>
            </w:r>
          </w:p>
        </w:tc>
        <w:tc>
          <w:tcPr>
            <w:tcW w:w="1231" w:type="dxa"/>
          </w:tcPr>
          <w:p w14:paraId="01644087"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9.4%</w:t>
            </w:r>
          </w:p>
        </w:tc>
        <w:tc>
          <w:tcPr>
            <w:tcW w:w="882" w:type="dxa"/>
          </w:tcPr>
          <w:p w14:paraId="7E0C2992"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8.0%</w:t>
            </w:r>
          </w:p>
        </w:tc>
        <w:tc>
          <w:tcPr>
            <w:tcW w:w="2322" w:type="dxa"/>
          </w:tcPr>
          <w:p w14:paraId="33A3BE87"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Margin compression is the central financial risk.</w:t>
            </w:r>
          </w:p>
        </w:tc>
      </w:tr>
      <w:tr w:rsidR="00255D9E" w:rsidRPr="009A33A5" w14:paraId="5E67E8D9" w14:textId="77777777" w:rsidTr="009A3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6" w:type="dxa"/>
          </w:tcPr>
          <w:p w14:paraId="0C6F0AE7" w14:textId="77777777" w:rsidR="00255D9E" w:rsidRPr="009A33A5" w:rsidRDefault="00255D9E" w:rsidP="00334845">
            <w:pPr>
              <w:spacing w:line="360" w:lineRule="auto"/>
              <w:jc w:val="both"/>
              <w:rPr>
                <w:rFonts w:cs="Arial"/>
                <w:sz w:val="20"/>
                <w:szCs w:val="20"/>
              </w:rPr>
            </w:pPr>
            <w:r w:rsidRPr="009A33A5">
              <w:rPr>
                <w:rFonts w:cs="Arial"/>
                <w:sz w:val="20"/>
                <w:szCs w:val="20"/>
              </w:rPr>
              <w:t>Total shops</w:t>
            </w:r>
          </w:p>
        </w:tc>
        <w:tc>
          <w:tcPr>
            <w:tcW w:w="1231" w:type="dxa"/>
          </w:tcPr>
          <w:p w14:paraId="1B01F917"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2,181</w:t>
            </w:r>
          </w:p>
        </w:tc>
        <w:tc>
          <w:tcPr>
            <w:tcW w:w="1231" w:type="dxa"/>
          </w:tcPr>
          <w:p w14:paraId="35BDB189"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2,328</w:t>
            </w:r>
          </w:p>
        </w:tc>
        <w:tc>
          <w:tcPr>
            <w:tcW w:w="1231" w:type="dxa"/>
          </w:tcPr>
          <w:p w14:paraId="4950A7DD"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2,473</w:t>
            </w:r>
          </w:p>
        </w:tc>
        <w:tc>
          <w:tcPr>
            <w:tcW w:w="1231" w:type="dxa"/>
          </w:tcPr>
          <w:p w14:paraId="3644B3FC"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2,618</w:t>
            </w:r>
          </w:p>
        </w:tc>
        <w:tc>
          <w:tcPr>
            <w:tcW w:w="882" w:type="dxa"/>
          </w:tcPr>
          <w:p w14:paraId="04B99734"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2,739</w:t>
            </w:r>
          </w:p>
        </w:tc>
        <w:tc>
          <w:tcPr>
            <w:tcW w:w="2322" w:type="dxa"/>
          </w:tcPr>
          <w:p w14:paraId="5EEA5265" w14:textId="77777777" w:rsidR="00255D9E" w:rsidRPr="009A33A5" w:rsidRDefault="00255D9E"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9A33A5">
              <w:rPr>
                <w:rFonts w:cs="Arial"/>
                <w:sz w:val="20"/>
                <w:szCs w:val="20"/>
              </w:rPr>
              <w:t>Expansion remains controlled but capital intensive.</w:t>
            </w:r>
          </w:p>
        </w:tc>
      </w:tr>
      <w:tr w:rsidR="00255D9E" w:rsidRPr="009A33A5" w14:paraId="704F5F4E" w14:textId="77777777" w:rsidTr="009A33A5">
        <w:tc>
          <w:tcPr>
            <w:cnfStyle w:val="001000000000" w:firstRow="0" w:lastRow="0" w:firstColumn="1" w:lastColumn="0" w:oddVBand="0" w:evenVBand="0" w:oddHBand="0" w:evenHBand="0" w:firstRowFirstColumn="0" w:firstRowLastColumn="0" w:lastRowFirstColumn="0" w:lastRowLastColumn="0"/>
            <w:tcW w:w="1606" w:type="dxa"/>
          </w:tcPr>
          <w:p w14:paraId="535CA5D9" w14:textId="77777777" w:rsidR="00255D9E" w:rsidRPr="009A33A5" w:rsidRDefault="00255D9E" w:rsidP="00334845">
            <w:pPr>
              <w:spacing w:line="360" w:lineRule="auto"/>
              <w:jc w:val="both"/>
              <w:rPr>
                <w:rFonts w:cs="Arial"/>
                <w:sz w:val="20"/>
                <w:szCs w:val="20"/>
              </w:rPr>
            </w:pPr>
            <w:r w:rsidRPr="009A33A5">
              <w:rPr>
                <w:rFonts w:cs="Arial"/>
                <w:sz w:val="20"/>
                <w:szCs w:val="20"/>
              </w:rPr>
              <w:t>Revenue per shop (GBP000)</w:t>
            </w:r>
          </w:p>
        </w:tc>
        <w:tc>
          <w:tcPr>
            <w:tcW w:w="1231" w:type="dxa"/>
          </w:tcPr>
          <w:p w14:paraId="24534795"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564</w:t>
            </w:r>
          </w:p>
        </w:tc>
        <w:tc>
          <w:tcPr>
            <w:tcW w:w="1231" w:type="dxa"/>
          </w:tcPr>
          <w:p w14:paraId="29EDD920"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650</w:t>
            </w:r>
          </w:p>
        </w:tc>
        <w:tc>
          <w:tcPr>
            <w:tcW w:w="1231" w:type="dxa"/>
          </w:tcPr>
          <w:p w14:paraId="24AF6ABB"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732</w:t>
            </w:r>
          </w:p>
        </w:tc>
        <w:tc>
          <w:tcPr>
            <w:tcW w:w="1231" w:type="dxa"/>
          </w:tcPr>
          <w:p w14:paraId="789E540F"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769</w:t>
            </w:r>
          </w:p>
        </w:tc>
        <w:tc>
          <w:tcPr>
            <w:tcW w:w="882" w:type="dxa"/>
          </w:tcPr>
          <w:p w14:paraId="6D0BB244"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785</w:t>
            </w:r>
          </w:p>
        </w:tc>
        <w:tc>
          <w:tcPr>
            <w:tcW w:w="2322" w:type="dxa"/>
          </w:tcPr>
          <w:p w14:paraId="74C2CD6A" w14:textId="77777777" w:rsidR="00255D9E" w:rsidRPr="009A33A5" w:rsidRDefault="00255D9E"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9A33A5">
              <w:rPr>
                <w:rFonts w:cs="Arial"/>
                <w:sz w:val="20"/>
                <w:szCs w:val="20"/>
              </w:rPr>
              <w:t>Improvement shows productivity, but price inflation must be separated from true volume growth.</w:t>
            </w:r>
          </w:p>
        </w:tc>
      </w:tr>
    </w:tbl>
    <w:p w14:paraId="300820A8" w14:textId="77777777" w:rsidR="00255D9E" w:rsidRPr="00334845" w:rsidRDefault="00255D9E" w:rsidP="00334845">
      <w:pPr>
        <w:pStyle w:val="Caption"/>
        <w:spacing w:after="120" w:line="360" w:lineRule="auto"/>
        <w:jc w:val="both"/>
        <w:rPr>
          <w:rFonts w:cs="Arial"/>
        </w:rPr>
      </w:pPr>
      <w:r>
        <w:rPr>
          <w:rFonts w:cs="Arial"/>
          <w:i/>
        </w:rPr>
        <w:t>Table 7: Financial analysis summary, 2021-2025.</w:t>
      </w:r>
    </w:p>
    <w:p w14:paraId="79EF56D2" w14:textId="7BC909EF" w:rsidR="00890CE4" w:rsidRPr="00334845" w:rsidRDefault="00890CE4"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What is more important than Greggs' history of raising capital in the past is its ability to reinvest in the business at this time in order to expand, which is achieved primarily through operating cash and balance-sheet strength. Despite the reduction in net cash from GBP125.3m in 2024, </w:t>
      </w:r>
      <w:r w:rsidRPr="009A33A5">
        <w:rPr>
          <w:rFonts w:eastAsia="Times New Roman" w:cs="Arial"/>
          <w:szCs w:val="24"/>
        </w:rPr>
        <w:t>when shops and production facilities were undergoing</w:t>
      </w:r>
      <w:r>
        <w:rPr>
          <w:rFonts w:eastAsia="Times New Roman" w:cs="Arial"/>
          <w:szCs w:val="24"/>
        </w:rPr>
        <w:t xml:space="preserve"> their highest level of capital investment, it maintained a net cash position of GBP45.8m and available liquidity of GBP145.8m in 2025 (Greggs plc, 2026b). Thus, the financial plan ought to be concerned with enhancing Derby/Kettering logistics, automation, payback-based website options and profitable electronic development to re-establish ROCE and secure value (</w:t>
      </w:r>
      <w:r w:rsidRPr="009A33A5">
        <w:rPr>
          <w:rFonts w:eastAsia="Times New Roman" w:cs="Arial"/>
          <w:szCs w:val="24"/>
        </w:rPr>
        <w:t>Greggs plc, 2026b</w:t>
      </w:r>
      <w:r>
        <w:rPr>
          <w:rFonts w:eastAsia="Times New Roman" w:cs="Arial"/>
          <w:szCs w:val="24"/>
        </w:rPr>
        <w:t>; Teece, 2007).</w:t>
      </w:r>
    </w:p>
    <w:p w14:paraId="507F8417" w14:textId="77777777" w:rsidR="00255D9E" w:rsidRPr="00334845" w:rsidRDefault="00255D9E" w:rsidP="00334845">
      <w:pPr>
        <w:spacing w:line="360" w:lineRule="auto"/>
        <w:jc w:val="both"/>
        <w:rPr>
          <w:rFonts w:cs="Arial"/>
        </w:rPr>
      </w:pPr>
      <w:r>
        <w:rPr>
          <w:rFonts w:cs="Arial"/>
          <w:noProof/>
        </w:rPr>
        <w:drawing>
          <wp:inline distT="0" distB="0" distL="0" distR="0" wp14:anchorId="6C258302" wp14:editId="761FD29E">
            <wp:extent cx="5486400" cy="2743200"/>
            <wp:effectExtent l="0" t="0" r="0" b="0"/>
            <wp:docPr id="20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6FB3794" w14:textId="77777777" w:rsidR="00255D9E" w:rsidRPr="00334845" w:rsidRDefault="00255D9E" w:rsidP="00334845">
      <w:pPr>
        <w:pStyle w:val="Caption"/>
        <w:spacing w:after="120" w:line="360" w:lineRule="auto"/>
        <w:jc w:val="both"/>
        <w:rPr>
          <w:rFonts w:cs="Arial"/>
        </w:rPr>
      </w:pPr>
      <w:r>
        <w:rPr>
          <w:rFonts w:cs="Arial"/>
          <w:i/>
        </w:rPr>
        <w:lastRenderedPageBreak/>
        <w:t>Figure 5: Greggs 2025 underlying cost base composition (editable native Word chart; data source: Greggs plc, 2026c).</w:t>
      </w:r>
    </w:p>
    <w:p w14:paraId="0BA0BB13" w14:textId="3B1D23D8" w:rsidR="00890CE4" w:rsidRPr="00334845" w:rsidRDefault="00890CE4"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The situation also serves as a reminder of the importance of operational discipline for Greggs. People costs represented 39% and food/packaging 33% of the underlying cost base in 2025. They will be hard to cut without impacting service or quality, and so there will be more levers to pull on in terms of productivity, labour scheduling, waste control and procurement cover </w:t>
      </w:r>
      <w:r w:rsidRPr="009A33A5">
        <w:rPr>
          <w:rFonts w:eastAsia="Times New Roman" w:cs="Arial"/>
          <w:szCs w:val="24"/>
        </w:rPr>
        <w:t>rather than relying on broader financial adjustments</w:t>
      </w:r>
      <w:r>
        <w:rPr>
          <w:rFonts w:eastAsia="Times New Roman" w:cs="Arial"/>
          <w:szCs w:val="24"/>
        </w:rPr>
        <w:t xml:space="preserve"> (Greggs plc, 2026c).</w:t>
      </w:r>
    </w:p>
    <w:p w14:paraId="6915AF25" w14:textId="77777777" w:rsidR="00FE356E" w:rsidRPr="00334845" w:rsidRDefault="00823F54" w:rsidP="00334845">
      <w:pPr>
        <w:pStyle w:val="Heading1"/>
        <w:spacing w:before="180" w:after="80" w:line="360" w:lineRule="auto"/>
        <w:jc w:val="both"/>
        <w:rPr>
          <w:rFonts w:ascii="Arial" w:hAnsi="Arial" w:cs="Arial"/>
        </w:rPr>
      </w:pPr>
      <w:bookmarkStart w:id="13" w:name="_Toc233326218"/>
      <w:r>
        <w:rPr>
          <w:rFonts w:ascii="Arial" w:hAnsi="Arial" w:cs="Arial"/>
          <w:color w:val="1F4E79"/>
        </w:rPr>
        <w:t>6. Conclusion and Business Plan Priorities</w:t>
      </w:r>
      <w:bookmarkEnd w:id="13"/>
    </w:p>
    <w:p w14:paraId="2841E3F9" w14:textId="77777777" w:rsidR="00EE37C5" w:rsidRPr="00EE37C5" w:rsidRDefault="00596D21" w:rsidP="00EE37C5">
      <w:pPr>
        <w:spacing w:before="100" w:beforeAutospacing="1" w:after="100" w:afterAutospacing="1" w:line="360" w:lineRule="auto"/>
        <w:jc w:val="both"/>
        <w:rPr>
          <w:rFonts w:eastAsia="Times New Roman" w:cs="Arial"/>
          <w:szCs w:val="24"/>
        </w:rPr>
      </w:pPr>
      <w:r>
        <w:rPr>
          <w:rFonts w:eastAsia="Times New Roman" w:cs="Arial"/>
          <w:szCs w:val="24"/>
        </w:rPr>
        <w:t xml:space="preserve">The point of simplicity and value has been transformed into a food-to-go national platform, and Greggs still makes a good entrepreneurial case. It offers defensible advantages through its brand, scale, supply chain, application, partnerships and alternative location. </w:t>
      </w:r>
      <w:r w:rsidR="00EE37C5" w:rsidRPr="00EE37C5">
        <w:rPr>
          <w:rFonts w:eastAsia="Times New Roman" w:cs="Arial"/>
          <w:szCs w:val="24"/>
        </w:rPr>
        <w:t xml:space="preserve">However, the new bottom line is that Greggs is transitioning to a phase where it has a more mature and cost-sensitive customer base. It is not only about the number of stores, sales growth and brand affinity; it </w:t>
      </w:r>
      <w:proofErr w:type="gramStart"/>
      <w:r w:rsidR="00EE37C5" w:rsidRPr="00EE37C5">
        <w:rPr>
          <w:rFonts w:eastAsia="Times New Roman" w:cs="Arial"/>
          <w:szCs w:val="24"/>
        </w:rPr>
        <w:t>has to</w:t>
      </w:r>
      <w:proofErr w:type="gramEnd"/>
      <w:r w:rsidR="00EE37C5" w:rsidRPr="00EE37C5">
        <w:rPr>
          <w:rFonts w:eastAsia="Times New Roman" w:cs="Arial"/>
          <w:szCs w:val="24"/>
        </w:rPr>
        <w:t xml:space="preserve"> prove that every new channel and new site adds to the profit quality (</w:t>
      </w:r>
      <w:proofErr w:type="gramStart"/>
      <w:r w:rsidR="00EE37C5" w:rsidRPr="00EE37C5">
        <w:rPr>
          <w:rFonts w:eastAsia="Times New Roman" w:cs="Arial"/>
          <w:szCs w:val="24"/>
        </w:rPr>
        <w:t>Greggs</w:t>
      </w:r>
      <w:proofErr w:type="gramEnd"/>
      <w:r w:rsidR="00EE37C5" w:rsidRPr="00EE37C5">
        <w:rPr>
          <w:rFonts w:eastAsia="Times New Roman" w:cs="Arial"/>
          <w:szCs w:val="24"/>
        </w:rPr>
        <w:t xml:space="preserve"> plc, 2026a; Porter, 1985).</w:t>
      </w:r>
    </w:p>
    <w:p w14:paraId="4F532E3F" w14:textId="7B2AB4CC" w:rsidR="00596D21" w:rsidRDefault="00EE37C5" w:rsidP="00EE37C5">
      <w:pPr>
        <w:spacing w:before="100" w:beforeAutospacing="1" w:after="100" w:afterAutospacing="1" w:line="360" w:lineRule="auto"/>
        <w:jc w:val="both"/>
        <w:rPr>
          <w:rFonts w:eastAsia="Times New Roman" w:cs="Arial"/>
          <w:szCs w:val="24"/>
        </w:rPr>
      </w:pPr>
      <w:r w:rsidRPr="00EE37C5">
        <w:rPr>
          <w:rFonts w:eastAsia="Times New Roman" w:cs="Arial"/>
          <w:szCs w:val="24"/>
        </w:rPr>
        <w:t xml:space="preserve">There is a recommended business plan: be a value leader and be more selective: target higher returns and catchments. simplify profitable menu innovation: Make sure that profits from new menu items are </w:t>
      </w:r>
      <w:proofErr w:type="spellStart"/>
      <w:r w:rsidRPr="00EE37C5">
        <w:rPr>
          <w:rFonts w:eastAsia="Times New Roman" w:cs="Arial"/>
          <w:szCs w:val="24"/>
        </w:rPr>
        <w:t>realised</w:t>
      </w:r>
      <w:proofErr w:type="spellEnd"/>
      <w:r w:rsidRPr="00EE37C5">
        <w:rPr>
          <w:rFonts w:eastAsia="Times New Roman" w:cs="Arial"/>
          <w:szCs w:val="24"/>
        </w:rPr>
        <w:t xml:space="preserve"> in the right way; use app data for incremental frequency: Profit from user data in the app; manage delivery economics: Consider the costs and benefits of logistics investments and finance logistics investments with measurable savings: Invest in logistics with measurable ROI.</w:t>
      </w:r>
      <w:r>
        <w:rPr>
          <w:rFonts w:eastAsia="Times New Roman" w:cs="Arial"/>
          <w:szCs w:val="24"/>
        </w:rPr>
        <w:t xml:space="preserve"> </w:t>
      </w:r>
      <w:r w:rsidR="00596D21">
        <w:rPr>
          <w:rFonts w:eastAsia="Times New Roman" w:cs="Arial"/>
          <w:szCs w:val="24"/>
        </w:rPr>
        <w:t>With this approach to growth, Greggs could make the expansion beyond 3,000 shops a realistic prospect. An expansion that is just for size is risky because it is likely to involve lower returns, poorer margins, and strategic overstretch (Barney, 1991; Teece, 2007).</w:t>
      </w:r>
    </w:p>
    <w:p w14:paraId="1C3F0216" w14:textId="383FBFB0" w:rsidR="009A33A5" w:rsidRDefault="009A33A5" w:rsidP="00334845">
      <w:pPr>
        <w:spacing w:before="100" w:beforeAutospacing="1" w:after="100" w:afterAutospacing="1" w:line="360" w:lineRule="auto"/>
        <w:jc w:val="both"/>
        <w:rPr>
          <w:rFonts w:eastAsia="Times New Roman" w:cs="Arial"/>
          <w:szCs w:val="24"/>
        </w:rPr>
      </w:pPr>
    </w:p>
    <w:p w14:paraId="00A99789" w14:textId="77777777" w:rsidR="009A33A5" w:rsidRPr="00596D21" w:rsidRDefault="009A33A5" w:rsidP="00334845">
      <w:pPr>
        <w:spacing w:before="100" w:beforeAutospacing="1" w:after="100" w:afterAutospacing="1" w:line="360" w:lineRule="auto"/>
        <w:jc w:val="both"/>
        <w:rPr>
          <w:rFonts w:eastAsia="Times New Roman" w:cs="Arial"/>
          <w:szCs w:val="24"/>
        </w:rPr>
      </w:pPr>
    </w:p>
    <w:p w14:paraId="7E76039B" w14:textId="77777777" w:rsidR="00FE356E" w:rsidRPr="00334845" w:rsidRDefault="00823F54" w:rsidP="00334845">
      <w:pPr>
        <w:pStyle w:val="Heading1"/>
        <w:spacing w:before="180" w:after="80" w:line="360" w:lineRule="auto"/>
        <w:jc w:val="both"/>
        <w:rPr>
          <w:rFonts w:ascii="Arial" w:hAnsi="Arial" w:cs="Arial"/>
        </w:rPr>
      </w:pPr>
      <w:bookmarkStart w:id="14" w:name="_Toc233326219"/>
      <w:r>
        <w:rPr>
          <w:rFonts w:ascii="Arial" w:hAnsi="Arial" w:cs="Arial"/>
          <w:color w:val="1F4E79"/>
        </w:rPr>
        <w:lastRenderedPageBreak/>
        <w:t>References</w:t>
      </w:r>
      <w:bookmarkEnd w:id="14"/>
    </w:p>
    <w:p w14:paraId="15B12E50" w14:textId="7777777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Barney, J.B. (1991) ‘Firm resources and sustained competitive advantage’, </w:t>
      </w:r>
      <w:r>
        <w:rPr>
          <w:rFonts w:eastAsia="Times New Roman" w:cs="Arial"/>
          <w:i/>
          <w:iCs/>
          <w:szCs w:val="24"/>
        </w:rPr>
        <w:t>Journal of Management</w:t>
      </w:r>
      <w:r>
        <w:rPr>
          <w:rFonts w:eastAsia="Times New Roman" w:cs="Arial"/>
          <w:szCs w:val="24"/>
        </w:rPr>
        <w:t>, 17(1), pp. 99–120. doi: 10.1177/014920639101700108.</w:t>
      </w:r>
    </w:p>
    <w:p w14:paraId="494A7885" w14:textId="7777777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Chaffey, D. and Ellis-Chadwick, F. (2022) </w:t>
      </w:r>
      <w:r>
        <w:rPr>
          <w:rFonts w:eastAsia="Times New Roman" w:cs="Arial"/>
          <w:i/>
          <w:iCs/>
          <w:szCs w:val="24"/>
        </w:rPr>
        <w:t>Digital Marketing: Strategy, Implementation and Practice</w:t>
      </w:r>
      <w:r>
        <w:rPr>
          <w:rFonts w:eastAsia="Times New Roman" w:cs="Arial"/>
          <w:szCs w:val="24"/>
        </w:rPr>
        <w:t>. 8th edn. Harlow: Pearson.</w:t>
      </w:r>
    </w:p>
    <w:p w14:paraId="48FE6EC4" w14:textId="0120796C"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Greggs plc (2022) </w:t>
      </w:r>
      <w:r>
        <w:rPr>
          <w:rFonts w:eastAsia="Times New Roman" w:cs="Arial"/>
          <w:i/>
          <w:iCs/>
          <w:szCs w:val="24"/>
        </w:rPr>
        <w:t>Preliminary results for the 52 weeks ended 1 January 2022</w:t>
      </w:r>
      <w:r>
        <w:rPr>
          <w:rFonts w:eastAsia="Times New Roman" w:cs="Arial"/>
          <w:szCs w:val="24"/>
        </w:rPr>
        <w:t xml:space="preserve">. Available at: </w:t>
      </w:r>
      <w:hyperlink r:id="rId13" w:tgtFrame="_new" w:history="1">
        <w:r>
          <w:rPr>
            <w:rFonts w:eastAsia="Times New Roman" w:cs="Arial"/>
            <w:color w:val="0000FF"/>
            <w:szCs w:val="24"/>
            <w:u w:val="single"/>
          </w:rPr>
          <w:t>https://assets.lsegissuerservices.com/original-d4c002c0-6557-4c7c-8afa-c0ffefa5ed4a.pdf</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63EC36FC" w14:textId="465C5AFA"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Greggs plc (2026a) </w:t>
      </w:r>
      <w:r>
        <w:rPr>
          <w:rFonts w:eastAsia="Times New Roman" w:cs="Arial"/>
          <w:i/>
          <w:iCs/>
          <w:szCs w:val="24"/>
        </w:rPr>
        <w:t>Preliminary results for the 52 weeks ended 27 December 2025</w:t>
      </w:r>
      <w:r>
        <w:rPr>
          <w:rFonts w:eastAsia="Times New Roman" w:cs="Arial"/>
          <w:szCs w:val="24"/>
        </w:rPr>
        <w:t xml:space="preserve">. Available at: </w:t>
      </w:r>
      <w:hyperlink r:id="rId14" w:tgtFrame="_new" w:history="1">
        <w:r>
          <w:rPr>
            <w:rFonts w:eastAsia="Times New Roman" w:cs="Arial"/>
            <w:color w:val="0000FF"/>
            <w:szCs w:val="24"/>
            <w:u w:val="single"/>
          </w:rPr>
          <w:t>https://assets.greggs.com/f/162306/x/e616871d6c/260303-greggs-2025-preliminary-results-final.pdf</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78063CF5" w14:textId="715FA11A"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Greggs plc (2026b) </w:t>
      </w:r>
      <w:r>
        <w:rPr>
          <w:rFonts w:eastAsia="Times New Roman" w:cs="Arial"/>
          <w:i/>
          <w:iCs/>
          <w:szCs w:val="24"/>
        </w:rPr>
        <w:t>Trading update for 19 weeks to 9 May 2026</w:t>
      </w:r>
      <w:r>
        <w:rPr>
          <w:rFonts w:eastAsia="Times New Roman" w:cs="Arial"/>
          <w:szCs w:val="24"/>
        </w:rPr>
        <w:t xml:space="preserve">. Available at: </w:t>
      </w:r>
      <w:hyperlink r:id="rId15" w:tgtFrame="_new" w:history="1">
        <w:r>
          <w:rPr>
            <w:rFonts w:eastAsia="Times New Roman" w:cs="Arial"/>
            <w:color w:val="0000FF"/>
            <w:szCs w:val="24"/>
            <w:u w:val="single"/>
          </w:rPr>
          <w:t>https://assets.greggs.com/f/162306/x/e612a4a90d/greggs-may-26-trading-update.pdf</w:t>
        </w:r>
      </w:hyperlink>
      <w:r>
        <w:rPr>
          <w:rFonts w:eastAsia="Times New Roman" w:cs="Arial"/>
          <w:szCs w:val="24"/>
        </w:rPr>
        <w:t xml:space="preserve"> (Accessed: </w:t>
      </w:r>
      <w:r w:rsidR="00E47062">
        <w:rPr>
          <w:rFonts w:eastAsia="Times New Roman" w:cs="Arial"/>
          <w:szCs w:val="24"/>
        </w:rPr>
        <w:t>17</w:t>
      </w:r>
      <w:r>
        <w:rPr>
          <w:rFonts w:eastAsia="Times New Roman" w:cs="Arial"/>
          <w:szCs w:val="24"/>
        </w:rPr>
        <w:t xml:space="preserve"> June 2026).</w:t>
      </w:r>
    </w:p>
    <w:p w14:paraId="225D73EC" w14:textId="341ED328"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Greggs plc (2026c) </w:t>
      </w:r>
      <w:r>
        <w:rPr>
          <w:rFonts w:eastAsia="Times New Roman" w:cs="Arial"/>
          <w:i/>
          <w:iCs/>
          <w:szCs w:val="24"/>
        </w:rPr>
        <w:t>Results and regulatory news</w:t>
      </w:r>
      <w:r>
        <w:rPr>
          <w:rFonts w:eastAsia="Times New Roman" w:cs="Arial"/>
          <w:szCs w:val="24"/>
        </w:rPr>
        <w:t xml:space="preserve">. Available at: </w:t>
      </w:r>
      <w:hyperlink r:id="rId16" w:tgtFrame="_new" w:history="1">
        <w:r>
          <w:rPr>
            <w:rFonts w:eastAsia="Times New Roman" w:cs="Arial"/>
            <w:color w:val="0000FF"/>
            <w:szCs w:val="24"/>
            <w:u w:val="single"/>
          </w:rPr>
          <w:t>https://corporate.greggs.co.uk/investors/results-and-regulatory-news</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7634F461" w14:textId="46AF1866"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Greggs plc (2026d) </w:t>
      </w:r>
      <w:r>
        <w:rPr>
          <w:rFonts w:eastAsia="Times New Roman" w:cs="Arial"/>
          <w:i/>
          <w:iCs/>
          <w:szCs w:val="24"/>
        </w:rPr>
        <w:t>2025 preliminary results presentation</w:t>
      </w:r>
      <w:r>
        <w:rPr>
          <w:rFonts w:eastAsia="Times New Roman" w:cs="Arial"/>
          <w:szCs w:val="24"/>
        </w:rPr>
        <w:t xml:space="preserve">. Available at: </w:t>
      </w:r>
      <w:hyperlink r:id="rId17" w:tgtFrame="_new" w:history="1">
        <w:r>
          <w:rPr>
            <w:rFonts w:eastAsia="Times New Roman" w:cs="Arial"/>
            <w:color w:val="0000FF"/>
            <w:szCs w:val="24"/>
            <w:u w:val="single"/>
          </w:rPr>
          <w:t>https://assets.greggs.com/f/162306/x/62bd59323a/260303-greggs-prelim-results-presentation-2025-final.pdf</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689030A9" w14:textId="7777777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Kotler, P., Keller, K.L. and Chernev, A. (2022) </w:t>
      </w:r>
      <w:r>
        <w:rPr>
          <w:rFonts w:eastAsia="Times New Roman" w:cs="Arial"/>
          <w:i/>
          <w:iCs/>
          <w:szCs w:val="24"/>
        </w:rPr>
        <w:t>Marketing Management</w:t>
      </w:r>
      <w:r>
        <w:rPr>
          <w:rFonts w:eastAsia="Times New Roman" w:cs="Arial"/>
          <w:szCs w:val="24"/>
        </w:rPr>
        <w:t>. 16th edn. Harlow: Pearson.</w:t>
      </w:r>
    </w:p>
    <w:p w14:paraId="7EA7B44F" w14:textId="2393B24A"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McDonald’s UK (2026) </w:t>
      </w:r>
      <w:r>
        <w:rPr>
          <w:rFonts w:eastAsia="Times New Roman" w:cs="Arial"/>
          <w:i/>
          <w:iCs/>
          <w:szCs w:val="24"/>
        </w:rPr>
        <w:t>Saver Menu</w:t>
      </w:r>
      <w:r>
        <w:rPr>
          <w:rFonts w:eastAsia="Times New Roman" w:cs="Arial"/>
          <w:szCs w:val="24"/>
        </w:rPr>
        <w:t xml:space="preserve">. Available at: </w:t>
      </w:r>
      <w:hyperlink r:id="rId18" w:tgtFrame="_new" w:history="1">
        <w:r>
          <w:rPr>
            <w:rFonts w:eastAsia="Times New Roman" w:cs="Arial"/>
            <w:color w:val="0000FF"/>
            <w:szCs w:val="24"/>
            <w:u w:val="single"/>
          </w:rPr>
          <w:t>https://www.mcdonalds.com/gb/en-gb/menu/saver-menu.html</w:t>
        </w:r>
      </w:hyperlink>
      <w:r>
        <w:rPr>
          <w:rFonts w:eastAsia="Times New Roman" w:cs="Arial"/>
          <w:szCs w:val="24"/>
        </w:rPr>
        <w:t xml:space="preserve"> (Accessed: </w:t>
      </w:r>
      <w:r w:rsidR="00E47062">
        <w:rPr>
          <w:rFonts w:eastAsia="Times New Roman" w:cs="Arial"/>
          <w:szCs w:val="24"/>
        </w:rPr>
        <w:t xml:space="preserve">15 </w:t>
      </w:r>
      <w:r>
        <w:rPr>
          <w:rFonts w:eastAsia="Times New Roman" w:cs="Arial"/>
          <w:szCs w:val="24"/>
        </w:rPr>
        <w:t>June 2026).</w:t>
      </w:r>
    </w:p>
    <w:p w14:paraId="02BD30A4" w14:textId="7777777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lastRenderedPageBreak/>
        <w:t xml:space="preserve">Porter, M.E. (1985) </w:t>
      </w:r>
      <w:r>
        <w:rPr>
          <w:rFonts w:eastAsia="Times New Roman" w:cs="Arial"/>
          <w:i/>
          <w:iCs/>
          <w:szCs w:val="24"/>
        </w:rPr>
        <w:t>Competitive Advantage: Creating and Sustaining Superior Performance</w:t>
      </w:r>
      <w:r>
        <w:rPr>
          <w:rFonts w:eastAsia="Times New Roman" w:cs="Arial"/>
          <w:szCs w:val="24"/>
        </w:rPr>
        <w:t>. New York: Free Press.</w:t>
      </w:r>
    </w:p>
    <w:p w14:paraId="2EFFB375" w14:textId="336D618F"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Pret A Manger (2026) </w:t>
      </w:r>
      <w:r>
        <w:rPr>
          <w:rFonts w:eastAsia="Times New Roman" w:cs="Arial"/>
          <w:i/>
          <w:iCs/>
          <w:szCs w:val="24"/>
        </w:rPr>
        <w:t>Coffee, Fresh Sandwiches, Snacks &amp; Drinks Menu</w:t>
      </w:r>
      <w:r>
        <w:rPr>
          <w:rFonts w:eastAsia="Times New Roman" w:cs="Arial"/>
          <w:szCs w:val="24"/>
        </w:rPr>
        <w:t xml:space="preserve">. Available at: </w:t>
      </w:r>
      <w:hyperlink r:id="rId19" w:tgtFrame="_new" w:history="1">
        <w:r>
          <w:rPr>
            <w:rFonts w:eastAsia="Times New Roman" w:cs="Arial"/>
            <w:color w:val="0000FF"/>
            <w:szCs w:val="24"/>
            <w:u w:val="single"/>
          </w:rPr>
          <w:t>https://www.pret.co.uk/en-GB/our-menu</w:t>
        </w:r>
      </w:hyperlink>
      <w:r>
        <w:rPr>
          <w:rFonts w:eastAsia="Times New Roman" w:cs="Arial"/>
          <w:szCs w:val="24"/>
        </w:rPr>
        <w:t xml:space="preserve"> (Accessed:</w:t>
      </w:r>
      <w:r w:rsidR="00E47062">
        <w:rPr>
          <w:rFonts w:eastAsia="Times New Roman" w:cs="Arial"/>
          <w:szCs w:val="24"/>
        </w:rPr>
        <w:t xml:space="preserve"> 15</w:t>
      </w:r>
      <w:r>
        <w:rPr>
          <w:rFonts w:eastAsia="Times New Roman" w:cs="Arial"/>
          <w:szCs w:val="24"/>
        </w:rPr>
        <w:t xml:space="preserve"> June 2026).</w:t>
      </w:r>
    </w:p>
    <w:p w14:paraId="22946BF8" w14:textId="5D3A7B0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Reuters (2026) ‘Greggs’ new menu helps bake in sales growth, shares rise’. Available at: </w:t>
      </w:r>
      <w:hyperlink r:id="rId20" w:tgtFrame="_new" w:history="1">
        <w:r>
          <w:rPr>
            <w:rFonts w:eastAsia="Times New Roman" w:cs="Arial"/>
            <w:color w:val="0000FF"/>
            <w:szCs w:val="24"/>
            <w:u w:val="single"/>
          </w:rPr>
          <w:t>https://www.reuters.com/world/uk/uk-baker-greggs-reports-sales-growth-new-menu-items-boost-demand-2026-05-12/</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32FED91E" w14:textId="70F70934"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Subway (2026) </w:t>
      </w:r>
      <w:r>
        <w:rPr>
          <w:rFonts w:eastAsia="Times New Roman" w:cs="Arial"/>
          <w:i/>
          <w:iCs/>
          <w:szCs w:val="24"/>
        </w:rPr>
        <w:t>Our Menu</w:t>
      </w:r>
      <w:r>
        <w:rPr>
          <w:rFonts w:eastAsia="Times New Roman" w:cs="Arial"/>
          <w:szCs w:val="24"/>
        </w:rPr>
        <w:t xml:space="preserve">. Available at: </w:t>
      </w:r>
      <w:hyperlink r:id="rId21" w:tgtFrame="_new" w:history="1">
        <w:r>
          <w:rPr>
            <w:rFonts w:eastAsia="Times New Roman" w:cs="Arial"/>
            <w:color w:val="0000FF"/>
            <w:szCs w:val="24"/>
            <w:u w:val="single"/>
          </w:rPr>
          <w:t>https://www.subway.com/en-gb/menunutrition/menu</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75DC2D6F" w14:textId="77777777" w:rsidR="009E06B1" w:rsidRP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Teece, D.J. (2007) ‘Explicating dynamic capabilities: the nature and microfoundations of (sustainable) enterprise performance’, </w:t>
      </w:r>
      <w:r>
        <w:rPr>
          <w:rFonts w:eastAsia="Times New Roman" w:cs="Arial"/>
          <w:i/>
          <w:iCs/>
          <w:szCs w:val="24"/>
        </w:rPr>
        <w:t>Strategic Management Journal</w:t>
      </w:r>
      <w:r>
        <w:rPr>
          <w:rFonts w:eastAsia="Times New Roman" w:cs="Arial"/>
          <w:szCs w:val="24"/>
        </w:rPr>
        <w:t>, 28(13), pp. 1319–1350. doi: 10.1002/smj.640.</w:t>
      </w:r>
    </w:p>
    <w:p w14:paraId="1AC7FDDA" w14:textId="3750F51D" w:rsidR="009E06B1" w:rsidRDefault="009E06B1" w:rsidP="00334845">
      <w:pPr>
        <w:spacing w:before="100" w:beforeAutospacing="1" w:after="100" w:afterAutospacing="1" w:line="360" w:lineRule="auto"/>
        <w:jc w:val="both"/>
        <w:rPr>
          <w:rFonts w:eastAsia="Times New Roman" w:cs="Arial"/>
          <w:szCs w:val="24"/>
        </w:rPr>
      </w:pPr>
      <w:r>
        <w:rPr>
          <w:rFonts w:eastAsia="Times New Roman" w:cs="Arial"/>
          <w:szCs w:val="24"/>
        </w:rPr>
        <w:t xml:space="preserve">Tesco (2026) </w:t>
      </w:r>
      <w:r>
        <w:rPr>
          <w:rFonts w:eastAsia="Times New Roman" w:cs="Arial"/>
          <w:i/>
          <w:iCs/>
          <w:szCs w:val="24"/>
        </w:rPr>
        <w:t>Lunch ideas - Regular Meal Deal mains</w:t>
      </w:r>
      <w:r>
        <w:rPr>
          <w:rFonts w:eastAsia="Times New Roman" w:cs="Arial"/>
          <w:szCs w:val="24"/>
        </w:rPr>
        <w:t xml:space="preserve">. Available at: </w:t>
      </w:r>
      <w:hyperlink r:id="rId22" w:tgtFrame="_new" w:history="1">
        <w:r>
          <w:rPr>
            <w:rFonts w:eastAsia="Times New Roman" w:cs="Arial"/>
            <w:color w:val="0000FF"/>
            <w:szCs w:val="24"/>
            <w:u w:val="single"/>
          </w:rPr>
          <w:t>https://www.tesco.com/shop/en-GB/buylists/lunch-meal-deals/classic-meal-deal-mains</w:t>
        </w:r>
      </w:hyperlink>
      <w:r>
        <w:rPr>
          <w:rFonts w:eastAsia="Times New Roman" w:cs="Arial"/>
          <w:szCs w:val="24"/>
        </w:rPr>
        <w:t xml:space="preserve"> (Accessed: </w:t>
      </w:r>
      <w:r w:rsidR="00E47062">
        <w:rPr>
          <w:rFonts w:eastAsia="Times New Roman" w:cs="Arial"/>
          <w:szCs w:val="24"/>
        </w:rPr>
        <w:t>16</w:t>
      </w:r>
      <w:r>
        <w:rPr>
          <w:rFonts w:eastAsia="Times New Roman" w:cs="Arial"/>
          <w:szCs w:val="24"/>
        </w:rPr>
        <w:t xml:space="preserve"> June 2026).</w:t>
      </w:r>
    </w:p>
    <w:p w14:paraId="246B7931" w14:textId="4A15133C" w:rsidR="00287678" w:rsidRDefault="00287678" w:rsidP="00334845">
      <w:pPr>
        <w:spacing w:before="100" w:beforeAutospacing="1" w:after="100" w:afterAutospacing="1" w:line="360" w:lineRule="auto"/>
        <w:jc w:val="both"/>
        <w:rPr>
          <w:rFonts w:eastAsia="Times New Roman" w:cs="Arial"/>
          <w:szCs w:val="24"/>
        </w:rPr>
      </w:pPr>
    </w:p>
    <w:p w14:paraId="258FB4BF" w14:textId="49E55334" w:rsidR="00287678" w:rsidRDefault="00287678" w:rsidP="00334845">
      <w:pPr>
        <w:spacing w:before="100" w:beforeAutospacing="1" w:after="100" w:afterAutospacing="1" w:line="360" w:lineRule="auto"/>
        <w:jc w:val="both"/>
        <w:rPr>
          <w:rFonts w:eastAsia="Times New Roman" w:cs="Arial"/>
          <w:szCs w:val="24"/>
        </w:rPr>
      </w:pPr>
    </w:p>
    <w:p w14:paraId="23537A12" w14:textId="416AF05C" w:rsidR="00287678" w:rsidRDefault="00287678" w:rsidP="00334845">
      <w:pPr>
        <w:spacing w:before="100" w:beforeAutospacing="1" w:after="100" w:afterAutospacing="1" w:line="360" w:lineRule="auto"/>
        <w:jc w:val="both"/>
        <w:rPr>
          <w:rFonts w:eastAsia="Times New Roman" w:cs="Arial"/>
          <w:szCs w:val="24"/>
        </w:rPr>
      </w:pPr>
    </w:p>
    <w:p w14:paraId="3E93E1DF" w14:textId="5376CB73" w:rsidR="00287678" w:rsidRDefault="00287678" w:rsidP="00334845">
      <w:pPr>
        <w:spacing w:before="100" w:beforeAutospacing="1" w:after="100" w:afterAutospacing="1" w:line="360" w:lineRule="auto"/>
        <w:jc w:val="both"/>
        <w:rPr>
          <w:rFonts w:eastAsia="Times New Roman" w:cs="Arial"/>
          <w:szCs w:val="24"/>
        </w:rPr>
      </w:pPr>
    </w:p>
    <w:p w14:paraId="0F67CA5B" w14:textId="23B2E6E9" w:rsidR="00287678" w:rsidRDefault="00287678" w:rsidP="00334845">
      <w:pPr>
        <w:spacing w:before="100" w:beforeAutospacing="1" w:after="100" w:afterAutospacing="1" w:line="360" w:lineRule="auto"/>
        <w:jc w:val="both"/>
        <w:rPr>
          <w:rFonts w:eastAsia="Times New Roman" w:cs="Arial"/>
          <w:szCs w:val="24"/>
        </w:rPr>
      </w:pPr>
    </w:p>
    <w:p w14:paraId="21513424" w14:textId="19ADD5E7" w:rsidR="00287678" w:rsidRDefault="00287678" w:rsidP="00334845">
      <w:pPr>
        <w:spacing w:before="100" w:beforeAutospacing="1" w:after="100" w:afterAutospacing="1" w:line="360" w:lineRule="auto"/>
        <w:jc w:val="both"/>
        <w:rPr>
          <w:rFonts w:eastAsia="Times New Roman" w:cs="Arial"/>
          <w:szCs w:val="24"/>
        </w:rPr>
      </w:pPr>
    </w:p>
    <w:p w14:paraId="3CF3D17D" w14:textId="77777777" w:rsidR="00287678" w:rsidRPr="009E06B1" w:rsidRDefault="00287678" w:rsidP="00334845">
      <w:pPr>
        <w:spacing w:before="100" w:beforeAutospacing="1" w:after="100" w:afterAutospacing="1" w:line="360" w:lineRule="auto"/>
        <w:jc w:val="both"/>
        <w:rPr>
          <w:rFonts w:eastAsia="Times New Roman" w:cs="Arial"/>
          <w:szCs w:val="24"/>
        </w:rPr>
      </w:pPr>
    </w:p>
    <w:p w14:paraId="3E19202D" w14:textId="77777777" w:rsidR="00FE356E" w:rsidRPr="00334845" w:rsidRDefault="00823F54" w:rsidP="00334845">
      <w:pPr>
        <w:pStyle w:val="Heading1"/>
        <w:spacing w:before="180" w:after="80" w:line="360" w:lineRule="auto"/>
        <w:jc w:val="both"/>
        <w:rPr>
          <w:rFonts w:ascii="Arial" w:hAnsi="Arial" w:cs="Arial"/>
        </w:rPr>
      </w:pPr>
      <w:bookmarkStart w:id="15" w:name="_Toc233326220"/>
      <w:r>
        <w:rPr>
          <w:rFonts w:ascii="Arial" w:hAnsi="Arial" w:cs="Arial"/>
          <w:color w:val="1F4E79"/>
        </w:rPr>
        <w:lastRenderedPageBreak/>
        <w:t>Appendices</w:t>
      </w:r>
      <w:bookmarkEnd w:id="15"/>
    </w:p>
    <w:p w14:paraId="0A1C0418" w14:textId="77777777" w:rsidR="00FE356E" w:rsidRPr="00334845" w:rsidRDefault="00823F54" w:rsidP="00334845">
      <w:pPr>
        <w:pStyle w:val="Heading2"/>
        <w:spacing w:before="100" w:after="80" w:line="360" w:lineRule="auto"/>
        <w:jc w:val="both"/>
        <w:rPr>
          <w:rFonts w:ascii="Arial" w:hAnsi="Arial" w:cs="Arial"/>
        </w:rPr>
      </w:pPr>
      <w:bookmarkStart w:id="16" w:name="_Toc233326221"/>
      <w:r>
        <w:rPr>
          <w:rFonts w:ascii="Arial" w:hAnsi="Arial" w:cs="Arial"/>
          <w:color w:val="1F4E79"/>
          <w:sz w:val="25"/>
        </w:rPr>
        <w:t>Appendix A: Comprehensive financial data and ratios</w:t>
      </w:r>
      <w:bookmarkEnd w:id="16"/>
    </w:p>
    <w:tbl>
      <w:tblPr>
        <w:tblStyle w:val="PlainTable4"/>
        <w:tblW w:w="0" w:type="auto"/>
        <w:tblLook w:val="04A0" w:firstRow="1" w:lastRow="0" w:firstColumn="1" w:lastColumn="0" w:noHBand="0" w:noVBand="1"/>
      </w:tblPr>
      <w:tblGrid>
        <w:gridCol w:w="864"/>
        <w:gridCol w:w="1011"/>
        <w:gridCol w:w="973"/>
        <w:gridCol w:w="1261"/>
        <w:gridCol w:w="1011"/>
        <w:gridCol w:w="1261"/>
        <w:gridCol w:w="930"/>
        <w:gridCol w:w="935"/>
        <w:gridCol w:w="1272"/>
      </w:tblGrid>
      <w:tr w:rsidR="00FE356E" w:rsidRPr="00334845" w14:paraId="4812A6C3" w14:textId="77777777" w:rsidTr="00535E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dxa"/>
          </w:tcPr>
          <w:p w14:paraId="6FD5BB19" w14:textId="77777777" w:rsidR="00FE356E" w:rsidRPr="00CD11BD" w:rsidRDefault="00823F54" w:rsidP="00334845">
            <w:pPr>
              <w:spacing w:line="360" w:lineRule="auto"/>
              <w:jc w:val="both"/>
              <w:rPr>
                <w:rFonts w:cs="Arial"/>
                <w:sz w:val="20"/>
                <w:szCs w:val="20"/>
              </w:rPr>
            </w:pPr>
            <w:r w:rsidRPr="00CD11BD">
              <w:rPr>
                <w:rFonts w:cs="Arial"/>
                <w:sz w:val="20"/>
                <w:szCs w:val="20"/>
              </w:rPr>
              <w:t>Year</w:t>
            </w:r>
          </w:p>
        </w:tc>
        <w:tc>
          <w:tcPr>
            <w:tcW w:w="1058" w:type="dxa"/>
          </w:tcPr>
          <w:p w14:paraId="757798A1"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Sales (GBPm)</w:t>
            </w:r>
          </w:p>
        </w:tc>
        <w:tc>
          <w:tcPr>
            <w:tcW w:w="1058" w:type="dxa"/>
          </w:tcPr>
          <w:p w14:paraId="08273DB8"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Sales growth</w:t>
            </w:r>
          </w:p>
        </w:tc>
        <w:tc>
          <w:tcPr>
            <w:tcW w:w="1058" w:type="dxa"/>
          </w:tcPr>
          <w:p w14:paraId="64777E9A"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Underlying PBT (GBPm)</w:t>
            </w:r>
          </w:p>
        </w:tc>
        <w:tc>
          <w:tcPr>
            <w:tcW w:w="1058" w:type="dxa"/>
          </w:tcPr>
          <w:p w14:paraId="5740D414"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PAT (GBPm)</w:t>
            </w:r>
          </w:p>
        </w:tc>
        <w:tc>
          <w:tcPr>
            <w:tcW w:w="1058" w:type="dxa"/>
          </w:tcPr>
          <w:p w14:paraId="6D14DFF3"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Underlying PBT margin</w:t>
            </w:r>
          </w:p>
        </w:tc>
        <w:tc>
          <w:tcPr>
            <w:tcW w:w="1058" w:type="dxa"/>
          </w:tcPr>
          <w:p w14:paraId="54E06191"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ROCE</w:t>
            </w:r>
          </w:p>
        </w:tc>
        <w:tc>
          <w:tcPr>
            <w:tcW w:w="1058" w:type="dxa"/>
          </w:tcPr>
          <w:p w14:paraId="3F0BCDEB"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Total shops</w:t>
            </w:r>
          </w:p>
        </w:tc>
        <w:tc>
          <w:tcPr>
            <w:tcW w:w="1058" w:type="dxa"/>
          </w:tcPr>
          <w:p w14:paraId="42E78CD5" w14:textId="77777777" w:rsidR="00FE356E" w:rsidRPr="00CD11BD"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Sales/shop (GBP000)</w:t>
            </w:r>
          </w:p>
        </w:tc>
      </w:tr>
      <w:tr w:rsidR="00FE356E" w:rsidRPr="00334845" w14:paraId="2ADD1DC6"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dxa"/>
          </w:tcPr>
          <w:p w14:paraId="0E946973" w14:textId="77777777" w:rsidR="00FE356E" w:rsidRPr="00CD11BD" w:rsidRDefault="00823F54" w:rsidP="00334845">
            <w:pPr>
              <w:spacing w:line="360" w:lineRule="auto"/>
              <w:jc w:val="both"/>
              <w:rPr>
                <w:rFonts w:cs="Arial"/>
                <w:sz w:val="20"/>
                <w:szCs w:val="20"/>
              </w:rPr>
            </w:pPr>
            <w:r w:rsidRPr="00CD11BD">
              <w:rPr>
                <w:rFonts w:cs="Arial"/>
                <w:sz w:val="20"/>
                <w:szCs w:val="20"/>
              </w:rPr>
              <w:t>2021</w:t>
            </w:r>
          </w:p>
        </w:tc>
        <w:tc>
          <w:tcPr>
            <w:tcW w:w="1058" w:type="dxa"/>
          </w:tcPr>
          <w:p w14:paraId="6E9E15C0"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1,229.7</w:t>
            </w:r>
          </w:p>
        </w:tc>
        <w:tc>
          <w:tcPr>
            <w:tcW w:w="1058" w:type="dxa"/>
          </w:tcPr>
          <w:p w14:paraId="41B550B3"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n/a</w:t>
            </w:r>
          </w:p>
        </w:tc>
        <w:tc>
          <w:tcPr>
            <w:tcW w:w="1058" w:type="dxa"/>
          </w:tcPr>
          <w:p w14:paraId="63E5B6DF"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145.6</w:t>
            </w:r>
          </w:p>
        </w:tc>
        <w:tc>
          <w:tcPr>
            <w:tcW w:w="1058" w:type="dxa"/>
          </w:tcPr>
          <w:p w14:paraId="7EA56CAA"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117.5</w:t>
            </w:r>
          </w:p>
        </w:tc>
        <w:tc>
          <w:tcPr>
            <w:tcW w:w="1058" w:type="dxa"/>
          </w:tcPr>
          <w:p w14:paraId="2B46A5ED"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11.8%</w:t>
            </w:r>
          </w:p>
        </w:tc>
        <w:tc>
          <w:tcPr>
            <w:tcW w:w="1058" w:type="dxa"/>
          </w:tcPr>
          <w:p w14:paraId="50584BCA"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23.0%</w:t>
            </w:r>
          </w:p>
        </w:tc>
        <w:tc>
          <w:tcPr>
            <w:tcW w:w="1058" w:type="dxa"/>
          </w:tcPr>
          <w:p w14:paraId="6660644A"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2,181</w:t>
            </w:r>
          </w:p>
        </w:tc>
        <w:tc>
          <w:tcPr>
            <w:tcW w:w="1058" w:type="dxa"/>
          </w:tcPr>
          <w:p w14:paraId="1AF457E8"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564</w:t>
            </w:r>
          </w:p>
        </w:tc>
      </w:tr>
      <w:tr w:rsidR="00FE356E" w:rsidRPr="00334845" w14:paraId="0C10A85B" w14:textId="77777777" w:rsidTr="00535E54">
        <w:tc>
          <w:tcPr>
            <w:cnfStyle w:val="001000000000" w:firstRow="0" w:lastRow="0" w:firstColumn="1" w:lastColumn="0" w:oddVBand="0" w:evenVBand="0" w:oddHBand="0" w:evenHBand="0" w:firstRowFirstColumn="0" w:firstRowLastColumn="0" w:lastRowFirstColumn="0" w:lastRowLastColumn="0"/>
            <w:tcW w:w="1058" w:type="dxa"/>
          </w:tcPr>
          <w:p w14:paraId="7FCBFB22" w14:textId="77777777" w:rsidR="00FE356E" w:rsidRPr="00CD11BD" w:rsidRDefault="00823F54" w:rsidP="00334845">
            <w:pPr>
              <w:spacing w:line="360" w:lineRule="auto"/>
              <w:jc w:val="both"/>
              <w:rPr>
                <w:rFonts w:cs="Arial"/>
                <w:sz w:val="20"/>
                <w:szCs w:val="20"/>
              </w:rPr>
            </w:pPr>
            <w:r w:rsidRPr="00CD11BD">
              <w:rPr>
                <w:rFonts w:cs="Arial"/>
                <w:sz w:val="20"/>
                <w:szCs w:val="20"/>
              </w:rPr>
              <w:t>2022</w:t>
            </w:r>
          </w:p>
        </w:tc>
        <w:tc>
          <w:tcPr>
            <w:tcW w:w="1058" w:type="dxa"/>
          </w:tcPr>
          <w:p w14:paraId="4F6E4F1F"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1,512.8</w:t>
            </w:r>
          </w:p>
        </w:tc>
        <w:tc>
          <w:tcPr>
            <w:tcW w:w="1058" w:type="dxa"/>
          </w:tcPr>
          <w:p w14:paraId="55DE3732"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23.0%</w:t>
            </w:r>
          </w:p>
        </w:tc>
        <w:tc>
          <w:tcPr>
            <w:tcW w:w="1058" w:type="dxa"/>
          </w:tcPr>
          <w:p w14:paraId="48F85853"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148.3</w:t>
            </w:r>
          </w:p>
        </w:tc>
        <w:tc>
          <w:tcPr>
            <w:tcW w:w="1058" w:type="dxa"/>
          </w:tcPr>
          <w:p w14:paraId="7A6135D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120.3</w:t>
            </w:r>
          </w:p>
        </w:tc>
        <w:tc>
          <w:tcPr>
            <w:tcW w:w="1058" w:type="dxa"/>
          </w:tcPr>
          <w:p w14:paraId="7E5BD3E5"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9.8%</w:t>
            </w:r>
          </w:p>
        </w:tc>
        <w:tc>
          <w:tcPr>
            <w:tcW w:w="1058" w:type="dxa"/>
          </w:tcPr>
          <w:p w14:paraId="23DCE105"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21.0%</w:t>
            </w:r>
          </w:p>
        </w:tc>
        <w:tc>
          <w:tcPr>
            <w:tcW w:w="1058" w:type="dxa"/>
          </w:tcPr>
          <w:p w14:paraId="6BB134C9"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2,328</w:t>
            </w:r>
          </w:p>
        </w:tc>
        <w:tc>
          <w:tcPr>
            <w:tcW w:w="1058" w:type="dxa"/>
          </w:tcPr>
          <w:p w14:paraId="0842F72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650</w:t>
            </w:r>
          </w:p>
        </w:tc>
      </w:tr>
      <w:tr w:rsidR="00FE356E" w:rsidRPr="00334845" w14:paraId="1B0B9079"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dxa"/>
          </w:tcPr>
          <w:p w14:paraId="761750F8" w14:textId="77777777" w:rsidR="00FE356E" w:rsidRPr="00CD11BD" w:rsidRDefault="00823F54" w:rsidP="00334845">
            <w:pPr>
              <w:spacing w:line="360" w:lineRule="auto"/>
              <w:jc w:val="both"/>
              <w:rPr>
                <w:rFonts w:cs="Arial"/>
                <w:sz w:val="20"/>
                <w:szCs w:val="20"/>
              </w:rPr>
            </w:pPr>
            <w:r w:rsidRPr="00CD11BD">
              <w:rPr>
                <w:rFonts w:cs="Arial"/>
                <w:sz w:val="20"/>
                <w:szCs w:val="20"/>
              </w:rPr>
              <w:t>2023</w:t>
            </w:r>
          </w:p>
        </w:tc>
        <w:tc>
          <w:tcPr>
            <w:tcW w:w="1058" w:type="dxa"/>
          </w:tcPr>
          <w:p w14:paraId="778A36D9"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1,809.6</w:t>
            </w:r>
          </w:p>
        </w:tc>
        <w:tc>
          <w:tcPr>
            <w:tcW w:w="1058" w:type="dxa"/>
          </w:tcPr>
          <w:p w14:paraId="0C670D4F"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19.6%</w:t>
            </w:r>
          </w:p>
        </w:tc>
        <w:tc>
          <w:tcPr>
            <w:tcW w:w="1058" w:type="dxa"/>
          </w:tcPr>
          <w:p w14:paraId="68764785"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167.7</w:t>
            </w:r>
          </w:p>
        </w:tc>
        <w:tc>
          <w:tcPr>
            <w:tcW w:w="1058" w:type="dxa"/>
          </w:tcPr>
          <w:p w14:paraId="1CA29F85"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142.5</w:t>
            </w:r>
          </w:p>
        </w:tc>
        <w:tc>
          <w:tcPr>
            <w:tcW w:w="1058" w:type="dxa"/>
          </w:tcPr>
          <w:p w14:paraId="25CE81DE"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9.3%</w:t>
            </w:r>
          </w:p>
        </w:tc>
        <w:tc>
          <w:tcPr>
            <w:tcW w:w="1058" w:type="dxa"/>
          </w:tcPr>
          <w:p w14:paraId="7E58DF3C"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21.1%</w:t>
            </w:r>
          </w:p>
        </w:tc>
        <w:tc>
          <w:tcPr>
            <w:tcW w:w="1058" w:type="dxa"/>
          </w:tcPr>
          <w:p w14:paraId="32790CD7"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2,473</w:t>
            </w:r>
          </w:p>
        </w:tc>
        <w:tc>
          <w:tcPr>
            <w:tcW w:w="1058" w:type="dxa"/>
          </w:tcPr>
          <w:p w14:paraId="68EE5A50"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732</w:t>
            </w:r>
          </w:p>
        </w:tc>
      </w:tr>
      <w:tr w:rsidR="00FE356E" w:rsidRPr="00334845" w14:paraId="37023E18" w14:textId="77777777" w:rsidTr="00535E54">
        <w:tc>
          <w:tcPr>
            <w:cnfStyle w:val="001000000000" w:firstRow="0" w:lastRow="0" w:firstColumn="1" w:lastColumn="0" w:oddVBand="0" w:evenVBand="0" w:oddHBand="0" w:evenHBand="0" w:firstRowFirstColumn="0" w:firstRowLastColumn="0" w:lastRowFirstColumn="0" w:lastRowLastColumn="0"/>
            <w:tcW w:w="1058" w:type="dxa"/>
          </w:tcPr>
          <w:p w14:paraId="25B22A88" w14:textId="77777777" w:rsidR="00FE356E" w:rsidRPr="00CD11BD" w:rsidRDefault="00823F54" w:rsidP="00334845">
            <w:pPr>
              <w:spacing w:line="360" w:lineRule="auto"/>
              <w:jc w:val="both"/>
              <w:rPr>
                <w:rFonts w:cs="Arial"/>
                <w:sz w:val="20"/>
                <w:szCs w:val="20"/>
              </w:rPr>
            </w:pPr>
            <w:r w:rsidRPr="00CD11BD">
              <w:rPr>
                <w:rFonts w:cs="Arial"/>
                <w:sz w:val="20"/>
                <w:szCs w:val="20"/>
              </w:rPr>
              <w:t>2024</w:t>
            </w:r>
          </w:p>
        </w:tc>
        <w:tc>
          <w:tcPr>
            <w:tcW w:w="1058" w:type="dxa"/>
          </w:tcPr>
          <w:p w14:paraId="3F165C34"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2,014.4</w:t>
            </w:r>
          </w:p>
        </w:tc>
        <w:tc>
          <w:tcPr>
            <w:tcW w:w="1058" w:type="dxa"/>
          </w:tcPr>
          <w:p w14:paraId="57DC0497"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11.3%</w:t>
            </w:r>
          </w:p>
        </w:tc>
        <w:tc>
          <w:tcPr>
            <w:tcW w:w="1058" w:type="dxa"/>
          </w:tcPr>
          <w:p w14:paraId="2EA8FC8F"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189.8</w:t>
            </w:r>
          </w:p>
        </w:tc>
        <w:tc>
          <w:tcPr>
            <w:tcW w:w="1058" w:type="dxa"/>
          </w:tcPr>
          <w:p w14:paraId="23EDBC6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153.4</w:t>
            </w:r>
          </w:p>
        </w:tc>
        <w:tc>
          <w:tcPr>
            <w:tcW w:w="1058" w:type="dxa"/>
          </w:tcPr>
          <w:p w14:paraId="7261E667"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9.4%</w:t>
            </w:r>
          </w:p>
        </w:tc>
        <w:tc>
          <w:tcPr>
            <w:tcW w:w="1058" w:type="dxa"/>
          </w:tcPr>
          <w:p w14:paraId="30D0EA97"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20.3%</w:t>
            </w:r>
          </w:p>
        </w:tc>
        <w:tc>
          <w:tcPr>
            <w:tcW w:w="1058" w:type="dxa"/>
          </w:tcPr>
          <w:p w14:paraId="59C46F5B"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2,618</w:t>
            </w:r>
          </w:p>
        </w:tc>
        <w:tc>
          <w:tcPr>
            <w:tcW w:w="1058" w:type="dxa"/>
          </w:tcPr>
          <w:p w14:paraId="5FF0E15B"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769</w:t>
            </w:r>
          </w:p>
        </w:tc>
      </w:tr>
      <w:tr w:rsidR="00FE356E" w:rsidRPr="00334845" w14:paraId="30BE91CC"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8" w:type="dxa"/>
          </w:tcPr>
          <w:p w14:paraId="6C14F6FB" w14:textId="77777777" w:rsidR="00FE356E" w:rsidRPr="00CD11BD" w:rsidRDefault="00823F54" w:rsidP="00334845">
            <w:pPr>
              <w:spacing w:line="360" w:lineRule="auto"/>
              <w:jc w:val="both"/>
              <w:rPr>
                <w:rFonts w:cs="Arial"/>
                <w:sz w:val="20"/>
                <w:szCs w:val="20"/>
              </w:rPr>
            </w:pPr>
            <w:r w:rsidRPr="00CD11BD">
              <w:rPr>
                <w:rFonts w:cs="Arial"/>
                <w:sz w:val="20"/>
                <w:szCs w:val="20"/>
              </w:rPr>
              <w:t>2025</w:t>
            </w:r>
          </w:p>
        </w:tc>
        <w:tc>
          <w:tcPr>
            <w:tcW w:w="1058" w:type="dxa"/>
          </w:tcPr>
          <w:p w14:paraId="7B53FA55"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2,151.2</w:t>
            </w:r>
          </w:p>
        </w:tc>
        <w:tc>
          <w:tcPr>
            <w:tcW w:w="1058" w:type="dxa"/>
          </w:tcPr>
          <w:p w14:paraId="5FB79885"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6.8%</w:t>
            </w:r>
          </w:p>
        </w:tc>
        <w:tc>
          <w:tcPr>
            <w:tcW w:w="1058" w:type="dxa"/>
          </w:tcPr>
          <w:p w14:paraId="21631A15"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171.9</w:t>
            </w:r>
          </w:p>
        </w:tc>
        <w:tc>
          <w:tcPr>
            <w:tcW w:w="1058" w:type="dxa"/>
          </w:tcPr>
          <w:p w14:paraId="71EC6374"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122.2</w:t>
            </w:r>
          </w:p>
        </w:tc>
        <w:tc>
          <w:tcPr>
            <w:tcW w:w="1058" w:type="dxa"/>
          </w:tcPr>
          <w:p w14:paraId="14B05274"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8.0%</w:t>
            </w:r>
          </w:p>
        </w:tc>
        <w:tc>
          <w:tcPr>
            <w:tcW w:w="1058" w:type="dxa"/>
          </w:tcPr>
          <w:p w14:paraId="4B57E29D"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16.0%</w:t>
            </w:r>
          </w:p>
        </w:tc>
        <w:tc>
          <w:tcPr>
            <w:tcW w:w="1058" w:type="dxa"/>
          </w:tcPr>
          <w:p w14:paraId="059D7CE7"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2,739</w:t>
            </w:r>
          </w:p>
        </w:tc>
        <w:tc>
          <w:tcPr>
            <w:tcW w:w="1058" w:type="dxa"/>
          </w:tcPr>
          <w:p w14:paraId="05CD518F" w14:textId="77777777" w:rsidR="00FE356E" w:rsidRPr="00CD11BD"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D11BD">
              <w:rPr>
                <w:rFonts w:cs="Arial"/>
                <w:sz w:val="20"/>
                <w:szCs w:val="20"/>
              </w:rPr>
              <w:t>785</w:t>
            </w:r>
          </w:p>
        </w:tc>
      </w:tr>
      <w:tr w:rsidR="00FE356E" w:rsidRPr="00334845" w14:paraId="225CA931" w14:textId="77777777" w:rsidTr="00535E54">
        <w:tc>
          <w:tcPr>
            <w:cnfStyle w:val="001000000000" w:firstRow="0" w:lastRow="0" w:firstColumn="1" w:lastColumn="0" w:oddVBand="0" w:evenVBand="0" w:oddHBand="0" w:evenHBand="0" w:firstRowFirstColumn="0" w:firstRowLastColumn="0" w:lastRowFirstColumn="0" w:lastRowLastColumn="0"/>
            <w:tcW w:w="1058" w:type="dxa"/>
          </w:tcPr>
          <w:p w14:paraId="19EC1774" w14:textId="77777777" w:rsidR="00FE356E" w:rsidRPr="00CD11BD" w:rsidRDefault="00823F54" w:rsidP="00334845">
            <w:pPr>
              <w:spacing w:line="360" w:lineRule="auto"/>
              <w:jc w:val="both"/>
              <w:rPr>
                <w:rFonts w:cs="Arial"/>
                <w:sz w:val="20"/>
                <w:szCs w:val="20"/>
              </w:rPr>
            </w:pPr>
            <w:r w:rsidRPr="00CD11BD">
              <w:rPr>
                <w:rFonts w:cs="Arial"/>
                <w:sz w:val="20"/>
                <w:szCs w:val="20"/>
              </w:rPr>
              <w:t>2026 YTD</w:t>
            </w:r>
          </w:p>
        </w:tc>
        <w:tc>
          <w:tcPr>
            <w:tcW w:w="1058" w:type="dxa"/>
          </w:tcPr>
          <w:p w14:paraId="114C768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800.0 (19 weeks)</w:t>
            </w:r>
          </w:p>
        </w:tc>
        <w:tc>
          <w:tcPr>
            <w:tcW w:w="1058" w:type="dxa"/>
          </w:tcPr>
          <w:p w14:paraId="3D6C44DB"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7.5%</w:t>
            </w:r>
          </w:p>
        </w:tc>
        <w:tc>
          <w:tcPr>
            <w:tcW w:w="1058" w:type="dxa"/>
          </w:tcPr>
          <w:p w14:paraId="7D9A4C4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n/a</w:t>
            </w:r>
          </w:p>
        </w:tc>
        <w:tc>
          <w:tcPr>
            <w:tcW w:w="1058" w:type="dxa"/>
          </w:tcPr>
          <w:p w14:paraId="236D9EB5"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n/a</w:t>
            </w:r>
          </w:p>
        </w:tc>
        <w:tc>
          <w:tcPr>
            <w:tcW w:w="1058" w:type="dxa"/>
          </w:tcPr>
          <w:p w14:paraId="3F6E47EA"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n/a</w:t>
            </w:r>
          </w:p>
        </w:tc>
        <w:tc>
          <w:tcPr>
            <w:tcW w:w="1058" w:type="dxa"/>
          </w:tcPr>
          <w:p w14:paraId="04C9C4C3"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n/a</w:t>
            </w:r>
          </w:p>
        </w:tc>
        <w:tc>
          <w:tcPr>
            <w:tcW w:w="1058" w:type="dxa"/>
          </w:tcPr>
          <w:p w14:paraId="4B8E1DC5"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2,759</w:t>
            </w:r>
          </w:p>
        </w:tc>
        <w:tc>
          <w:tcPr>
            <w:tcW w:w="1058" w:type="dxa"/>
          </w:tcPr>
          <w:p w14:paraId="2618D97F" w14:textId="77777777" w:rsidR="00FE356E" w:rsidRPr="00CD11BD"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D11BD">
              <w:rPr>
                <w:rFonts w:cs="Arial"/>
                <w:sz w:val="20"/>
                <w:szCs w:val="20"/>
              </w:rPr>
              <w:t>n/a</w:t>
            </w:r>
          </w:p>
        </w:tc>
      </w:tr>
    </w:tbl>
    <w:p w14:paraId="57D37E49" w14:textId="77777777" w:rsidR="00FE356E" w:rsidRPr="00334845" w:rsidRDefault="00823F54" w:rsidP="00334845">
      <w:pPr>
        <w:pStyle w:val="Caption"/>
        <w:spacing w:after="120" w:line="360" w:lineRule="auto"/>
        <w:jc w:val="both"/>
        <w:rPr>
          <w:rFonts w:cs="Arial"/>
        </w:rPr>
      </w:pPr>
      <w:r>
        <w:rPr>
          <w:rFonts w:cs="Arial"/>
          <w:b w:val="0"/>
          <w:i/>
        </w:rPr>
        <w:t>Appendix Table A1: Financial and operating data used for charts and ratio analysis.</w:t>
      </w:r>
    </w:p>
    <w:p w14:paraId="67A0AD47" w14:textId="77777777" w:rsidR="00FE356E" w:rsidRPr="00334845" w:rsidRDefault="00823F54" w:rsidP="00334845">
      <w:pPr>
        <w:pStyle w:val="Heading2"/>
        <w:spacing w:before="100" w:after="80" w:line="360" w:lineRule="auto"/>
        <w:jc w:val="both"/>
        <w:rPr>
          <w:rFonts w:ascii="Arial" w:hAnsi="Arial" w:cs="Arial"/>
        </w:rPr>
      </w:pPr>
      <w:bookmarkStart w:id="17" w:name="_Toc233326222"/>
      <w:r>
        <w:rPr>
          <w:rFonts w:ascii="Arial" w:hAnsi="Arial" w:cs="Arial"/>
          <w:color w:val="1F4E79"/>
          <w:sz w:val="25"/>
        </w:rPr>
        <w:t>Appendix B: Financial diagnostic and recommendations</w:t>
      </w:r>
      <w:bookmarkEnd w:id="17"/>
    </w:p>
    <w:tbl>
      <w:tblPr>
        <w:tblStyle w:val="PlainTable2"/>
        <w:tblW w:w="0" w:type="auto"/>
        <w:tblLook w:val="04A0" w:firstRow="1" w:lastRow="0" w:firstColumn="1" w:lastColumn="0" w:noHBand="0" w:noVBand="1"/>
      </w:tblPr>
      <w:tblGrid>
        <w:gridCol w:w="2379"/>
        <w:gridCol w:w="2379"/>
        <w:gridCol w:w="2379"/>
        <w:gridCol w:w="2379"/>
      </w:tblGrid>
      <w:tr w:rsidR="00FE356E" w:rsidRPr="00334845" w14:paraId="5BBE0C10" w14:textId="77777777" w:rsidTr="00535E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1A24792D" w14:textId="77777777" w:rsidR="00FE356E" w:rsidRPr="00535E54" w:rsidRDefault="00823F54" w:rsidP="00334845">
            <w:pPr>
              <w:spacing w:line="360" w:lineRule="auto"/>
              <w:jc w:val="both"/>
              <w:rPr>
                <w:rFonts w:cs="Arial"/>
                <w:sz w:val="20"/>
                <w:szCs w:val="20"/>
              </w:rPr>
            </w:pPr>
            <w:r w:rsidRPr="00535E54">
              <w:rPr>
                <w:rFonts w:cs="Arial"/>
                <w:sz w:val="20"/>
                <w:szCs w:val="20"/>
              </w:rPr>
              <w:t>Financial issue</w:t>
            </w:r>
          </w:p>
        </w:tc>
        <w:tc>
          <w:tcPr>
            <w:tcW w:w="2379" w:type="dxa"/>
          </w:tcPr>
          <w:p w14:paraId="04497AE8" w14:textId="77777777" w:rsidR="00FE356E" w:rsidRPr="00535E54"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Evidence</w:t>
            </w:r>
          </w:p>
        </w:tc>
        <w:tc>
          <w:tcPr>
            <w:tcW w:w="2379" w:type="dxa"/>
          </w:tcPr>
          <w:p w14:paraId="11FCDBAB" w14:textId="77777777" w:rsidR="00FE356E" w:rsidRPr="00535E54"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Business risk</w:t>
            </w:r>
          </w:p>
        </w:tc>
        <w:tc>
          <w:tcPr>
            <w:tcW w:w="2379" w:type="dxa"/>
          </w:tcPr>
          <w:p w14:paraId="2C83EA3E" w14:textId="77777777" w:rsidR="00FE356E" w:rsidRPr="00535E54"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Recommended control</w:t>
            </w:r>
          </w:p>
        </w:tc>
      </w:tr>
      <w:tr w:rsidR="00FE356E" w:rsidRPr="00334845" w14:paraId="5C94E8D0"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4E19CDA" w14:textId="77777777" w:rsidR="00FE356E" w:rsidRPr="00535E54" w:rsidRDefault="00823F54" w:rsidP="00334845">
            <w:pPr>
              <w:spacing w:line="360" w:lineRule="auto"/>
              <w:jc w:val="both"/>
              <w:rPr>
                <w:rFonts w:cs="Arial"/>
                <w:sz w:val="20"/>
                <w:szCs w:val="20"/>
              </w:rPr>
            </w:pPr>
            <w:r w:rsidRPr="00535E54">
              <w:rPr>
                <w:rFonts w:cs="Arial"/>
                <w:sz w:val="20"/>
                <w:szCs w:val="20"/>
              </w:rPr>
              <w:t>Margin compression</w:t>
            </w:r>
          </w:p>
        </w:tc>
        <w:tc>
          <w:tcPr>
            <w:tcW w:w="2379" w:type="dxa"/>
          </w:tcPr>
          <w:p w14:paraId="7E4B2544"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Underlying PBT margin fell to 8.0% in 2025.</w:t>
            </w:r>
          </w:p>
        </w:tc>
        <w:tc>
          <w:tcPr>
            <w:tcW w:w="2379" w:type="dxa"/>
          </w:tcPr>
          <w:p w14:paraId="23E1AC3F"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Sales growth may not translate into shareholder value.</w:t>
            </w:r>
          </w:p>
        </w:tc>
        <w:tc>
          <w:tcPr>
            <w:tcW w:w="2379" w:type="dxa"/>
          </w:tcPr>
          <w:p w14:paraId="2399C12F"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Track contribution margin, waste, labour hours per transaction and gross margin by product.</w:t>
            </w:r>
          </w:p>
        </w:tc>
      </w:tr>
      <w:tr w:rsidR="00FE356E" w:rsidRPr="00334845" w14:paraId="79F104FA" w14:textId="77777777" w:rsidTr="00535E54">
        <w:tc>
          <w:tcPr>
            <w:cnfStyle w:val="001000000000" w:firstRow="0" w:lastRow="0" w:firstColumn="1" w:lastColumn="0" w:oddVBand="0" w:evenVBand="0" w:oddHBand="0" w:evenHBand="0" w:firstRowFirstColumn="0" w:firstRowLastColumn="0" w:lastRowFirstColumn="0" w:lastRowLastColumn="0"/>
            <w:tcW w:w="2379" w:type="dxa"/>
          </w:tcPr>
          <w:p w14:paraId="57B44B01" w14:textId="77777777" w:rsidR="00FE356E" w:rsidRPr="00535E54" w:rsidRDefault="00823F54" w:rsidP="00334845">
            <w:pPr>
              <w:spacing w:line="360" w:lineRule="auto"/>
              <w:jc w:val="both"/>
              <w:rPr>
                <w:rFonts w:cs="Arial"/>
                <w:sz w:val="20"/>
                <w:szCs w:val="20"/>
              </w:rPr>
            </w:pPr>
            <w:r w:rsidRPr="00535E54">
              <w:rPr>
                <w:rFonts w:cs="Arial"/>
                <w:sz w:val="20"/>
                <w:szCs w:val="20"/>
              </w:rPr>
              <w:t>ROCE decline</w:t>
            </w:r>
          </w:p>
        </w:tc>
        <w:tc>
          <w:tcPr>
            <w:tcW w:w="2379" w:type="dxa"/>
          </w:tcPr>
          <w:p w14:paraId="3AAE3E3B"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ROCE fell to 16.0% in 2025.</w:t>
            </w:r>
          </w:p>
        </w:tc>
        <w:tc>
          <w:tcPr>
            <w:tcW w:w="2379" w:type="dxa"/>
          </w:tcPr>
          <w:p w14:paraId="4996213E"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Capital investment may dilute returns if benefits are delayed.</w:t>
            </w:r>
          </w:p>
        </w:tc>
        <w:tc>
          <w:tcPr>
            <w:tcW w:w="2379" w:type="dxa"/>
          </w:tcPr>
          <w:p w14:paraId="1F863020"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Apply milestone-based approval to Derby, Kettering and future capacity projects.</w:t>
            </w:r>
          </w:p>
        </w:tc>
      </w:tr>
      <w:tr w:rsidR="00FE356E" w:rsidRPr="00334845" w14:paraId="69E95929"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E58E45B" w14:textId="77777777" w:rsidR="00FE356E" w:rsidRPr="00535E54" w:rsidRDefault="00823F54" w:rsidP="00334845">
            <w:pPr>
              <w:spacing w:line="360" w:lineRule="auto"/>
              <w:jc w:val="both"/>
              <w:rPr>
                <w:rFonts w:cs="Arial"/>
                <w:sz w:val="20"/>
                <w:szCs w:val="20"/>
              </w:rPr>
            </w:pPr>
            <w:r w:rsidRPr="00535E54">
              <w:rPr>
                <w:rFonts w:cs="Arial"/>
                <w:sz w:val="20"/>
                <w:szCs w:val="20"/>
              </w:rPr>
              <w:t>Delivery economics</w:t>
            </w:r>
          </w:p>
        </w:tc>
        <w:tc>
          <w:tcPr>
            <w:tcW w:w="2379" w:type="dxa"/>
          </w:tcPr>
          <w:p w14:paraId="233D4283"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Delivery was 6.8% of company-managed shop sales.</w:t>
            </w:r>
          </w:p>
        </w:tc>
        <w:tc>
          <w:tcPr>
            <w:tcW w:w="2379" w:type="dxa"/>
          </w:tcPr>
          <w:p w14:paraId="002D7210"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Sales may be lower quality after fees and labour.</w:t>
            </w:r>
          </w:p>
        </w:tc>
        <w:tc>
          <w:tcPr>
            <w:tcW w:w="2379" w:type="dxa"/>
          </w:tcPr>
          <w:p w14:paraId="6A7D7473"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Measure delivery contribution by basket, daypart and store.</w:t>
            </w:r>
          </w:p>
        </w:tc>
      </w:tr>
      <w:tr w:rsidR="00FE356E" w:rsidRPr="00334845" w14:paraId="00C7E2BE" w14:textId="77777777" w:rsidTr="00535E54">
        <w:tc>
          <w:tcPr>
            <w:cnfStyle w:val="001000000000" w:firstRow="0" w:lastRow="0" w:firstColumn="1" w:lastColumn="0" w:oddVBand="0" w:evenVBand="0" w:oddHBand="0" w:evenHBand="0" w:firstRowFirstColumn="0" w:firstRowLastColumn="0" w:lastRowFirstColumn="0" w:lastRowLastColumn="0"/>
            <w:tcW w:w="2379" w:type="dxa"/>
          </w:tcPr>
          <w:p w14:paraId="380E6C03" w14:textId="77777777" w:rsidR="00FE356E" w:rsidRPr="00535E54" w:rsidRDefault="00823F54" w:rsidP="00334845">
            <w:pPr>
              <w:spacing w:line="360" w:lineRule="auto"/>
              <w:jc w:val="both"/>
              <w:rPr>
                <w:rFonts w:cs="Arial"/>
                <w:sz w:val="20"/>
                <w:szCs w:val="20"/>
              </w:rPr>
            </w:pPr>
            <w:r w:rsidRPr="00535E54">
              <w:rPr>
                <w:rFonts w:cs="Arial"/>
                <w:sz w:val="20"/>
                <w:szCs w:val="20"/>
              </w:rPr>
              <w:t>Estate saturation</w:t>
            </w:r>
          </w:p>
        </w:tc>
        <w:tc>
          <w:tcPr>
            <w:tcW w:w="2379" w:type="dxa"/>
          </w:tcPr>
          <w:p w14:paraId="1C527B12"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2,739 shops at end-2025; target about 120 net openings in 2026.</w:t>
            </w:r>
          </w:p>
        </w:tc>
        <w:tc>
          <w:tcPr>
            <w:tcW w:w="2379" w:type="dxa"/>
          </w:tcPr>
          <w:p w14:paraId="23481C0F"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Cannibalisation may reduce sales density.</w:t>
            </w:r>
          </w:p>
        </w:tc>
        <w:tc>
          <w:tcPr>
            <w:tcW w:w="2379" w:type="dxa"/>
          </w:tcPr>
          <w:p w14:paraId="20693FF8" w14:textId="77777777" w:rsidR="00FE356E" w:rsidRPr="00535E54"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35E54">
              <w:rPr>
                <w:rFonts w:cs="Arial"/>
                <w:sz w:val="20"/>
                <w:szCs w:val="20"/>
              </w:rPr>
              <w:t>Use catchment analysis and payback testing before openings.</w:t>
            </w:r>
          </w:p>
        </w:tc>
      </w:tr>
      <w:tr w:rsidR="00FE356E" w:rsidRPr="00334845" w14:paraId="524EAFC9" w14:textId="77777777" w:rsidTr="00535E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0F5237BE" w14:textId="77777777" w:rsidR="00FE356E" w:rsidRPr="00535E54" w:rsidRDefault="00823F54" w:rsidP="00334845">
            <w:pPr>
              <w:spacing w:line="360" w:lineRule="auto"/>
              <w:jc w:val="both"/>
              <w:rPr>
                <w:rFonts w:cs="Arial"/>
                <w:sz w:val="20"/>
                <w:szCs w:val="20"/>
              </w:rPr>
            </w:pPr>
            <w:r w:rsidRPr="00535E54">
              <w:rPr>
                <w:rFonts w:cs="Arial"/>
                <w:sz w:val="20"/>
                <w:szCs w:val="20"/>
              </w:rPr>
              <w:t>Cost base pressure</w:t>
            </w:r>
          </w:p>
        </w:tc>
        <w:tc>
          <w:tcPr>
            <w:tcW w:w="2379" w:type="dxa"/>
          </w:tcPr>
          <w:p w14:paraId="603127A6"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People and food/packaging represented 72% of the cost base.</w:t>
            </w:r>
          </w:p>
        </w:tc>
        <w:tc>
          <w:tcPr>
            <w:tcW w:w="2379" w:type="dxa"/>
          </w:tcPr>
          <w:p w14:paraId="58CAF66A"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Value promise may be squeezed by unavoidable costs.</w:t>
            </w:r>
          </w:p>
        </w:tc>
        <w:tc>
          <w:tcPr>
            <w:tcW w:w="2379" w:type="dxa"/>
          </w:tcPr>
          <w:p w14:paraId="7D5C2043" w14:textId="77777777" w:rsidR="00FE356E" w:rsidRPr="00535E54"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35E54">
              <w:rPr>
                <w:rFonts w:cs="Arial"/>
                <w:sz w:val="20"/>
                <w:szCs w:val="20"/>
              </w:rPr>
              <w:t>Use scheduling, automation, supplier cover and menu simplification.</w:t>
            </w:r>
          </w:p>
        </w:tc>
      </w:tr>
    </w:tbl>
    <w:p w14:paraId="2FBA9F31" w14:textId="77777777" w:rsidR="00FE356E" w:rsidRPr="00334845" w:rsidRDefault="00823F54" w:rsidP="00334845">
      <w:pPr>
        <w:pStyle w:val="Caption"/>
        <w:spacing w:after="120" w:line="360" w:lineRule="auto"/>
        <w:jc w:val="both"/>
        <w:rPr>
          <w:rFonts w:cs="Arial"/>
        </w:rPr>
      </w:pPr>
      <w:r>
        <w:rPr>
          <w:rFonts w:cs="Arial"/>
          <w:b w:val="0"/>
          <w:i/>
        </w:rPr>
        <w:t>Appendix Table B1: Financial diagnostic and control actions.</w:t>
      </w:r>
    </w:p>
    <w:p w14:paraId="50A88066" w14:textId="77777777" w:rsidR="00FE356E" w:rsidRPr="00334845" w:rsidRDefault="00823F54" w:rsidP="00334845">
      <w:pPr>
        <w:pStyle w:val="Heading2"/>
        <w:spacing w:before="100" w:after="80" w:line="360" w:lineRule="auto"/>
        <w:jc w:val="both"/>
        <w:rPr>
          <w:rFonts w:ascii="Arial" w:hAnsi="Arial" w:cs="Arial"/>
        </w:rPr>
      </w:pPr>
      <w:bookmarkStart w:id="18" w:name="_Toc233326223"/>
      <w:r>
        <w:rPr>
          <w:rFonts w:ascii="Arial" w:hAnsi="Arial" w:cs="Arial"/>
          <w:color w:val="1F4E79"/>
          <w:sz w:val="25"/>
        </w:rPr>
        <w:lastRenderedPageBreak/>
        <w:t>Appendix C: PESTEL context summary</w:t>
      </w:r>
      <w:bookmarkEnd w:id="18"/>
    </w:p>
    <w:tbl>
      <w:tblPr>
        <w:tblStyle w:val="PlainTable2"/>
        <w:tblW w:w="0" w:type="auto"/>
        <w:tblLook w:val="04A0" w:firstRow="1" w:lastRow="0" w:firstColumn="1" w:lastColumn="0" w:noHBand="0" w:noVBand="1"/>
      </w:tblPr>
      <w:tblGrid>
        <w:gridCol w:w="2358"/>
        <w:gridCol w:w="7160"/>
      </w:tblGrid>
      <w:tr w:rsidR="00FE356E" w:rsidRPr="00334845" w14:paraId="6E5C6D9C" w14:textId="77777777" w:rsidTr="00D521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6B52AB35" w14:textId="77777777" w:rsidR="00FE356E" w:rsidRPr="00593C0F" w:rsidRDefault="00823F54" w:rsidP="00334845">
            <w:pPr>
              <w:spacing w:line="360" w:lineRule="auto"/>
              <w:jc w:val="both"/>
              <w:rPr>
                <w:rFonts w:cs="Arial"/>
                <w:sz w:val="20"/>
                <w:szCs w:val="20"/>
              </w:rPr>
            </w:pPr>
            <w:r w:rsidRPr="00593C0F">
              <w:rPr>
                <w:rFonts w:cs="Arial"/>
                <w:sz w:val="20"/>
                <w:szCs w:val="20"/>
              </w:rPr>
              <w:t>Factor</w:t>
            </w:r>
          </w:p>
        </w:tc>
        <w:tc>
          <w:tcPr>
            <w:tcW w:w="7160" w:type="dxa"/>
          </w:tcPr>
          <w:p w14:paraId="5D7F0E82" w14:textId="77777777" w:rsidR="00FE356E" w:rsidRPr="00593C0F"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593C0F">
              <w:rPr>
                <w:rFonts w:cs="Arial"/>
                <w:sz w:val="20"/>
                <w:szCs w:val="20"/>
              </w:rPr>
              <w:t>Critical impact on Greggs</w:t>
            </w:r>
          </w:p>
        </w:tc>
      </w:tr>
      <w:tr w:rsidR="00FE356E" w:rsidRPr="00334845" w14:paraId="2CC641E7" w14:textId="77777777" w:rsidTr="00D521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6AE5F873" w14:textId="77777777" w:rsidR="00FE356E" w:rsidRPr="00593C0F" w:rsidRDefault="00823F54" w:rsidP="00334845">
            <w:pPr>
              <w:spacing w:line="360" w:lineRule="auto"/>
              <w:jc w:val="both"/>
              <w:rPr>
                <w:rFonts w:cs="Arial"/>
                <w:sz w:val="20"/>
                <w:szCs w:val="20"/>
              </w:rPr>
            </w:pPr>
            <w:r w:rsidRPr="00593C0F">
              <w:rPr>
                <w:rFonts w:cs="Arial"/>
                <w:sz w:val="20"/>
                <w:szCs w:val="20"/>
              </w:rPr>
              <w:t>Political/legal</w:t>
            </w:r>
          </w:p>
        </w:tc>
        <w:tc>
          <w:tcPr>
            <w:tcW w:w="7160" w:type="dxa"/>
          </w:tcPr>
          <w:p w14:paraId="13793A82" w14:textId="77777777" w:rsidR="00FE356E" w:rsidRPr="00593C0F"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93C0F">
              <w:rPr>
                <w:rFonts w:cs="Arial"/>
                <w:sz w:val="20"/>
                <w:szCs w:val="20"/>
              </w:rPr>
              <w:t>National Insurance, wage regulations, food safety and allergen rules affect labour cost, compliance and menu operations.</w:t>
            </w:r>
          </w:p>
        </w:tc>
      </w:tr>
      <w:tr w:rsidR="00FE356E" w:rsidRPr="00334845" w14:paraId="11BA225D" w14:textId="77777777" w:rsidTr="00D52116">
        <w:tc>
          <w:tcPr>
            <w:cnfStyle w:val="001000000000" w:firstRow="0" w:lastRow="0" w:firstColumn="1" w:lastColumn="0" w:oddVBand="0" w:evenVBand="0" w:oddHBand="0" w:evenHBand="0" w:firstRowFirstColumn="0" w:firstRowLastColumn="0" w:lastRowFirstColumn="0" w:lastRowLastColumn="0"/>
            <w:tcW w:w="2358" w:type="dxa"/>
          </w:tcPr>
          <w:p w14:paraId="4CDB08FE" w14:textId="77777777" w:rsidR="00FE356E" w:rsidRPr="00593C0F" w:rsidRDefault="00823F54" w:rsidP="00334845">
            <w:pPr>
              <w:spacing w:line="360" w:lineRule="auto"/>
              <w:jc w:val="both"/>
              <w:rPr>
                <w:rFonts w:cs="Arial"/>
                <w:sz w:val="20"/>
                <w:szCs w:val="20"/>
              </w:rPr>
            </w:pPr>
            <w:r w:rsidRPr="00593C0F">
              <w:rPr>
                <w:rFonts w:cs="Arial"/>
                <w:sz w:val="20"/>
                <w:szCs w:val="20"/>
              </w:rPr>
              <w:t>Economic</w:t>
            </w:r>
          </w:p>
        </w:tc>
        <w:tc>
          <w:tcPr>
            <w:tcW w:w="7160" w:type="dxa"/>
          </w:tcPr>
          <w:p w14:paraId="09F4DC75" w14:textId="77777777" w:rsidR="00FE356E" w:rsidRPr="00593C0F"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93C0F">
              <w:rPr>
                <w:rFonts w:cs="Arial"/>
                <w:sz w:val="20"/>
                <w:szCs w:val="20"/>
              </w:rPr>
              <w:t>Cost-of-living pressure supports value food-to-go but limits discretionary trading-up and makes price increases sensitive.</w:t>
            </w:r>
          </w:p>
        </w:tc>
      </w:tr>
      <w:tr w:rsidR="00FE356E" w:rsidRPr="00334845" w14:paraId="5E919C4B" w14:textId="77777777" w:rsidTr="00D521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2CC5038E" w14:textId="77777777" w:rsidR="00FE356E" w:rsidRPr="00593C0F" w:rsidRDefault="00823F54" w:rsidP="00334845">
            <w:pPr>
              <w:spacing w:line="360" w:lineRule="auto"/>
              <w:jc w:val="both"/>
              <w:rPr>
                <w:rFonts w:cs="Arial"/>
                <w:sz w:val="20"/>
                <w:szCs w:val="20"/>
              </w:rPr>
            </w:pPr>
            <w:r w:rsidRPr="00593C0F">
              <w:rPr>
                <w:rFonts w:cs="Arial"/>
                <w:sz w:val="20"/>
                <w:szCs w:val="20"/>
              </w:rPr>
              <w:t>Social</w:t>
            </w:r>
          </w:p>
        </w:tc>
        <w:tc>
          <w:tcPr>
            <w:tcW w:w="7160" w:type="dxa"/>
          </w:tcPr>
          <w:p w14:paraId="1D263A27" w14:textId="77777777" w:rsidR="00FE356E" w:rsidRPr="00593C0F"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93C0F">
              <w:rPr>
                <w:rFonts w:cs="Arial"/>
                <w:sz w:val="20"/>
                <w:szCs w:val="20"/>
              </w:rPr>
              <w:t>Health, protein, vegan/vegetarian and convenience trends create menu opportunities but challenge the traditional bakery identity.</w:t>
            </w:r>
          </w:p>
        </w:tc>
      </w:tr>
      <w:tr w:rsidR="00FE356E" w:rsidRPr="00334845" w14:paraId="61CF942C" w14:textId="77777777" w:rsidTr="00D52116">
        <w:tc>
          <w:tcPr>
            <w:cnfStyle w:val="001000000000" w:firstRow="0" w:lastRow="0" w:firstColumn="1" w:lastColumn="0" w:oddVBand="0" w:evenVBand="0" w:oddHBand="0" w:evenHBand="0" w:firstRowFirstColumn="0" w:firstRowLastColumn="0" w:lastRowFirstColumn="0" w:lastRowLastColumn="0"/>
            <w:tcW w:w="2358" w:type="dxa"/>
          </w:tcPr>
          <w:p w14:paraId="1325D6F2" w14:textId="77777777" w:rsidR="00FE356E" w:rsidRPr="00593C0F" w:rsidRDefault="00823F54" w:rsidP="00334845">
            <w:pPr>
              <w:spacing w:line="360" w:lineRule="auto"/>
              <w:jc w:val="both"/>
              <w:rPr>
                <w:rFonts w:cs="Arial"/>
                <w:sz w:val="20"/>
                <w:szCs w:val="20"/>
              </w:rPr>
            </w:pPr>
            <w:r w:rsidRPr="00593C0F">
              <w:rPr>
                <w:rFonts w:cs="Arial"/>
                <w:sz w:val="20"/>
                <w:szCs w:val="20"/>
              </w:rPr>
              <w:t>Technological</w:t>
            </w:r>
          </w:p>
        </w:tc>
        <w:tc>
          <w:tcPr>
            <w:tcW w:w="7160" w:type="dxa"/>
          </w:tcPr>
          <w:p w14:paraId="2DB3B265" w14:textId="77777777" w:rsidR="00FE356E" w:rsidRPr="00593C0F"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93C0F">
              <w:rPr>
                <w:rFonts w:cs="Arial"/>
                <w:sz w:val="20"/>
                <w:szCs w:val="20"/>
              </w:rPr>
              <w:t>App loyalty, delivery platforms, self-service ordering and AI-enabled forecasting can increase productivity if they improve decisions rather than merely add costs.</w:t>
            </w:r>
          </w:p>
        </w:tc>
      </w:tr>
      <w:tr w:rsidR="00FE356E" w:rsidRPr="00334845" w14:paraId="7364FA93" w14:textId="77777777" w:rsidTr="00D521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737440C3" w14:textId="77777777" w:rsidR="00FE356E" w:rsidRPr="00593C0F" w:rsidRDefault="00823F54" w:rsidP="00334845">
            <w:pPr>
              <w:spacing w:line="360" w:lineRule="auto"/>
              <w:jc w:val="both"/>
              <w:rPr>
                <w:rFonts w:cs="Arial"/>
                <w:sz w:val="20"/>
                <w:szCs w:val="20"/>
              </w:rPr>
            </w:pPr>
            <w:r w:rsidRPr="00593C0F">
              <w:rPr>
                <w:rFonts w:cs="Arial"/>
                <w:sz w:val="20"/>
                <w:szCs w:val="20"/>
              </w:rPr>
              <w:t>Environmental</w:t>
            </w:r>
          </w:p>
        </w:tc>
        <w:tc>
          <w:tcPr>
            <w:tcW w:w="7160" w:type="dxa"/>
          </w:tcPr>
          <w:p w14:paraId="4DE55E71" w14:textId="77777777" w:rsidR="00FE356E" w:rsidRPr="00593C0F"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593C0F">
              <w:rPr>
                <w:rFonts w:cs="Arial"/>
                <w:sz w:val="20"/>
                <w:szCs w:val="20"/>
              </w:rPr>
              <w:t>Packaging, food waste, energy use and transport emissions affect both operating cost and brand legitimacy.</w:t>
            </w:r>
          </w:p>
        </w:tc>
      </w:tr>
      <w:tr w:rsidR="00FE356E" w:rsidRPr="00334845" w14:paraId="0A3AA56E" w14:textId="77777777" w:rsidTr="00D52116">
        <w:tc>
          <w:tcPr>
            <w:cnfStyle w:val="001000000000" w:firstRow="0" w:lastRow="0" w:firstColumn="1" w:lastColumn="0" w:oddVBand="0" w:evenVBand="0" w:oddHBand="0" w:evenHBand="0" w:firstRowFirstColumn="0" w:firstRowLastColumn="0" w:lastRowFirstColumn="0" w:lastRowLastColumn="0"/>
            <w:tcW w:w="2358" w:type="dxa"/>
          </w:tcPr>
          <w:p w14:paraId="03EDDE54" w14:textId="77777777" w:rsidR="00FE356E" w:rsidRPr="00593C0F" w:rsidRDefault="00823F54" w:rsidP="00334845">
            <w:pPr>
              <w:spacing w:line="360" w:lineRule="auto"/>
              <w:jc w:val="both"/>
              <w:rPr>
                <w:rFonts w:cs="Arial"/>
                <w:sz w:val="20"/>
                <w:szCs w:val="20"/>
              </w:rPr>
            </w:pPr>
            <w:r w:rsidRPr="00593C0F">
              <w:rPr>
                <w:rFonts w:cs="Arial"/>
                <w:sz w:val="20"/>
                <w:szCs w:val="20"/>
              </w:rPr>
              <w:t>Competitive</w:t>
            </w:r>
          </w:p>
        </w:tc>
        <w:tc>
          <w:tcPr>
            <w:tcW w:w="7160" w:type="dxa"/>
          </w:tcPr>
          <w:p w14:paraId="5776F8FB" w14:textId="77777777" w:rsidR="00FE356E" w:rsidRPr="00593C0F"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593C0F">
              <w:rPr>
                <w:rFonts w:cs="Arial"/>
                <w:sz w:val="20"/>
                <w:szCs w:val="20"/>
              </w:rPr>
              <w:t>Food-to-go substitutes are broad, meaning Greggs competes with specialist bakeries, supermarkets, QSR chains and coffee shops simultaneously.</w:t>
            </w:r>
          </w:p>
        </w:tc>
      </w:tr>
    </w:tbl>
    <w:p w14:paraId="06E92430" w14:textId="77777777" w:rsidR="00FE356E" w:rsidRPr="00334845" w:rsidRDefault="00823F54" w:rsidP="00334845">
      <w:pPr>
        <w:pStyle w:val="Caption"/>
        <w:spacing w:after="120" w:line="360" w:lineRule="auto"/>
        <w:jc w:val="both"/>
        <w:rPr>
          <w:rFonts w:cs="Arial"/>
        </w:rPr>
      </w:pPr>
      <w:r>
        <w:rPr>
          <w:rFonts w:cs="Arial"/>
          <w:b w:val="0"/>
          <w:i/>
        </w:rPr>
        <w:t>Appendix Table C1: PESTEL summary for wider business environment.</w:t>
      </w:r>
    </w:p>
    <w:p w14:paraId="391DF3E5" w14:textId="77777777" w:rsidR="00FE356E" w:rsidRPr="00334845" w:rsidRDefault="00823F54" w:rsidP="00334845">
      <w:pPr>
        <w:pStyle w:val="Heading2"/>
        <w:spacing w:before="100" w:after="80" w:line="360" w:lineRule="auto"/>
        <w:jc w:val="both"/>
        <w:rPr>
          <w:rFonts w:ascii="Arial" w:hAnsi="Arial" w:cs="Arial"/>
        </w:rPr>
      </w:pPr>
      <w:bookmarkStart w:id="19" w:name="_Toc233326224"/>
      <w:r>
        <w:rPr>
          <w:rFonts w:ascii="Arial" w:hAnsi="Arial" w:cs="Arial"/>
          <w:color w:val="1F4E79"/>
          <w:sz w:val="25"/>
        </w:rPr>
        <w:t>Appendix D: Implementation roadmap</w:t>
      </w:r>
      <w:bookmarkEnd w:id="19"/>
    </w:p>
    <w:tbl>
      <w:tblPr>
        <w:tblStyle w:val="PlainTable2"/>
        <w:tblW w:w="0" w:type="auto"/>
        <w:tblLook w:val="04A0" w:firstRow="1" w:lastRow="0" w:firstColumn="1" w:lastColumn="0" w:noHBand="0" w:noVBand="1"/>
      </w:tblPr>
      <w:tblGrid>
        <w:gridCol w:w="2379"/>
        <w:gridCol w:w="2379"/>
        <w:gridCol w:w="2379"/>
        <w:gridCol w:w="2379"/>
      </w:tblGrid>
      <w:tr w:rsidR="00FE356E" w:rsidRPr="00334845" w14:paraId="672FBAE7" w14:textId="77777777" w:rsidTr="00C65B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D226358" w14:textId="77777777" w:rsidR="00FE356E" w:rsidRPr="00C65B52" w:rsidRDefault="00823F54" w:rsidP="00334845">
            <w:pPr>
              <w:spacing w:line="360" w:lineRule="auto"/>
              <w:jc w:val="both"/>
              <w:rPr>
                <w:rFonts w:cs="Arial"/>
                <w:sz w:val="20"/>
                <w:szCs w:val="20"/>
              </w:rPr>
            </w:pPr>
            <w:r w:rsidRPr="00C65B52">
              <w:rPr>
                <w:rFonts w:cs="Arial"/>
                <w:sz w:val="20"/>
                <w:szCs w:val="20"/>
              </w:rPr>
              <w:t>Timeframe</w:t>
            </w:r>
          </w:p>
        </w:tc>
        <w:tc>
          <w:tcPr>
            <w:tcW w:w="2379" w:type="dxa"/>
          </w:tcPr>
          <w:p w14:paraId="3B4A07ED" w14:textId="77777777" w:rsidR="00FE356E" w:rsidRPr="00C65B52"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Priority</w:t>
            </w:r>
          </w:p>
        </w:tc>
        <w:tc>
          <w:tcPr>
            <w:tcW w:w="2379" w:type="dxa"/>
          </w:tcPr>
          <w:p w14:paraId="221EEA96" w14:textId="77777777" w:rsidR="00FE356E" w:rsidRPr="00C65B52"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KPI</w:t>
            </w:r>
          </w:p>
        </w:tc>
        <w:tc>
          <w:tcPr>
            <w:tcW w:w="2379" w:type="dxa"/>
          </w:tcPr>
          <w:p w14:paraId="171A4E04" w14:textId="77777777" w:rsidR="00FE356E" w:rsidRPr="00C65B52" w:rsidRDefault="00823F54" w:rsidP="00334845">
            <w:pPr>
              <w:spacing w:line="360" w:lineRule="auto"/>
              <w:jc w:val="both"/>
              <w:cnfStyle w:val="100000000000" w:firstRow="1"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Reasoning</w:t>
            </w:r>
          </w:p>
        </w:tc>
      </w:tr>
      <w:tr w:rsidR="00FE356E" w:rsidRPr="00334845" w14:paraId="0BB43568" w14:textId="77777777" w:rsidTr="00C65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D222CC0" w14:textId="77777777" w:rsidR="00FE356E" w:rsidRPr="00C65B52" w:rsidRDefault="00823F54" w:rsidP="00334845">
            <w:pPr>
              <w:spacing w:line="360" w:lineRule="auto"/>
              <w:jc w:val="both"/>
              <w:rPr>
                <w:rFonts w:cs="Arial"/>
                <w:sz w:val="20"/>
                <w:szCs w:val="20"/>
              </w:rPr>
            </w:pPr>
            <w:r w:rsidRPr="00C65B52">
              <w:rPr>
                <w:rFonts w:cs="Arial"/>
                <w:sz w:val="20"/>
                <w:szCs w:val="20"/>
              </w:rPr>
              <w:t>0-6 months</w:t>
            </w:r>
          </w:p>
        </w:tc>
        <w:tc>
          <w:tcPr>
            <w:tcW w:w="2379" w:type="dxa"/>
          </w:tcPr>
          <w:p w14:paraId="131B8CC2"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Protect value perception and improve labour scheduling.</w:t>
            </w:r>
          </w:p>
        </w:tc>
        <w:tc>
          <w:tcPr>
            <w:tcW w:w="2379" w:type="dxa"/>
          </w:tcPr>
          <w:p w14:paraId="22F39B23"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Transaction frequency, labour hours per GBP sales, customer value score.</w:t>
            </w:r>
          </w:p>
        </w:tc>
        <w:tc>
          <w:tcPr>
            <w:tcW w:w="2379" w:type="dxa"/>
          </w:tcPr>
          <w:p w14:paraId="76934B14"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Immediate margin support without damaging customer trust.</w:t>
            </w:r>
          </w:p>
        </w:tc>
      </w:tr>
      <w:tr w:rsidR="00FE356E" w:rsidRPr="00334845" w14:paraId="5398D907" w14:textId="77777777" w:rsidTr="00C65B52">
        <w:tc>
          <w:tcPr>
            <w:cnfStyle w:val="001000000000" w:firstRow="0" w:lastRow="0" w:firstColumn="1" w:lastColumn="0" w:oddVBand="0" w:evenVBand="0" w:oddHBand="0" w:evenHBand="0" w:firstRowFirstColumn="0" w:firstRowLastColumn="0" w:lastRowFirstColumn="0" w:lastRowLastColumn="0"/>
            <w:tcW w:w="2379" w:type="dxa"/>
          </w:tcPr>
          <w:p w14:paraId="1B718311" w14:textId="77777777" w:rsidR="00FE356E" w:rsidRPr="00C65B52" w:rsidRDefault="00823F54" w:rsidP="00334845">
            <w:pPr>
              <w:spacing w:line="360" w:lineRule="auto"/>
              <w:jc w:val="both"/>
              <w:rPr>
                <w:rFonts w:cs="Arial"/>
                <w:sz w:val="20"/>
                <w:szCs w:val="20"/>
              </w:rPr>
            </w:pPr>
            <w:r w:rsidRPr="00C65B52">
              <w:rPr>
                <w:rFonts w:cs="Arial"/>
                <w:sz w:val="20"/>
                <w:szCs w:val="20"/>
              </w:rPr>
              <w:t>6-12 months</w:t>
            </w:r>
          </w:p>
        </w:tc>
        <w:tc>
          <w:tcPr>
            <w:tcW w:w="2379" w:type="dxa"/>
          </w:tcPr>
          <w:p w14:paraId="6CBDE410"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Complete Derby ramp-up and link capacity to shop availability.</w:t>
            </w:r>
          </w:p>
        </w:tc>
        <w:tc>
          <w:tcPr>
            <w:tcW w:w="2379" w:type="dxa"/>
          </w:tcPr>
          <w:p w14:paraId="4BE31F31"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On-time delivery, waste, availability, logistics cost per unit.</w:t>
            </w:r>
          </w:p>
        </w:tc>
        <w:tc>
          <w:tcPr>
            <w:tcW w:w="2379" w:type="dxa"/>
          </w:tcPr>
          <w:p w14:paraId="63306B7F"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Capacity must generate efficiency, not just higher fixed cost.</w:t>
            </w:r>
          </w:p>
        </w:tc>
      </w:tr>
      <w:tr w:rsidR="00FE356E" w:rsidRPr="00334845" w14:paraId="5BA4196B" w14:textId="77777777" w:rsidTr="00C65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29CABEFB" w14:textId="77777777" w:rsidR="00FE356E" w:rsidRPr="00C65B52" w:rsidRDefault="00823F54" w:rsidP="00334845">
            <w:pPr>
              <w:spacing w:line="360" w:lineRule="auto"/>
              <w:jc w:val="both"/>
              <w:rPr>
                <w:rFonts w:cs="Arial"/>
                <w:sz w:val="20"/>
                <w:szCs w:val="20"/>
              </w:rPr>
            </w:pPr>
            <w:r w:rsidRPr="00C65B52">
              <w:rPr>
                <w:rFonts w:cs="Arial"/>
                <w:sz w:val="20"/>
                <w:szCs w:val="20"/>
              </w:rPr>
              <w:t>12-24 months</w:t>
            </w:r>
          </w:p>
        </w:tc>
        <w:tc>
          <w:tcPr>
            <w:tcW w:w="2379" w:type="dxa"/>
          </w:tcPr>
          <w:p w14:paraId="620D6A10"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Open only high-return sites in underrepresented catchments.</w:t>
            </w:r>
          </w:p>
        </w:tc>
        <w:tc>
          <w:tcPr>
            <w:tcW w:w="2379" w:type="dxa"/>
          </w:tcPr>
          <w:p w14:paraId="37AAE192"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Payback period, sales density, cannibalisation rate.</w:t>
            </w:r>
          </w:p>
        </w:tc>
        <w:tc>
          <w:tcPr>
            <w:tcW w:w="2379" w:type="dxa"/>
          </w:tcPr>
          <w:p w14:paraId="319C7E40" w14:textId="77777777" w:rsidR="00FE356E" w:rsidRPr="00C65B52" w:rsidRDefault="00823F54" w:rsidP="00334845">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0"/>
                <w:szCs w:val="20"/>
              </w:rPr>
            </w:pPr>
            <w:r w:rsidRPr="00C65B52">
              <w:rPr>
                <w:rFonts w:cs="Arial"/>
                <w:sz w:val="20"/>
                <w:szCs w:val="20"/>
              </w:rPr>
              <w:t>Estate growth must be selective and financially justified.</w:t>
            </w:r>
          </w:p>
        </w:tc>
      </w:tr>
      <w:tr w:rsidR="00FE356E" w:rsidRPr="00334845" w14:paraId="174A5A5A" w14:textId="77777777" w:rsidTr="00C65B52">
        <w:tc>
          <w:tcPr>
            <w:cnfStyle w:val="001000000000" w:firstRow="0" w:lastRow="0" w:firstColumn="1" w:lastColumn="0" w:oddVBand="0" w:evenVBand="0" w:oddHBand="0" w:evenHBand="0" w:firstRowFirstColumn="0" w:firstRowLastColumn="0" w:lastRowFirstColumn="0" w:lastRowLastColumn="0"/>
            <w:tcW w:w="2379" w:type="dxa"/>
          </w:tcPr>
          <w:p w14:paraId="416FF23E" w14:textId="77777777" w:rsidR="00FE356E" w:rsidRPr="00C65B52" w:rsidRDefault="00823F54" w:rsidP="00334845">
            <w:pPr>
              <w:spacing w:line="360" w:lineRule="auto"/>
              <w:jc w:val="both"/>
              <w:rPr>
                <w:rFonts w:cs="Arial"/>
                <w:sz w:val="20"/>
                <w:szCs w:val="20"/>
              </w:rPr>
            </w:pPr>
            <w:r w:rsidRPr="00C65B52">
              <w:rPr>
                <w:rFonts w:cs="Arial"/>
                <w:sz w:val="20"/>
                <w:szCs w:val="20"/>
              </w:rPr>
              <w:t>24+ months</w:t>
            </w:r>
          </w:p>
        </w:tc>
        <w:tc>
          <w:tcPr>
            <w:tcW w:w="2379" w:type="dxa"/>
          </w:tcPr>
          <w:p w14:paraId="7EACFC3A"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Use app/AI data for personalised frequency and menu forecasting.</w:t>
            </w:r>
          </w:p>
        </w:tc>
        <w:tc>
          <w:tcPr>
            <w:tcW w:w="2379" w:type="dxa"/>
          </w:tcPr>
          <w:p w14:paraId="4D5536C1"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App scan rate, incremental visits, waste reduction, customer lifetime value.</w:t>
            </w:r>
          </w:p>
        </w:tc>
        <w:tc>
          <w:tcPr>
            <w:tcW w:w="2379" w:type="dxa"/>
          </w:tcPr>
          <w:p w14:paraId="5922635A" w14:textId="77777777" w:rsidR="00FE356E" w:rsidRPr="00C65B52" w:rsidRDefault="00823F54" w:rsidP="00334845">
            <w:pPr>
              <w:spacing w:line="360" w:lineRule="auto"/>
              <w:jc w:val="both"/>
              <w:cnfStyle w:val="000000000000" w:firstRow="0" w:lastRow="0" w:firstColumn="0" w:lastColumn="0" w:oddVBand="0" w:evenVBand="0" w:oddHBand="0" w:evenHBand="0" w:firstRowFirstColumn="0" w:firstRowLastColumn="0" w:lastRowFirstColumn="0" w:lastRowLastColumn="0"/>
              <w:rPr>
                <w:rFonts w:cs="Arial"/>
                <w:sz w:val="20"/>
                <w:szCs w:val="20"/>
              </w:rPr>
            </w:pPr>
            <w:r w:rsidRPr="00C65B52">
              <w:rPr>
                <w:rFonts w:cs="Arial"/>
                <w:sz w:val="20"/>
                <w:szCs w:val="20"/>
              </w:rPr>
              <w:t>Digital capability should improve economic quality of sales.</w:t>
            </w:r>
          </w:p>
        </w:tc>
      </w:tr>
    </w:tbl>
    <w:p w14:paraId="1A78DC54" w14:textId="77777777" w:rsidR="00FE356E" w:rsidRPr="00334845" w:rsidRDefault="00823F54" w:rsidP="00334845">
      <w:pPr>
        <w:pStyle w:val="Caption"/>
        <w:spacing w:after="120" w:line="360" w:lineRule="auto"/>
        <w:jc w:val="both"/>
        <w:rPr>
          <w:rFonts w:cs="Arial"/>
        </w:rPr>
      </w:pPr>
      <w:r>
        <w:rPr>
          <w:rFonts w:cs="Arial"/>
          <w:b w:val="0"/>
          <w:i/>
        </w:rPr>
        <w:t>Appendix Table D1: Business plan implementation roadmap.</w:t>
      </w:r>
    </w:p>
    <w:sectPr w:rsidR="00FE356E" w:rsidRPr="00334845" w:rsidSect="00034616">
      <w:footerReference w:type="default" r:id="rId23"/>
      <w:pgSz w:w="12240" w:h="15840"/>
      <w:pgMar w:top="1247" w:right="1361" w:bottom="1134"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149C2" w14:textId="77777777" w:rsidR="005F30BB" w:rsidRDefault="005F30BB">
      <w:pPr>
        <w:spacing w:after="0" w:line="240" w:lineRule="auto"/>
      </w:pPr>
      <w:r>
        <w:separator/>
      </w:r>
    </w:p>
  </w:endnote>
  <w:endnote w:type="continuationSeparator" w:id="0">
    <w:p w14:paraId="14065833" w14:textId="77777777" w:rsidR="005F30BB" w:rsidRDefault="005F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1CD9F" w14:textId="57BF47C9" w:rsidR="00FE356E" w:rsidRDefault="00823F54">
    <w:pPr>
      <w:pStyle w:val="Footer"/>
      <w:jc w:val="center"/>
    </w:pPr>
    <w:r>
      <w:rPr>
        <w:sz w:val="18"/>
      </w:rPr>
      <w:t xml:space="preserve">Page </w:t>
    </w:r>
    <w:r>
      <w:fldChar w:fldCharType="begin"/>
    </w:r>
    <w:r>
      <w:instrText>PAGE</w:instrText>
    </w:r>
    <w:r>
      <w:fldChar w:fldCharType="separate"/>
    </w:r>
    <w:r w:rsidR="00255D9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A9916" w14:textId="77777777" w:rsidR="005F30BB" w:rsidRDefault="005F30BB">
      <w:pPr>
        <w:spacing w:after="0" w:line="240" w:lineRule="auto"/>
      </w:pPr>
      <w:r>
        <w:separator/>
      </w:r>
    </w:p>
  </w:footnote>
  <w:footnote w:type="continuationSeparator" w:id="0">
    <w:p w14:paraId="559F4F0D" w14:textId="77777777" w:rsidR="005F30BB" w:rsidRDefault="005F3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6543628">
    <w:abstractNumId w:val="8"/>
  </w:num>
  <w:num w:numId="2" w16cid:durableId="1846431109">
    <w:abstractNumId w:val="6"/>
  </w:num>
  <w:num w:numId="3" w16cid:durableId="862983669">
    <w:abstractNumId w:val="5"/>
  </w:num>
  <w:num w:numId="4" w16cid:durableId="1248923616">
    <w:abstractNumId w:val="4"/>
  </w:num>
  <w:num w:numId="5" w16cid:durableId="1360399567">
    <w:abstractNumId w:val="7"/>
  </w:num>
  <w:num w:numId="6" w16cid:durableId="816267599">
    <w:abstractNumId w:val="3"/>
  </w:num>
  <w:num w:numId="7" w16cid:durableId="1117329509">
    <w:abstractNumId w:val="2"/>
  </w:num>
  <w:num w:numId="8" w16cid:durableId="176582698">
    <w:abstractNumId w:val="1"/>
  </w:num>
  <w:num w:numId="9" w16cid:durableId="158885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187A"/>
    <w:rsid w:val="0006063C"/>
    <w:rsid w:val="000B2B9F"/>
    <w:rsid w:val="000C79E0"/>
    <w:rsid w:val="000F6B02"/>
    <w:rsid w:val="00112E3E"/>
    <w:rsid w:val="00127096"/>
    <w:rsid w:val="00142793"/>
    <w:rsid w:val="00143834"/>
    <w:rsid w:val="0015074B"/>
    <w:rsid w:val="001C7CAD"/>
    <w:rsid w:val="00255D9E"/>
    <w:rsid w:val="00287678"/>
    <w:rsid w:val="0029639D"/>
    <w:rsid w:val="002973D7"/>
    <w:rsid w:val="002F627C"/>
    <w:rsid w:val="00326F90"/>
    <w:rsid w:val="00334845"/>
    <w:rsid w:val="003435C2"/>
    <w:rsid w:val="00393D3A"/>
    <w:rsid w:val="00424E0E"/>
    <w:rsid w:val="0049367B"/>
    <w:rsid w:val="004C704D"/>
    <w:rsid w:val="005070AC"/>
    <w:rsid w:val="00535E54"/>
    <w:rsid w:val="00587443"/>
    <w:rsid w:val="005902CF"/>
    <w:rsid w:val="00593108"/>
    <w:rsid w:val="00593C0F"/>
    <w:rsid w:val="00594DA7"/>
    <w:rsid w:val="00596D21"/>
    <w:rsid w:val="005D090E"/>
    <w:rsid w:val="005E2DA8"/>
    <w:rsid w:val="005F30BB"/>
    <w:rsid w:val="00624A01"/>
    <w:rsid w:val="006C0D9F"/>
    <w:rsid w:val="006E3117"/>
    <w:rsid w:val="007F5A5E"/>
    <w:rsid w:val="00823F54"/>
    <w:rsid w:val="008361B5"/>
    <w:rsid w:val="00854562"/>
    <w:rsid w:val="00890CE4"/>
    <w:rsid w:val="008A49FF"/>
    <w:rsid w:val="008B76DC"/>
    <w:rsid w:val="008F524A"/>
    <w:rsid w:val="008F7367"/>
    <w:rsid w:val="009A33A5"/>
    <w:rsid w:val="009E06B1"/>
    <w:rsid w:val="00A459A6"/>
    <w:rsid w:val="00A80F30"/>
    <w:rsid w:val="00AA1D8D"/>
    <w:rsid w:val="00AC1964"/>
    <w:rsid w:val="00B11099"/>
    <w:rsid w:val="00B47730"/>
    <w:rsid w:val="00B548AE"/>
    <w:rsid w:val="00B61C6D"/>
    <w:rsid w:val="00C53CEA"/>
    <w:rsid w:val="00C54633"/>
    <w:rsid w:val="00C65B52"/>
    <w:rsid w:val="00C967B4"/>
    <w:rsid w:val="00CB0664"/>
    <w:rsid w:val="00CD11BD"/>
    <w:rsid w:val="00CD4A25"/>
    <w:rsid w:val="00CE5AAC"/>
    <w:rsid w:val="00D418C8"/>
    <w:rsid w:val="00D45BF1"/>
    <w:rsid w:val="00D52116"/>
    <w:rsid w:val="00E47062"/>
    <w:rsid w:val="00EE37C5"/>
    <w:rsid w:val="00F418DA"/>
    <w:rsid w:val="00FA0185"/>
    <w:rsid w:val="00FC693F"/>
    <w:rsid w:val="00FE356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DF9816"/>
  <w14:defaultImageDpi w14:val="300"/>
  <w15:docId w15:val="{B59F6CA2-67B5-495D-ABD4-71D94EC1E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93D3A"/>
    <w:pPr>
      <w:spacing w:before="100" w:beforeAutospacing="1" w:after="100" w:afterAutospacing="1" w:line="240" w:lineRule="auto"/>
    </w:pPr>
    <w:rPr>
      <w:rFonts w:ascii="Times New Roman" w:eastAsia="Times New Roman" w:hAnsi="Times New Roman" w:cs="Times New Roman"/>
      <w:szCs w:val="24"/>
    </w:rPr>
  </w:style>
  <w:style w:type="paragraph" w:customStyle="1" w:styleId="pdq2pgselectionanchorcontainer">
    <w:name w:val="pdq2pg_selectionanchorcontainer"/>
    <w:basedOn w:val="Normal"/>
    <w:rsid w:val="009E06B1"/>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9E06B1"/>
    <w:rPr>
      <w:color w:val="0000FF"/>
      <w:u w:val="single"/>
    </w:rPr>
  </w:style>
  <w:style w:type="paragraph" w:styleId="TOC1">
    <w:name w:val="toc 1"/>
    <w:basedOn w:val="Normal"/>
    <w:next w:val="Normal"/>
    <w:autoRedefine/>
    <w:uiPriority w:val="39"/>
    <w:unhideWhenUsed/>
    <w:rsid w:val="008361B5"/>
    <w:pPr>
      <w:spacing w:after="100"/>
    </w:pPr>
  </w:style>
  <w:style w:type="paragraph" w:styleId="TOC2">
    <w:name w:val="toc 2"/>
    <w:basedOn w:val="Normal"/>
    <w:next w:val="Normal"/>
    <w:autoRedefine/>
    <w:uiPriority w:val="39"/>
    <w:unhideWhenUsed/>
    <w:rsid w:val="008361B5"/>
    <w:pPr>
      <w:spacing w:after="100"/>
      <w:ind w:left="240"/>
    </w:pPr>
  </w:style>
  <w:style w:type="table" w:styleId="PlainTable5">
    <w:name w:val="Plain Table 5"/>
    <w:basedOn w:val="TableNormal"/>
    <w:uiPriority w:val="99"/>
    <w:rsid w:val="009A33A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99"/>
    <w:rsid w:val="009A33A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99"/>
    <w:rsid w:val="00535E5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435907">
      <w:bodyDiv w:val="1"/>
      <w:marLeft w:val="0"/>
      <w:marRight w:val="0"/>
      <w:marTop w:val="0"/>
      <w:marBottom w:val="0"/>
      <w:divBdr>
        <w:top w:val="none" w:sz="0" w:space="0" w:color="auto"/>
        <w:left w:val="none" w:sz="0" w:space="0" w:color="auto"/>
        <w:bottom w:val="none" w:sz="0" w:space="0" w:color="auto"/>
        <w:right w:val="none" w:sz="0" w:space="0" w:color="auto"/>
      </w:divBdr>
    </w:div>
    <w:div w:id="286081244">
      <w:bodyDiv w:val="1"/>
      <w:marLeft w:val="0"/>
      <w:marRight w:val="0"/>
      <w:marTop w:val="0"/>
      <w:marBottom w:val="0"/>
      <w:divBdr>
        <w:top w:val="none" w:sz="0" w:space="0" w:color="auto"/>
        <w:left w:val="none" w:sz="0" w:space="0" w:color="auto"/>
        <w:bottom w:val="none" w:sz="0" w:space="0" w:color="auto"/>
        <w:right w:val="none" w:sz="0" w:space="0" w:color="auto"/>
      </w:divBdr>
    </w:div>
    <w:div w:id="447747029">
      <w:bodyDiv w:val="1"/>
      <w:marLeft w:val="0"/>
      <w:marRight w:val="0"/>
      <w:marTop w:val="0"/>
      <w:marBottom w:val="0"/>
      <w:divBdr>
        <w:top w:val="none" w:sz="0" w:space="0" w:color="auto"/>
        <w:left w:val="none" w:sz="0" w:space="0" w:color="auto"/>
        <w:bottom w:val="none" w:sz="0" w:space="0" w:color="auto"/>
        <w:right w:val="none" w:sz="0" w:space="0" w:color="auto"/>
      </w:divBdr>
    </w:div>
    <w:div w:id="856041853">
      <w:bodyDiv w:val="1"/>
      <w:marLeft w:val="0"/>
      <w:marRight w:val="0"/>
      <w:marTop w:val="0"/>
      <w:marBottom w:val="0"/>
      <w:divBdr>
        <w:top w:val="none" w:sz="0" w:space="0" w:color="auto"/>
        <w:left w:val="none" w:sz="0" w:space="0" w:color="auto"/>
        <w:bottom w:val="none" w:sz="0" w:space="0" w:color="auto"/>
        <w:right w:val="none" w:sz="0" w:space="0" w:color="auto"/>
      </w:divBdr>
    </w:div>
    <w:div w:id="1595243201">
      <w:bodyDiv w:val="1"/>
      <w:marLeft w:val="0"/>
      <w:marRight w:val="0"/>
      <w:marTop w:val="0"/>
      <w:marBottom w:val="0"/>
      <w:divBdr>
        <w:top w:val="none" w:sz="0" w:space="0" w:color="auto"/>
        <w:left w:val="none" w:sz="0" w:space="0" w:color="auto"/>
        <w:bottom w:val="none" w:sz="0" w:space="0" w:color="auto"/>
        <w:right w:val="none" w:sz="0" w:space="0" w:color="auto"/>
      </w:divBdr>
    </w:div>
    <w:div w:id="1659067759">
      <w:bodyDiv w:val="1"/>
      <w:marLeft w:val="0"/>
      <w:marRight w:val="0"/>
      <w:marTop w:val="0"/>
      <w:marBottom w:val="0"/>
      <w:divBdr>
        <w:top w:val="none" w:sz="0" w:space="0" w:color="auto"/>
        <w:left w:val="none" w:sz="0" w:space="0" w:color="auto"/>
        <w:bottom w:val="none" w:sz="0" w:space="0" w:color="auto"/>
        <w:right w:val="none" w:sz="0" w:space="0" w:color="auto"/>
      </w:divBdr>
    </w:div>
    <w:div w:id="1669136745">
      <w:bodyDiv w:val="1"/>
      <w:marLeft w:val="0"/>
      <w:marRight w:val="0"/>
      <w:marTop w:val="0"/>
      <w:marBottom w:val="0"/>
      <w:divBdr>
        <w:top w:val="none" w:sz="0" w:space="0" w:color="auto"/>
        <w:left w:val="none" w:sz="0" w:space="0" w:color="auto"/>
        <w:bottom w:val="none" w:sz="0" w:space="0" w:color="auto"/>
        <w:right w:val="none" w:sz="0" w:space="0" w:color="auto"/>
      </w:divBdr>
    </w:div>
    <w:div w:id="1998917458">
      <w:bodyDiv w:val="1"/>
      <w:marLeft w:val="0"/>
      <w:marRight w:val="0"/>
      <w:marTop w:val="0"/>
      <w:marBottom w:val="0"/>
      <w:divBdr>
        <w:top w:val="none" w:sz="0" w:space="0" w:color="auto"/>
        <w:left w:val="none" w:sz="0" w:space="0" w:color="auto"/>
        <w:bottom w:val="none" w:sz="0" w:space="0" w:color="auto"/>
        <w:right w:val="none" w:sz="0" w:space="0" w:color="auto"/>
      </w:divBdr>
    </w:div>
    <w:div w:id="20871925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lsegissuerservices.com/original-d4c002c0-6557-4c7c-8afa-c0ffefa5ed4a.pdf?utm_source=chatgpt.com" TargetMode="External"/><Relationship Id="rId18" Type="http://schemas.openxmlformats.org/officeDocument/2006/relationships/hyperlink" Target="https://www.mcdonalds.com/gb/en-gb/menu/saver-menu.html?utm_source=chatgpt.com" TargetMode="External"/><Relationship Id="rId3" Type="http://schemas.openxmlformats.org/officeDocument/2006/relationships/styles" Target="styles.xml"/><Relationship Id="rId21" Type="http://schemas.openxmlformats.org/officeDocument/2006/relationships/hyperlink" Target="https://www.subway.com/en-gb/menunutrition/menu?utm_source=chatgpt.com"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assets.greggs.com/f/162306/x/62bd59323a/260303-greggs-prelim-results-presentation-2025-final.pdf?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greggs.co.uk/investors/results-and-regulatory-news?utm_source=chatgpt.com" TargetMode="External"/><Relationship Id="rId20" Type="http://schemas.openxmlformats.org/officeDocument/2006/relationships/hyperlink" Target="https://www.reuters.com/world/uk/uk-baker-greggs-reports-sales-growth-new-menu-items-boost-demand-2026-05-12/?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greggs.com/f/162306/x/e612a4a90d/greggs-may-26-trading-update.pdf?utm_source=chatgpt.com" TargetMode="External"/><Relationship Id="rId23"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www.pret.co.uk/en-GB/our-menu?utm_source=chatgpt.co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assets.greggs.com/f/162306/x/e616871d6c/260303-greggs-2025-preliminary-results-final.pdf?utm_source=chatgpt.com" TargetMode="External"/><Relationship Id="rId22" Type="http://schemas.openxmlformats.org/officeDocument/2006/relationships/hyperlink" Target="https://www.tesco.com/shop/en-GB/buylists/lunch-meal-deals/classic-meal-deal-mains"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sz="1200"/>
              <a:t>Greggs revenue and profit after tax, 2021-2025</a:t>
            </a:r>
          </a:p>
        </c:rich>
      </c:tx>
      <c:overlay val="1"/>
    </c:title>
    <c:autoTitleDeleted val="0"/>
    <c:plotArea>
      <c:layout/>
      <c:lineChart>
        <c:grouping val="standard"/>
        <c:varyColors val="1"/>
        <c:ser>
          <c:idx val="0"/>
          <c:order val="0"/>
          <c:tx>
            <c:strRef>
              <c:f>Sheet1!$B$1</c:f>
              <c:strCache>
                <c:ptCount val="1"/>
                <c:pt idx="0">
                  <c:v>Revenue/sales (GBPm)</c:v>
                </c:pt>
              </c:strCache>
            </c:strRef>
          </c:tx>
          <c:marker>
            <c:symbol val="circle"/>
            <c:size val="5"/>
          </c:marker>
          <c:cat>
            <c:strRef>
              <c:f>Sheet1!$A$2:$A$6</c:f>
              <c:strCache>
                <c:ptCount val="5"/>
                <c:pt idx="0">
                  <c:v>2021</c:v>
                </c:pt>
                <c:pt idx="1">
                  <c:v>2022</c:v>
                </c:pt>
                <c:pt idx="2">
                  <c:v>2023</c:v>
                </c:pt>
                <c:pt idx="3">
                  <c:v>2024</c:v>
                </c:pt>
                <c:pt idx="4">
                  <c:v>2025</c:v>
                </c:pt>
              </c:strCache>
            </c:strRef>
          </c:cat>
          <c:val>
            <c:numRef>
              <c:f>Sheet1!$B$2:$B$6</c:f>
              <c:numCache>
                <c:formatCode>General</c:formatCode>
                <c:ptCount val="5"/>
                <c:pt idx="0">
                  <c:v>1229.7</c:v>
                </c:pt>
                <c:pt idx="1">
                  <c:v>1512.8</c:v>
                </c:pt>
                <c:pt idx="2">
                  <c:v>1809.6</c:v>
                </c:pt>
                <c:pt idx="3">
                  <c:v>2014.4</c:v>
                </c:pt>
                <c:pt idx="4">
                  <c:v>2151.1999999999998</c:v>
                </c:pt>
              </c:numCache>
            </c:numRef>
          </c:val>
          <c:smooth val="0"/>
          <c:extLst>
            <c:ext xmlns:c16="http://schemas.microsoft.com/office/drawing/2014/chart" uri="{C3380CC4-5D6E-409C-BE32-E72D297353CC}">
              <c16:uniqueId val="{00000000-E5D1-4AD2-897F-E9ED8CD4545E}"/>
            </c:ext>
          </c:extLst>
        </c:ser>
        <c:ser>
          <c:idx val="1"/>
          <c:order val="1"/>
          <c:tx>
            <c:strRef>
              <c:f>Sheet1!$C$1</c:f>
              <c:strCache>
                <c:ptCount val="1"/>
                <c:pt idx="0">
                  <c:v>Profit after tax (GBPm)</c:v>
                </c:pt>
              </c:strCache>
            </c:strRef>
          </c:tx>
          <c:marker>
            <c:symbol val="circle"/>
            <c:size val="5"/>
          </c:marker>
          <c:cat>
            <c:strRef>
              <c:f>Sheet1!$A$2:$A$6</c:f>
              <c:strCache>
                <c:ptCount val="5"/>
                <c:pt idx="0">
                  <c:v>2021</c:v>
                </c:pt>
                <c:pt idx="1">
                  <c:v>2022</c:v>
                </c:pt>
                <c:pt idx="2">
                  <c:v>2023</c:v>
                </c:pt>
                <c:pt idx="3">
                  <c:v>2024</c:v>
                </c:pt>
                <c:pt idx="4">
                  <c:v>2025</c:v>
                </c:pt>
              </c:strCache>
            </c:strRef>
          </c:cat>
          <c:val>
            <c:numRef>
              <c:f>Sheet1!$C$2:$C$6</c:f>
              <c:numCache>
                <c:formatCode>General</c:formatCode>
                <c:ptCount val="5"/>
                <c:pt idx="0">
                  <c:v>117.5</c:v>
                </c:pt>
                <c:pt idx="1">
                  <c:v>120.3</c:v>
                </c:pt>
                <c:pt idx="2">
                  <c:v>142.5</c:v>
                </c:pt>
                <c:pt idx="3">
                  <c:v>153.4</c:v>
                </c:pt>
                <c:pt idx="4">
                  <c:v>122.2</c:v>
                </c:pt>
              </c:numCache>
            </c:numRef>
          </c:val>
          <c:smooth val="0"/>
          <c:extLst>
            <c:ext xmlns:c16="http://schemas.microsoft.com/office/drawing/2014/chart" uri="{C3380CC4-5D6E-409C-BE32-E72D297353CC}">
              <c16:uniqueId val="{00000001-E5D1-4AD2-897F-E9ED8CD4545E}"/>
            </c:ext>
          </c:extLst>
        </c:ser>
        <c:dLbls>
          <c:showLegendKey val="0"/>
          <c:showVal val="0"/>
          <c:showCatName val="0"/>
          <c:showSerName val="0"/>
          <c:showPercent val="0"/>
          <c:showBubbleSize val="0"/>
        </c:dLbls>
        <c:marker val="1"/>
        <c:smooth val="0"/>
        <c:axId val="12345678"/>
        <c:axId val="87654321"/>
      </c:lineChart>
      <c:catAx>
        <c:axId val="12345678"/>
        <c:scaling>
          <c:orientation val="minMax"/>
        </c:scaling>
        <c:delete val="0"/>
        <c:axPos val="b"/>
        <c:numFmt formatCode="General" sourceLinked="0"/>
        <c:majorTickMark val="cross"/>
        <c:minorTickMark val="cross"/>
        <c:tickLblPos val="nextTo"/>
        <c:crossAx val="87654321"/>
        <c:crosses val="autoZero"/>
        <c:auto val="1"/>
        <c:lblAlgn val="ctr"/>
        <c:lblOffset val="100"/>
        <c:noMultiLvlLbl val="1"/>
      </c:catAx>
      <c:valAx>
        <c:axId val="87654321"/>
        <c:scaling>
          <c:orientation val="minMax"/>
        </c:scaling>
        <c:delete val="0"/>
        <c:axPos val="l"/>
        <c:majorGridlines/>
        <c:numFmt formatCode="General" sourceLinked="1"/>
        <c:majorTickMark val="cross"/>
        <c:minorTickMark val="cross"/>
        <c:tickLblPos val="nextTo"/>
        <c:crossAx val="12345678"/>
        <c:crosses val="autoZero"/>
        <c:crossBetween val="between"/>
      </c:valAx>
    </c:plotArea>
    <c:legend>
      <c:legendPos val="b"/>
      <c:overlay val="0"/>
    </c:legend>
    <c:plotVisOnly val="1"/>
    <c:dispBlanksAs val="gap"/>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sz="1200"/>
              <a:t>Greggs profitability trend, 2021-2025</a:t>
            </a:r>
          </a:p>
        </c:rich>
      </c:tx>
      <c:overlay val="1"/>
    </c:title>
    <c:autoTitleDeleted val="0"/>
    <c:plotArea>
      <c:layout/>
      <c:lineChart>
        <c:grouping val="standard"/>
        <c:varyColors val="1"/>
        <c:ser>
          <c:idx val="0"/>
          <c:order val="0"/>
          <c:tx>
            <c:strRef>
              <c:f>Sheet1!$B$1</c:f>
              <c:strCache>
                <c:ptCount val="1"/>
                <c:pt idx="0">
                  <c:v>Underlying PBT margin (%)</c:v>
                </c:pt>
              </c:strCache>
            </c:strRef>
          </c:tx>
          <c:marker>
            <c:symbol val="circle"/>
            <c:size val="5"/>
          </c:marker>
          <c:cat>
            <c:strRef>
              <c:f>Sheet1!$A$2:$A$6</c:f>
              <c:strCache>
                <c:ptCount val="5"/>
                <c:pt idx="0">
                  <c:v>2021</c:v>
                </c:pt>
                <c:pt idx="1">
                  <c:v>2022</c:v>
                </c:pt>
                <c:pt idx="2">
                  <c:v>2023</c:v>
                </c:pt>
                <c:pt idx="3">
                  <c:v>2024</c:v>
                </c:pt>
                <c:pt idx="4">
                  <c:v>2025</c:v>
                </c:pt>
              </c:strCache>
            </c:strRef>
          </c:cat>
          <c:val>
            <c:numRef>
              <c:f>Sheet1!$B$2:$B$6</c:f>
              <c:numCache>
                <c:formatCode>General</c:formatCode>
                <c:ptCount val="5"/>
                <c:pt idx="0">
                  <c:v>11.8</c:v>
                </c:pt>
                <c:pt idx="1">
                  <c:v>9.8000000000000007</c:v>
                </c:pt>
                <c:pt idx="2">
                  <c:v>9.3000000000000007</c:v>
                </c:pt>
                <c:pt idx="3">
                  <c:v>9.4</c:v>
                </c:pt>
                <c:pt idx="4">
                  <c:v>8</c:v>
                </c:pt>
              </c:numCache>
            </c:numRef>
          </c:val>
          <c:smooth val="0"/>
          <c:extLst>
            <c:ext xmlns:c16="http://schemas.microsoft.com/office/drawing/2014/chart" uri="{C3380CC4-5D6E-409C-BE32-E72D297353CC}">
              <c16:uniqueId val="{00000000-3534-4A75-BD25-B6BED47987C7}"/>
            </c:ext>
          </c:extLst>
        </c:ser>
        <c:ser>
          <c:idx val="1"/>
          <c:order val="1"/>
          <c:tx>
            <c:strRef>
              <c:f>Sheet1!$C$1</c:f>
              <c:strCache>
                <c:ptCount val="1"/>
                <c:pt idx="0">
                  <c:v>ROCE (%)</c:v>
                </c:pt>
              </c:strCache>
            </c:strRef>
          </c:tx>
          <c:marker>
            <c:symbol val="circle"/>
            <c:size val="5"/>
          </c:marker>
          <c:cat>
            <c:strRef>
              <c:f>Sheet1!$A$2:$A$6</c:f>
              <c:strCache>
                <c:ptCount val="5"/>
                <c:pt idx="0">
                  <c:v>2021</c:v>
                </c:pt>
                <c:pt idx="1">
                  <c:v>2022</c:v>
                </c:pt>
                <c:pt idx="2">
                  <c:v>2023</c:v>
                </c:pt>
                <c:pt idx="3">
                  <c:v>2024</c:v>
                </c:pt>
                <c:pt idx="4">
                  <c:v>2025</c:v>
                </c:pt>
              </c:strCache>
            </c:strRef>
          </c:cat>
          <c:val>
            <c:numRef>
              <c:f>Sheet1!$C$2:$C$6</c:f>
              <c:numCache>
                <c:formatCode>General</c:formatCode>
                <c:ptCount val="5"/>
                <c:pt idx="0">
                  <c:v>23</c:v>
                </c:pt>
                <c:pt idx="1">
                  <c:v>21</c:v>
                </c:pt>
                <c:pt idx="2">
                  <c:v>21.1</c:v>
                </c:pt>
                <c:pt idx="3">
                  <c:v>20.3</c:v>
                </c:pt>
                <c:pt idx="4">
                  <c:v>16</c:v>
                </c:pt>
              </c:numCache>
            </c:numRef>
          </c:val>
          <c:smooth val="0"/>
          <c:extLst>
            <c:ext xmlns:c16="http://schemas.microsoft.com/office/drawing/2014/chart" uri="{C3380CC4-5D6E-409C-BE32-E72D297353CC}">
              <c16:uniqueId val="{00000001-3534-4A75-BD25-B6BED47987C7}"/>
            </c:ext>
          </c:extLst>
        </c:ser>
        <c:dLbls>
          <c:showLegendKey val="0"/>
          <c:showVal val="0"/>
          <c:showCatName val="0"/>
          <c:showSerName val="0"/>
          <c:showPercent val="0"/>
          <c:showBubbleSize val="0"/>
        </c:dLbls>
        <c:marker val="1"/>
        <c:smooth val="0"/>
        <c:axId val="12345678"/>
        <c:axId val="87654321"/>
      </c:lineChart>
      <c:catAx>
        <c:axId val="12345678"/>
        <c:scaling>
          <c:orientation val="minMax"/>
        </c:scaling>
        <c:delete val="0"/>
        <c:axPos val="b"/>
        <c:numFmt formatCode="General" sourceLinked="0"/>
        <c:majorTickMark val="cross"/>
        <c:minorTickMark val="cross"/>
        <c:tickLblPos val="nextTo"/>
        <c:crossAx val="87654321"/>
        <c:crosses val="autoZero"/>
        <c:auto val="1"/>
        <c:lblAlgn val="ctr"/>
        <c:lblOffset val="100"/>
        <c:noMultiLvlLbl val="1"/>
      </c:catAx>
      <c:valAx>
        <c:axId val="87654321"/>
        <c:scaling>
          <c:orientation val="minMax"/>
        </c:scaling>
        <c:delete val="0"/>
        <c:axPos val="l"/>
        <c:majorGridlines/>
        <c:numFmt formatCode="General" sourceLinked="1"/>
        <c:majorTickMark val="cross"/>
        <c:minorTickMark val="cross"/>
        <c:tickLblPos val="nextTo"/>
        <c:crossAx val="12345678"/>
        <c:crosses val="autoZero"/>
        <c:crossBetween val="between"/>
      </c:valAx>
    </c:plotArea>
    <c:legend>
      <c:legendPos val="b"/>
      <c:overlay val="0"/>
    </c:legend>
    <c:plotVisOnly val="1"/>
    <c:dispBlanksAs val="gap"/>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sz="1200"/>
              <a:t>Greggs shop estate growth, 2021-2026 YTD</a:t>
            </a:r>
          </a:p>
        </c:rich>
      </c:tx>
      <c:overlay val="1"/>
    </c:title>
    <c:autoTitleDeleted val="0"/>
    <c:plotArea>
      <c:layout/>
      <c:lineChart>
        <c:grouping val="standard"/>
        <c:varyColors val="1"/>
        <c:ser>
          <c:idx val="0"/>
          <c:order val="0"/>
          <c:tx>
            <c:strRef>
              <c:f>Sheet1!$B$1</c:f>
              <c:strCache>
                <c:ptCount val="1"/>
                <c:pt idx="0">
                  <c:v>Total shops</c:v>
                </c:pt>
              </c:strCache>
            </c:strRef>
          </c:tx>
          <c:marker>
            <c:symbol val="circle"/>
            <c:size val="5"/>
          </c:marker>
          <c:cat>
            <c:strRef>
              <c:f>Sheet1!$A$2:$A$7</c:f>
              <c:strCache>
                <c:ptCount val="6"/>
                <c:pt idx="0">
                  <c:v>2021</c:v>
                </c:pt>
                <c:pt idx="1">
                  <c:v>2022</c:v>
                </c:pt>
                <c:pt idx="2">
                  <c:v>2023</c:v>
                </c:pt>
                <c:pt idx="3">
                  <c:v>2024</c:v>
                </c:pt>
                <c:pt idx="4">
                  <c:v>2025</c:v>
                </c:pt>
                <c:pt idx="5">
                  <c:v>2026 YTD</c:v>
                </c:pt>
              </c:strCache>
            </c:strRef>
          </c:cat>
          <c:val>
            <c:numRef>
              <c:f>Sheet1!$B$2:$B$7</c:f>
              <c:numCache>
                <c:formatCode>General</c:formatCode>
                <c:ptCount val="6"/>
                <c:pt idx="0">
                  <c:v>2181</c:v>
                </c:pt>
                <c:pt idx="1">
                  <c:v>2328</c:v>
                </c:pt>
                <c:pt idx="2">
                  <c:v>2473</c:v>
                </c:pt>
                <c:pt idx="3">
                  <c:v>2618</c:v>
                </c:pt>
                <c:pt idx="4">
                  <c:v>2739</c:v>
                </c:pt>
                <c:pt idx="5">
                  <c:v>2759</c:v>
                </c:pt>
              </c:numCache>
            </c:numRef>
          </c:val>
          <c:smooth val="0"/>
          <c:extLst>
            <c:ext xmlns:c16="http://schemas.microsoft.com/office/drawing/2014/chart" uri="{C3380CC4-5D6E-409C-BE32-E72D297353CC}">
              <c16:uniqueId val="{00000000-0978-4BB2-A7DD-A2B0EF7B076F}"/>
            </c:ext>
          </c:extLst>
        </c:ser>
        <c:dLbls>
          <c:showLegendKey val="0"/>
          <c:showVal val="0"/>
          <c:showCatName val="0"/>
          <c:showSerName val="0"/>
          <c:showPercent val="0"/>
          <c:showBubbleSize val="0"/>
        </c:dLbls>
        <c:marker val="1"/>
        <c:smooth val="0"/>
        <c:axId val="12345678"/>
        <c:axId val="87654321"/>
      </c:lineChart>
      <c:catAx>
        <c:axId val="12345678"/>
        <c:scaling>
          <c:orientation val="minMax"/>
        </c:scaling>
        <c:delete val="0"/>
        <c:axPos val="b"/>
        <c:numFmt formatCode="General" sourceLinked="0"/>
        <c:majorTickMark val="cross"/>
        <c:minorTickMark val="cross"/>
        <c:tickLblPos val="nextTo"/>
        <c:crossAx val="87654321"/>
        <c:crosses val="autoZero"/>
        <c:auto val="1"/>
        <c:lblAlgn val="ctr"/>
        <c:lblOffset val="100"/>
        <c:noMultiLvlLbl val="1"/>
      </c:catAx>
      <c:valAx>
        <c:axId val="87654321"/>
        <c:scaling>
          <c:orientation val="minMax"/>
        </c:scaling>
        <c:delete val="0"/>
        <c:axPos val="l"/>
        <c:majorGridlines/>
        <c:numFmt formatCode="General" sourceLinked="1"/>
        <c:majorTickMark val="cross"/>
        <c:minorTickMark val="cross"/>
        <c:tickLblPos val="nextTo"/>
        <c:crossAx val="12345678"/>
        <c:crosses val="autoZero"/>
        <c:crossBetween val="between"/>
      </c:valAx>
    </c:plotArea>
    <c:legend>
      <c:legendPos val="b"/>
      <c:overlay val="0"/>
    </c:legend>
    <c:plotVisOnly val="1"/>
    <c:dispBlanksAs val="gap"/>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sz="1200"/>
              <a:t>Greggs 2025 underlying cost base composition</a:t>
            </a:r>
          </a:p>
        </c:rich>
      </c:tx>
      <c:overlay val="1"/>
    </c:title>
    <c:autoTitleDeleted val="0"/>
    <c:plotArea>
      <c:layout/>
      <c:barChart>
        <c:barDir val="col"/>
        <c:grouping val="clustered"/>
        <c:varyColors val="0"/>
        <c:ser>
          <c:idx val="0"/>
          <c:order val="0"/>
          <c:tx>
            <c:strRef>
              <c:f>Sheet1!$B$1</c:f>
              <c:strCache>
                <c:ptCount val="1"/>
                <c:pt idx="0">
                  <c:v>Share (%)</c:v>
                </c:pt>
              </c:strCache>
            </c:strRef>
          </c:tx>
          <c:invertIfNegative val="1"/>
          <c:cat>
            <c:strRef>
              <c:f>Sheet1!$A$2:$A$7</c:f>
              <c:strCache>
                <c:ptCount val="6"/>
                <c:pt idx="0">
                  <c:v>People</c:v>
                </c:pt>
                <c:pt idx="1">
                  <c:v>Food &amp; packaging</c:v>
                </c:pt>
                <c:pt idx="2">
                  <c:v>Other</c:v>
                </c:pt>
                <c:pt idx="3">
                  <c:v>Shop occupancy</c:v>
                </c:pt>
                <c:pt idx="4">
                  <c:v>Energy/fuel</c:v>
                </c:pt>
                <c:pt idx="5">
                  <c:v>Depreciation</c:v>
                </c:pt>
              </c:strCache>
            </c:strRef>
          </c:cat>
          <c:val>
            <c:numRef>
              <c:f>Sheet1!$B$2:$B$7</c:f>
              <c:numCache>
                <c:formatCode>General</c:formatCode>
                <c:ptCount val="6"/>
                <c:pt idx="0">
                  <c:v>39</c:v>
                </c:pt>
                <c:pt idx="1">
                  <c:v>33</c:v>
                </c:pt>
                <c:pt idx="2">
                  <c:v>11</c:v>
                </c:pt>
                <c:pt idx="3">
                  <c:v>7</c:v>
                </c:pt>
                <c:pt idx="4">
                  <c:v>5</c:v>
                </c:pt>
                <c:pt idx="5">
                  <c:v>5</c:v>
                </c:pt>
              </c:numCache>
            </c:numRef>
          </c:val>
          <c:extLst>
            <c:ext xmlns:c16="http://schemas.microsoft.com/office/drawing/2014/chart" uri="{C3380CC4-5D6E-409C-BE32-E72D297353CC}">
              <c16:uniqueId val="{00000000-56AE-43BF-A9DA-D3DCA332A286}"/>
            </c:ext>
          </c:extLst>
        </c:ser>
        <c:dLbls>
          <c:showLegendKey val="0"/>
          <c:showVal val="0"/>
          <c:showCatName val="0"/>
          <c:showSerName val="0"/>
          <c:showPercent val="0"/>
          <c:showBubbleSize val="0"/>
        </c:dLbls>
        <c:gapWidth val="150"/>
        <c:axId val="22345678"/>
        <c:axId val="97654321"/>
      </c:barChart>
      <c:catAx>
        <c:axId val="22345678"/>
        <c:scaling>
          <c:orientation val="minMax"/>
        </c:scaling>
        <c:delete val="0"/>
        <c:axPos val="b"/>
        <c:numFmt formatCode="General" sourceLinked="0"/>
        <c:majorTickMark val="cross"/>
        <c:minorTickMark val="cross"/>
        <c:tickLblPos val="nextTo"/>
        <c:crossAx val="97654321"/>
        <c:crosses val="autoZero"/>
        <c:auto val="1"/>
        <c:lblAlgn val="ctr"/>
        <c:lblOffset val="100"/>
        <c:noMultiLvlLbl val="1"/>
      </c:catAx>
      <c:valAx>
        <c:axId val="97654321"/>
        <c:scaling>
          <c:orientation val="minMax"/>
        </c:scaling>
        <c:delete val="0"/>
        <c:axPos val="l"/>
        <c:majorGridlines/>
        <c:numFmt formatCode="General" sourceLinked="1"/>
        <c:majorTickMark val="cross"/>
        <c:minorTickMark val="cross"/>
        <c:tickLblPos val="nextTo"/>
        <c:crossAx val="22345678"/>
        <c:crosses val="autoZero"/>
        <c:crossBetween val="between"/>
      </c:valAx>
    </c:plotArea>
    <c:legend>
      <c:legendPos val="b"/>
      <c:overlay val="0"/>
    </c:legend>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19</Pages>
  <Words>4814</Words>
  <Characters>27445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Juliana Kotlarova</dc:creator>
  <cp:keywords/>
  <cp:lastModifiedBy>Juliana Kotlarova</cp:lastModifiedBy>
  <cp:revision>12</cp:revision>
  <dcterms:created xsi:type="dcterms:W3CDTF">2026-06-26T16:42:00Z</dcterms:created>
  <dcterms:modified xsi:type="dcterms:W3CDTF">2026-06-28T10:49:00Z</dcterms:modified>
  <cp:category/>
</cp:coreProperties>
</file>