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A27B4F" w14:textId="77777777" w:rsidR="004D06BA" w:rsidRPr="006339A5" w:rsidRDefault="004D06BA" w:rsidP="00AE20AE">
      <w:pPr>
        <w:spacing w:line="360" w:lineRule="auto"/>
        <w:rPr>
          <w:color w:val="auto"/>
          <w:sz w:val="24"/>
          <w:szCs w:val="24"/>
        </w:rPr>
      </w:pPr>
    </w:p>
    <w:p w14:paraId="2C6135E1" w14:textId="77777777" w:rsidR="004D06BA" w:rsidRPr="006339A5" w:rsidRDefault="004D06BA" w:rsidP="00AE20AE">
      <w:pPr>
        <w:spacing w:line="360" w:lineRule="auto"/>
        <w:rPr>
          <w:color w:val="auto"/>
          <w:sz w:val="24"/>
          <w:szCs w:val="24"/>
        </w:rPr>
      </w:pPr>
      <w:r>
        <w:rPr>
          <w:color w:val="auto"/>
          <w:sz w:val="24"/>
          <w:szCs w:val="24"/>
        </w:rPr>
        <w:t>Project Management</w:t>
      </w:r>
    </w:p>
    <w:p w14:paraId="285CCAB6" w14:textId="77777777" w:rsidR="004D06BA" w:rsidRPr="006339A5" w:rsidRDefault="004D06BA" w:rsidP="00AE20AE">
      <w:pPr>
        <w:spacing w:line="360" w:lineRule="auto"/>
        <w:rPr>
          <w:color w:val="auto"/>
          <w:sz w:val="24"/>
          <w:szCs w:val="24"/>
        </w:rPr>
      </w:pPr>
      <w:r>
        <w:rPr>
          <w:color w:val="auto"/>
          <w:sz w:val="24"/>
          <w:szCs w:val="24"/>
        </w:rPr>
        <w:t>LCBB6006</w:t>
      </w:r>
    </w:p>
    <w:p w14:paraId="0AD97705" w14:textId="7367B1FD" w:rsidR="004D06BA" w:rsidRPr="006339A5" w:rsidRDefault="004D06BA" w:rsidP="00AE20AE">
      <w:pPr>
        <w:spacing w:line="360" w:lineRule="auto"/>
        <w:rPr>
          <w:color w:val="auto"/>
          <w:sz w:val="24"/>
          <w:szCs w:val="24"/>
        </w:rPr>
      </w:pPr>
      <w:r>
        <w:rPr>
          <w:color w:val="auto"/>
          <w:sz w:val="24"/>
          <w:szCs w:val="24"/>
        </w:rPr>
        <w:t>Component 1: Coursework:</w:t>
      </w:r>
      <w:r>
        <w:rPr>
          <w:b/>
          <w:bCs/>
          <w:color w:val="auto"/>
          <w:sz w:val="24"/>
          <w:szCs w:val="24"/>
        </w:rPr>
        <w:t xml:space="preserve"> </w:t>
      </w:r>
      <w:r>
        <w:rPr>
          <w:color w:val="auto"/>
          <w:sz w:val="24"/>
          <w:szCs w:val="24"/>
        </w:rPr>
        <w:t>Essay</w:t>
      </w:r>
    </w:p>
    <w:p w14:paraId="53B7B88E" w14:textId="77777777" w:rsidR="004D06BA" w:rsidRPr="006339A5" w:rsidRDefault="004D06BA" w:rsidP="00AE20AE">
      <w:pPr>
        <w:spacing w:line="360" w:lineRule="auto"/>
        <w:rPr>
          <w:color w:val="auto"/>
          <w:sz w:val="24"/>
          <w:szCs w:val="24"/>
        </w:rPr>
      </w:pPr>
      <w:r>
        <w:rPr>
          <w:color w:val="auto"/>
          <w:sz w:val="24"/>
          <w:szCs w:val="24"/>
        </w:rPr>
        <w:t>Lecturer: Dr. Shujun Xiao</w:t>
      </w:r>
    </w:p>
    <w:p w14:paraId="4A301333" w14:textId="77777777" w:rsidR="004D06BA" w:rsidRPr="006339A5" w:rsidRDefault="004D06BA" w:rsidP="00AE20AE">
      <w:pPr>
        <w:spacing w:line="360" w:lineRule="auto"/>
        <w:rPr>
          <w:color w:val="auto"/>
          <w:sz w:val="24"/>
          <w:szCs w:val="24"/>
        </w:rPr>
      </w:pPr>
      <w:r>
        <w:rPr>
          <w:color w:val="auto"/>
          <w:sz w:val="24"/>
          <w:szCs w:val="24"/>
        </w:rPr>
        <w:t>Student: Catalin Alexandru Artenie</w:t>
      </w:r>
    </w:p>
    <w:p w14:paraId="315D6FC8" w14:textId="77777777" w:rsidR="004D06BA" w:rsidRPr="006339A5" w:rsidRDefault="004D06BA" w:rsidP="00AE20AE">
      <w:pPr>
        <w:spacing w:line="360" w:lineRule="auto"/>
        <w:rPr>
          <w:color w:val="auto"/>
          <w:sz w:val="24"/>
          <w:szCs w:val="24"/>
        </w:rPr>
      </w:pPr>
      <w:r>
        <w:rPr>
          <w:color w:val="auto"/>
          <w:sz w:val="24"/>
          <w:szCs w:val="24"/>
        </w:rPr>
        <w:t>2240460</w:t>
      </w:r>
    </w:p>
    <w:p w14:paraId="6B3BB965" w14:textId="48D46E91" w:rsidR="00BA3895" w:rsidRPr="006339A5" w:rsidRDefault="00000000" w:rsidP="00AE20AE">
      <w:pPr>
        <w:spacing w:line="360" w:lineRule="auto"/>
        <w:rPr>
          <w:color w:val="auto"/>
          <w:sz w:val="24"/>
          <w:szCs w:val="24"/>
        </w:rPr>
      </w:pPr>
      <w:r>
        <w:rPr>
          <w:color w:val="auto"/>
          <w:sz w:val="24"/>
          <w:szCs w:val="24"/>
        </w:rPr>
        <w:br w:type="page"/>
      </w:r>
    </w:p>
    <w:p w14:paraId="6D444CBA" w14:textId="77777777" w:rsidR="00BA3895" w:rsidRPr="006339A5" w:rsidRDefault="00000000" w:rsidP="00AE20AE">
      <w:pPr>
        <w:pStyle w:val="Heading1"/>
        <w:pBdr>
          <w:bottom w:val="single" w:sz="6" w:space="4" w:color="2E75B6"/>
        </w:pBdr>
        <w:spacing w:line="360" w:lineRule="auto"/>
        <w:rPr>
          <w:color w:val="auto"/>
          <w:sz w:val="24"/>
          <w:szCs w:val="24"/>
        </w:rPr>
      </w:pPr>
      <w:r>
        <w:rPr>
          <w:color w:val="auto"/>
          <w:sz w:val="24"/>
          <w:szCs w:val="24"/>
        </w:rPr>
        <w:lastRenderedPageBreak/>
        <w:t>Table of Contents</w:t>
      </w:r>
    </w:p>
    <w:p w14:paraId="70407148" w14:textId="77777777" w:rsidR="00BA3895" w:rsidRPr="006339A5" w:rsidRDefault="00000000" w:rsidP="00AE20AE">
      <w:pPr>
        <w:tabs>
          <w:tab w:val="right" w:pos="9026"/>
        </w:tabs>
        <w:spacing w:after="120" w:line="360" w:lineRule="auto"/>
        <w:rPr>
          <w:color w:val="auto"/>
          <w:sz w:val="24"/>
          <w:szCs w:val="24"/>
        </w:rPr>
      </w:pPr>
      <w:r>
        <w:rPr>
          <w:color w:val="auto"/>
          <w:sz w:val="24"/>
          <w:szCs w:val="24"/>
        </w:rPr>
        <w:t>1.  Introduction</w:t>
        <w:tab/>
        <w:t>3</w:t>
      </w:r>
    </w:p>
    <w:p w14:paraId="7346BEC7" w14:textId="77777777" w:rsidR="00BA3895" w:rsidRPr="006339A5" w:rsidRDefault="00000000" w:rsidP="00AE20AE">
      <w:pPr>
        <w:tabs>
          <w:tab w:val="right" w:pos="9026"/>
        </w:tabs>
        <w:spacing w:after="120" w:line="360" w:lineRule="auto"/>
        <w:rPr>
          <w:color w:val="auto"/>
          <w:sz w:val="24"/>
          <w:szCs w:val="24"/>
        </w:rPr>
      </w:pPr>
      <w:r>
        <w:rPr>
          <w:color w:val="auto"/>
          <w:sz w:val="24"/>
          <w:szCs w:val="24"/>
        </w:rPr>
        <w:t>2.  Aim, Objectives, and Scope of the Project</w:t>
        <w:tab/>
        <w:t>3</w:t>
      </w:r>
    </w:p>
    <w:p w14:paraId="7C11E096" w14:textId="550449EE" w:rsidR="00BA3895" w:rsidRPr="006339A5" w:rsidRDefault="00000000" w:rsidP="00AE20AE">
      <w:pPr>
        <w:tabs>
          <w:tab w:val="right" w:pos="9026"/>
        </w:tabs>
        <w:spacing w:after="120" w:line="360" w:lineRule="auto"/>
        <w:rPr>
          <w:color w:val="auto"/>
          <w:sz w:val="24"/>
          <w:szCs w:val="24"/>
        </w:rPr>
      </w:pPr>
      <w:r>
        <w:rPr>
          <w:color w:val="auto"/>
          <w:sz w:val="24"/>
          <w:szCs w:val="24"/>
        </w:rPr>
        <w:t>3.  Main Body</w:t>
        <w:tab/>
        <w:t>5</w:t>
      </w:r>
    </w:p>
    <w:p w14:paraId="54E1C3EA" w14:textId="102B254E" w:rsidR="00BA3895" w:rsidRPr="006339A5" w:rsidRDefault="00000000" w:rsidP="00AE20AE">
      <w:pPr>
        <w:tabs>
          <w:tab w:val="right" w:pos="9026"/>
        </w:tabs>
        <w:spacing w:after="120" w:line="360" w:lineRule="auto"/>
        <w:rPr>
          <w:color w:val="auto"/>
          <w:sz w:val="24"/>
          <w:szCs w:val="24"/>
        </w:rPr>
      </w:pPr>
      <w:r>
        <w:rPr>
          <w:color w:val="auto"/>
          <w:sz w:val="24"/>
          <w:szCs w:val="24"/>
        </w:rPr>
        <w:t xml:space="preserve">    Project Outputs (Deliverables)</w:t>
        <w:tab/>
        <w:t>5</w:t>
      </w:r>
    </w:p>
    <w:p w14:paraId="7425D7B9" w14:textId="38164ACE" w:rsidR="00BA3895" w:rsidRPr="006339A5" w:rsidRDefault="00000000" w:rsidP="00AE20AE">
      <w:pPr>
        <w:tabs>
          <w:tab w:val="right" w:pos="9026"/>
        </w:tabs>
        <w:spacing w:after="120" w:line="360" w:lineRule="auto"/>
        <w:rPr>
          <w:color w:val="auto"/>
          <w:sz w:val="24"/>
          <w:szCs w:val="24"/>
        </w:rPr>
      </w:pPr>
      <w:r>
        <w:rPr>
          <w:color w:val="auto"/>
          <w:sz w:val="24"/>
          <w:szCs w:val="24"/>
        </w:rPr>
        <w:t xml:space="preserve">    Stakeholders &amp; Communication Plan</w:t>
        <w:tab/>
        <w:t>6</w:t>
      </w:r>
    </w:p>
    <w:p w14:paraId="6AD1CDBD" w14:textId="54057B34" w:rsidR="00BA3895" w:rsidRPr="006339A5" w:rsidRDefault="00000000" w:rsidP="00AE20AE">
      <w:pPr>
        <w:tabs>
          <w:tab w:val="right" w:pos="9026"/>
        </w:tabs>
        <w:spacing w:after="120" w:line="360" w:lineRule="auto"/>
        <w:rPr>
          <w:color w:val="auto"/>
          <w:sz w:val="24"/>
          <w:szCs w:val="24"/>
        </w:rPr>
      </w:pPr>
      <w:r>
        <w:rPr>
          <w:color w:val="auto"/>
          <w:sz w:val="24"/>
          <w:szCs w:val="24"/>
        </w:rPr>
        <w:t xml:space="preserve">    Activities &amp; Work Breakdown Structure</w:t>
        <w:tab/>
        <w:t>10</w:t>
      </w:r>
    </w:p>
    <w:p w14:paraId="0DCEBD7B" w14:textId="0E8FD63D" w:rsidR="00BA3895" w:rsidRPr="006339A5" w:rsidRDefault="00000000" w:rsidP="00AE20AE">
      <w:pPr>
        <w:tabs>
          <w:tab w:val="right" w:pos="9026"/>
        </w:tabs>
        <w:spacing w:after="120" w:line="360" w:lineRule="auto"/>
        <w:rPr>
          <w:color w:val="auto"/>
          <w:sz w:val="24"/>
          <w:szCs w:val="24"/>
        </w:rPr>
      </w:pPr>
      <w:r>
        <w:rPr>
          <w:color w:val="auto"/>
          <w:sz w:val="24"/>
          <w:szCs w:val="24"/>
        </w:rPr>
        <w:t xml:space="preserve">    Tasks, Milestones &amp; Responsibilities</w:t>
        <w:tab/>
        <w:t>13</w:t>
      </w:r>
    </w:p>
    <w:p w14:paraId="4F47C7DD" w14:textId="78C90CF2" w:rsidR="00BA3895" w:rsidRPr="006339A5" w:rsidRDefault="00000000" w:rsidP="00AE20AE">
      <w:pPr>
        <w:tabs>
          <w:tab w:val="right" w:pos="9026"/>
        </w:tabs>
        <w:spacing w:after="120" w:line="360" w:lineRule="auto"/>
        <w:rPr>
          <w:color w:val="auto"/>
          <w:sz w:val="24"/>
          <w:szCs w:val="24"/>
        </w:rPr>
      </w:pPr>
      <w:r>
        <w:rPr>
          <w:color w:val="auto"/>
          <w:sz w:val="24"/>
          <w:szCs w:val="24"/>
        </w:rPr>
        <w:t xml:space="preserve">    Resources &amp; Cost Accounts</w:t>
        <w:tab/>
        <w:t>16</w:t>
      </w:r>
    </w:p>
    <w:p w14:paraId="0FCB3B43" w14:textId="02D6DB4F" w:rsidR="00BA3895" w:rsidRPr="006339A5" w:rsidRDefault="00000000" w:rsidP="00AE20AE">
      <w:pPr>
        <w:tabs>
          <w:tab w:val="right" w:pos="9026"/>
        </w:tabs>
        <w:spacing w:after="120" w:line="360" w:lineRule="auto"/>
        <w:rPr>
          <w:color w:val="auto"/>
          <w:sz w:val="24"/>
          <w:szCs w:val="24"/>
        </w:rPr>
      </w:pPr>
      <w:r>
        <w:rPr>
          <w:color w:val="auto"/>
          <w:sz w:val="24"/>
          <w:szCs w:val="24"/>
        </w:rPr>
        <w:t>4.  References</w:t>
        <w:tab/>
        <w:t>19</w:t>
      </w:r>
    </w:p>
    <w:p w14:paraId="02AD21E1" w14:textId="77777777" w:rsidR="00BA3895" w:rsidRPr="006339A5" w:rsidRDefault="00000000" w:rsidP="00AE20AE">
      <w:pPr>
        <w:spacing w:line="360" w:lineRule="auto"/>
        <w:rPr>
          <w:color w:val="auto"/>
          <w:sz w:val="24"/>
          <w:szCs w:val="24"/>
        </w:rPr>
      </w:pPr>
      <w:r>
        <w:rPr>
          <w:color w:val="auto"/>
          <w:sz w:val="24"/>
          <w:szCs w:val="24"/>
        </w:rPr>
        <w:br w:type="page"/>
      </w:r>
    </w:p>
    <w:p w14:paraId="46F9727B" w14:textId="0C6615C3" w:rsidR="00BA3895" w:rsidRPr="006339A5" w:rsidRDefault="00000000" w:rsidP="006339A5">
      <w:pPr>
        <w:pStyle w:val="Heading1"/>
        <w:pBdr>
          <w:bottom w:val="single" w:sz="6" w:space="4" w:color="2E75B6"/>
        </w:pBdr>
        <w:tabs>
          <w:tab w:val="center" w:pos="4819"/>
        </w:tabs>
        <w:spacing w:line="360" w:lineRule="auto"/>
        <w:rPr>
          <w:color w:val="auto"/>
          <w:sz w:val="24"/>
          <w:szCs w:val="24"/>
        </w:rPr>
      </w:pPr>
      <w:r>
        <w:rPr>
          <w:color w:val="auto"/>
          <w:sz w:val="24"/>
          <w:szCs w:val="24"/>
        </w:rPr>
        <w:t>1. Introduction</w:t>
        <w:tab/>
      </w:r>
    </w:p>
    <w:p w14:paraId="074DBC51" w14:textId="00839436" w:rsidR="00734AD3" w:rsidRDefault="00734AD3" w:rsidP="006339A5">
      <w:pPr>
        <w:spacing w:after="160" w:line="360" w:lineRule="auto"/>
        <w:ind w:firstLine="720"/>
        <w:rPr>
          <w:color w:val="auto"/>
          <w:sz w:val="24"/>
          <w:szCs w:val="24"/>
        </w:rPr>
      </w:pPr>
      <w:r>
        <w:rPr>
          <w:color w:val="auto"/>
          <w:sz w:val="24"/>
          <w:szCs w:val="24"/>
        </w:rPr>
        <w:t>According to Kerzner (2022, p.4), project management is essential in coordinating resources, schedules, and stakeholder expectations to achieve successful project outcomes.</w:t>
      </w:r>
      <w:r>
        <w:t xml:space="preserve"> </w:t>
      </w:r>
      <w:r>
        <w:rPr>
          <w:color w:val="auto"/>
          <w:sz w:val="24"/>
          <w:szCs w:val="24"/>
        </w:rPr>
        <w:t>Similarly, Burke (2013, p.7) explains that event projects require careful planning because they involve strict timelines, resource coordination, and customer satisfaction objectives.</w:t>
      </w:r>
    </w:p>
    <w:p w14:paraId="6AA9A5EF" w14:textId="52FD7D1D" w:rsidR="00BA3895" w:rsidRPr="006339A5" w:rsidRDefault="00000000" w:rsidP="006339A5">
      <w:pPr>
        <w:spacing w:after="160" w:line="360" w:lineRule="auto"/>
        <w:ind w:firstLine="720"/>
        <w:rPr>
          <w:color w:val="auto"/>
          <w:sz w:val="24"/>
          <w:szCs w:val="24"/>
        </w:rPr>
      </w:pPr>
      <w:r>
        <w:rPr>
          <w:color w:val="auto"/>
          <w:sz w:val="24"/>
          <w:szCs w:val="24"/>
        </w:rPr>
        <w:t xml:space="preserve">Machinery World is a specialist commercial enterprise engaged in the acquisition, refurbishment, and resale of second-hand ice cream machines. Operating within a niche but growing segment of the food equipment market, the company has identified a strategic opportunity to host an Open Day event designed to strengthen client relationships, attract prospective buyers, and showcase the quality of its refurbished equipment portfolio. Project Management Institute (PMI) defined project management as </w:t>
      </w:r>
      <w:r>
        <w:rPr>
          <w:i/>
          <w:iCs/>
          <w:color w:val="auto"/>
          <w:sz w:val="24"/>
          <w:szCs w:val="24"/>
        </w:rPr>
        <w:t>"the application of knowledge, skills, tools, and techniques to project activities to meet project requirements"</w:t>
      </w:r>
      <w:r>
        <w:rPr>
          <w:color w:val="auto"/>
          <w:sz w:val="24"/>
          <w:szCs w:val="24"/>
        </w:rPr>
        <w:t xml:space="preserve"> (PMI, 2021, p.4). This document constitutes a formal project plan developed in accordance with established project management methodology and the principles articulated by the Association for Project Management (APM, 2019, p.4). The plan covers every stage of the Open Day project’s lifespan, including planning, execution, closure, and initiation — providing Machinery World with a structured, evidence-based roadmap for successful event delivery.</w:t>
      </w:r>
    </w:p>
    <w:p w14:paraId="5315A0C0" w14:textId="77777777" w:rsidR="00BA3895" w:rsidRPr="006339A5" w:rsidRDefault="00000000" w:rsidP="00AE20AE">
      <w:pPr>
        <w:pStyle w:val="Heading1"/>
        <w:pBdr>
          <w:bottom w:val="single" w:sz="6" w:space="4" w:color="2E75B6"/>
        </w:pBdr>
        <w:spacing w:line="360" w:lineRule="auto"/>
        <w:rPr>
          <w:color w:val="auto"/>
          <w:sz w:val="24"/>
          <w:szCs w:val="24"/>
        </w:rPr>
      </w:pPr>
      <w:r>
        <w:rPr>
          <w:color w:val="auto"/>
          <w:sz w:val="24"/>
          <w:szCs w:val="24"/>
        </w:rPr>
        <w:t>2. Aim, Objectives, and Scope of the Project</w:t>
      </w:r>
    </w:p>
    <w:p w14:paraId="7FC4C295" w14:textId="77777777" w:rsidR="00BA3895" w:rsidRPr="006339A5" w:rsidRDefault="00000000" w:rsidP="006339A5">
      <w:pPr>
        <w:pStyle w:val="Heading2"/>
        <w:spacing w:line="360" w:lineRule="auto"/>
        <w:ind w:firstLine="720"/>
        <w:rPr>
          <w:color w:val="auto"/>
        </w:rPr>
      </w:pPr>
      <w:r>
        <w:rPr>
          <w:color w:val="auto"/>
        </w:rPr>
        <w:t>Project Aim</w:t>
      </w:r>
    </w:p>
    <w:p w14:paraId="3A69D05B" w14:textId="14DF7D27" w:rsidR="00BA3895" w:rsidRPr="006339A5" w:rsidRDefault="00000000" w:rsidP="006339A5">
      <w:pPr>
        <w:spacing w:after="160" w:line="360" w:lineRule="auto"/>
        <w:ind w:firstLine="720"/>
        <w:rPr>
          <w:color w:val="auto"/>
          <w:sz w:val="24"/>
          <w:szCs w:val="24"/>
        </w:rPr>
      </w:pPr>
      <w:r>
        <w:rPr>
          <w:color w:val="auto"/>
          <w:sz w:val="24"/>
          <w:szCs w:val="24"/>
        </w:rPr>
        <w:t>The aim of the Machinery World Open Day project is to plan, coordinate, and deliver a professionally executed one-day event that increases brand visibility, generates qualified sales leads, and provides existing and prospective clients with a live demonstration of Machinery World's refurbishment capabilities and machine inventory that promotes the company’s refurbished ice cream machinery, strengthens stakeholder relationships, and generates new business opportunities.</w:t>
      </w:r>
    </w:p>
    <w:p w14:paraId="086B0136" w14:textId="77777777" w:rsidR="00BA3895" w:rsidRDefault="00000000" w:rsidP="006339A5">
      <w:pPr>
        <w:pStyle w:val="Heading2"/>
        <w:spacing w:line="360" w:lineRule="auto"/>
        <w:ind w:firstLine="720"/>
        <w:rPr>
          <w:color w:val="auto"/>
        </w:rPr>
      </w:pPr>
      <w:r>
        <w:rPr>
          <w:color w:val="auto"/>
        </w:rPr>
        <w:t>SMART Objectives</w:t>
      </w:r>
    </w:p>
    <w:p w14:paraId="3F3EEF21" w14:textId="02B6E155" w:rsidR="00F153F2" w:rsidRPr="00F153F2" w:rsidRDefault="00F153F2" w:rsidP="00F153F2">
      <w:pPr>
        <w:spacing w:after="80" w:line="360" w:lineRule="auto"/>
        <w:ind w:firstLine="720"/>
        <w:rPr>
          <w:color w:val="auto"/>
          <w:sz w:val="24"/>
          <w:szCs w:val="24"/>
        </w:rPr>
      </w:pPr>
      <w:r>
        <w:rPr>
          <w:color w:val="auto"/>
          <w:sz w:val="24"/>
          <w:szCs w:val="24"/>
        </w:rPr>
        <w:t>Project objectives should be specific and measurable to support effective project control and evaluation (Heagney, 2016, p.9). Gray and Larson (2021, p.4) state that clearly defined objectives improve communication among stakeholders and help teams remain focused on project priorities.</w:t>
      </w:r>
    </w:p>
    <w:p w14:paraId="0C1A3968" w14:textId="3844876F" w:rsidR="00BA3895" w:rsidRPr="006339A5" w:rsidRDefault="00000000" w:rsidP="00F153F2">
      <w:pPr>
        <w:spacing w:after="160" w:line="360" w:lineRule="auto"/>
        <w:ind w:firstLine="720"/>
        <w:rPr>
          <w:color w:val="auto"/>
          <w:sz w:val="24"/>
          <w:szCs w:val="24"/>
        </w:rPr>
      </w:pPr>
      <w:r>
        <w:rPr>
          <w:color w:val="auto"/>
          <w:sz w:val="24"/>
          <w:szCs w:val="24"/>
        </w:rPr>
        <w:t>In line with Doran’s (1981, p.35) widely adopted SMART framework the following objectives have been established:</w:t>
      </w:r>
    </w:p>
    <w:p w14:paraId="6518F484" w14:textId="77777777" w:rsidR="00BA3895" w:rsidRPr="006339A5" w:rsidRDefault="00000000" w:rsidP="00AE20AE">
      <w:pPr>
        <w:pStyle w:val="ListParagraph"/>
        <w:numPr>
          <w:ilvl w:val="0"/>
          <w:numId w:val="2"/>
        </w:numPr>
        <w:spacing w:after="80" w:line="360" w:lineRule="auto"/>
        <w:rPr>
          <w:color w:val="auto"/>
          <w:sz w:val="24"/>
          <w:szCs w:val="24"/>
        </w:rPr>
      </w:pPr>
      <w:r>
        <w:rPr>
          <w:color w:val="auto"/>
          <w:sz w:val="24"/>
          <w:szCs w:val="24"/>
        </w:rPr>
        <w:t>To secure a suitable venue and confirm booking no later than twelve weeks prior to the event date.</w:t>
      </w:r>
    </w:p>
    <w:p w14:paraId="09694C77" w14:textId="77777777" w:rsidR="00BA3895" w:rsidRPr="006339A5" w:rsidRDefault="00000000" w:rsidP="00AE20AE">
      <w:pPr>
        <w:pStyle w:val="ListParagraph"/>
        <w:numPr>
          <w:ilvl w:val="0"/>
          <w:numId w:val="2"/>
        </w:numPr>
        <w:spacing w:after="80" w:line="360" w:lineRule="auto"/>
        <w:rPr>
          <w:color w:val="auto"/>
          <w:sz w:val="24"/>
          <w:szCs w:val="24"/>
        </w:rPr>
      </w:pPr>
      <w:r>
        <w:rPr>
          <w:color w:val="auto"/>
          <w:sz w:val="24"/>
          <w:szCs w:val="24"/>
        </w:rPr>
        <w:t>To produce and distribute marketing materials — including printed flyers, posters, and digital content — to a minimum of 200 contacts no later than six weeks before the event.</w:t>
      </w:r>
    </w:p>
    <w:p w14:paraId="27A722E9" w14:textId="77777777" w:rsidR="00BA3895" w:rsidRPr="006339A5" w:rsidRDefault="00000000" w:rsidP="00AE20AE">
      <w:pPr>
        <w:pStyle w:val="ListParagraph"/>
        <w:numPr>
          <w:ilvl w:val="0"/>
          <w:numId w:val="2"/>
        </w:numPr>
        <w:spacing w:after="80" w:line="360" w:lineRule="auto"/>
        <w:rPr>
          <w:color w:val="auto"/>
          <w:sz w:val="24"/>
          <w:szCs w:val="24"/>
        </w:rPr>
      </w:pPr>
      <w:r>
        <w:rPr>
          <w:color w:val="auto"/>
          <w:sz w:val="24"/>
          <w:szCs w:val="24"/>
        </w:rPr>
        <w:t>To register a minimum of 80 attendees via a formal attendance management system prior to the event.</w:t>
      </w:r>
    </w:p>
    <w:p w14:paraId="51F30887" w14:textId="77777777" w:rsidR="00BA3895" w:rsidRPr="006339A5" w:rsidRDefault="00000000" w:rsidP="00AE20AE">
      <w:pPr>
        <w:pStyle w:val="ListParagraph"/>
        <w:numPr>
          <w:ilvl w:val="0"/>
          <w:numId w:val="2"/>
        </w:numPr>
        <w:spacing w:after="80" w:line="360" w:lineRule="auto"/>
        <w:rPr>
          <w:color w:val="auto"/>
          <w:sz w:val="24"/>
          <w:szCs w:val="24"/>
        </w:rPr>
      </w:pPr>
      <w:r>
        <w:rPr>
          <w:color w:val="auto"/>
          <w:sz w:val="24"/>
          <w:szCs w:val="24"/>
        </w:rPr>
        <w:t>To deliver a structured event programme with at least four scheduled activities, including machine demonstrations, a Q&amp;A session, and a networking lunch.</w:t>
      </w:r>
    </w:p>
    <w:p w14:paraId="1F25D645" w14:textId="0D4E3579" w:rsidR="00BA3895" w:rsidRDefault="00000000" w:rsidP="00AE20AE">
      <w:pPr>
        <w:pStyle w:val="ListParagraph"/>
        <w:numPr>
          <w:ilvl w:val="0"/>
          <w:numId w:val="2"/>
        </w:numPr>
        <w:spacing w:after="80" w:line="360" w:lineRule="auto"/>
        <w:rPr>
          <w:color w:val="auto"/>
          <w:sz w:val="24"/>
          <w:szCs w:val="24"/>
        </w:rPr>
      </w:pPr>
      <w:r>
        <w:rPr>
          <w:color w:val="auto"/>
          <w:sz w:val="24"/>
          <w:szCs w:val="24"/>
        </w:rPr>
        <w:t>To complete and distribute a post-event evaluation report within ten working days of the event, incorporating attendee feedback data.</w:t>
      </w:r>
    </w:p>
    <w:p w14:paraId="0999E89D" w14:textId="77777777" w:rsidR="00BA3895" w:rsidRDefault="00000000" w:rsidP="006339A5">
      <w:pPr>
        <w:pStyle w:val="Heading2"/>
        <w:spacing w:line="360" w:lineRule="auto"/>
        <w:ind w:firstLine="360"/>
        <w:rPr>
          <w:color w:val="auto"/>
        </w:rPr>
      </w:pPr>
      <w:r>
        <w:rPr>
          <w:color w:val="auto"/>
        </w:rPr>
        <w:t>Project Scope</w:t>
      </w:r>
    </w:p>
    <w:p w14:paraId="707D96D0" w14:textId="0ED4C284" w:rsidR="00BA3895" w:rsidRPr="006339A5" w:rsidRDefault="00000000" w:rsidP="006339A5">
      <w:pPr>
        <w:spacing w:after="160" w:line="360" w:lineRule="auto"/>
        <w:ind w:firstLine="360"/>
        <w:rPr>
          <w:color w:val="auto"/>
          <w:sz w:val="24"/>
          <w:szCs w:val="24"/>
        </w:rPr>
      </w:pPr>
      <w:r>
        <w:rPr>
          <w:color w:val="auto"/>
          <w:sz w:val="24"/>
          <w:szCs w:val="24"/>
        </w:rPr>
        <w:t>The scope of this project encompasses all activities directly related to the planning and delivery of a single Open Day event. Specifically included are: venue research and booking; design and distribution of marketing materials; development and management of an attendee registration system; creation and execution of an event programme; and post-event evaluation. Excluded from scope are: any permanent infrastructure changes to Machinery World premises; ongoing marketing campaigns beyond those directly tied to the Open Day; and sales negotiations or commercial transactions conducted during the event. As Wysocki (2019, p.113) observes, a well-defined scope boundary is essential for preventing scope creep, which is one of the most frequent reasons why projects fail.</w:t>
      </w:r>
    </w:p>
    <w:p w14:paraId="211FFB65" w14:textId="2D8D785A" w:rsidR="00AE20AE" w:rsidRPr="006339A5" w:rsidRDefault="00AE20AE" w:rsidP="00AE20AE">
      <w:pPr>
        <w:spacing w:line="360" w:lineRule="auto"/>
        <w:ind w:firstLine="720"/>
        <w:rPr>
          <w:color w:val="auto"/>
          <w:sz w:val="24"/>
          <w:szCs w:val="24"/>
        </w:rPr>
      </w:pPr>
      <w:r>
        <w:rPr>
          <w:color w:val="auto"/>
          <w:sz w:val="24"/>
          <w:szCs w:val="24"/>
        </w:rPr>
        <w:t>Project</w:t>
      </w:r>
      <w:r>
        <w:rPr>
          <w:color w:val="auto"/>
          <w:spacing w:val="-2"/>
          <w:sz w:val="24"/>
          <w:szCs w:val="24"/>
        </w:rPr>
        <w:t xml:space="preserve"> </w:t>
      </w:r>
      <w:r>
        <w:rPr>
          <w:color w:val="auto"/>
          <w:sz w:val="24"/>
          <w:szCs w:val="24"/>
        </w:rPr>
        <w:t>Scope</w:t>
      </w:r>
      <w:r>
        <w:rPr>
          <w:color w:val="auto"/>
          <w:spacing w:val="-2"/>
          <w:sz w:val="24"/>
          <w:szCs w:val="24"/>
        </w:rPr>
        <w:t xml:space="preserve"> </w:t>
      </w:r>
      <w:r>
        <w:rPr>
          <w:color w:val="auto"/>
          <w:sz w:val="24"/>
          <w:szCs w:val="24"/>
        </w:rPr>
        <w:t>Statement</w:t>
      </w:r>
      <w:r>
        <w:rPr>
          <w:color w:val="auto"/>
          <w:spacing w:val="-2"/>
          <w:sz w:val="24"/>
          <w:szCs w:val="24"/>
        </w:rPr>
        <w:t xml:space="preserve"> </w:t>
      </w:r>
      <w:r>
        <w:rPr>
          <w:color w:val="auto"/>
          <w:sz w:val="24"/>
          <w:szCs w:val="24"/>
        </w:rPr>
        <w:t>must</w:t>
      </w:r>
      <w:r>
        <w:rPr>
          <w:color w:val="auto"/>
          <w:spacing w:val="-2"/>
          <w:sz w:val="24"/>
          <w:szCs w:val="24"/>
        </w:rPr>
        <w:t xml:space="preserve"> </w:t>
      </w:r>
      <w:r>
        <w:rPr>
          <w:color w:val="auto"/>
          <w:sz w:val="24"/>
          <w:szCs w:val="24"/>
        </w:rPr>
        <w:t>be</w:t>
      </w:r>
      <w:r>
        <w:rPr>
          <w:color w:val="auto"/>
          <w:spacing w:val="-2"/>
          <w:sz w:val="24"/>
          <w:szCs w:val="24"/>
        </w:rPr>
        <w:t xml:space="preserve"> </w:t>
      </w:r>
      <w:r>
        <w:rPr>
          <w:color w:val="auto"/>
          <w:sz w:val="24"/>
          <w:szCs w:val="24"/>
        </w:rPr>
        <w:t>enforced,</w:t>
      </w:r>
      <w:r>
        <w:rPr>
          <w:color w:val="auto"/>
          <w:spacing w:val="-2"/>
          <w:sz w:val="24"/>
          <w:szCs w:val="24"/>
        </w:rPr>
        <w:t xml:space="preserve"> </w:t>
      </w:r>
      <w:r>
        <w:rPr>
          <w:color w:val="auto"/>
          <w:sz w:val="24"/>
          <w:szCs w:val="24"/>
        </w:rPr>
        <w:t>detailing</w:t>
      </w:r>
      <w:r>
        <w:rPr>
          <w:color w:val="auto"/>
          <w:spacing w:val="-2"/>
          <w:sz w:val="24"/>
          <w:szCs w:val="24"/>
        </w:rPr>
        <w:t xml:space="preserve"> </w:t>
      </w:r>
      <w:r>
        <w:rPr>
          <w:color w:val="auto"/>
          <w:sz w:val="24"/>
          <w:szCs w:val="24"/>
        </w:rPr>
        <w:t>explicitly what is included (In-Scope) and what is excluded (Out-of-Scope) from the project boundary.</w:t>
      </w:r>
    </w:p>
    <w:p w14:paraId="440C02BA" w14:textId="77777777" w:rsidR="00AE20AE" w:rsidRPr="006339A5" w:rsidRDefault="00AE20AE" w:rsidP="00AE20AE">
      <w:pPr>
        <w:spacing w:line="360" w:lineRule="auto"/>
        <w:ind w:firstLine="720"/>
        <w:rPr>
          <w:color w:val="auto"/>
          <w:sz w:val="24"/>
          <w:szCs w:val="24"/>
        </w:rPr>
      </w:pPr>
      <w:r>
        <w:rPr>
          <w:color w:val="auto"/>
          <w:sz w:val="24"/>
          <w:szCs w:val="24"/>
        </w:rPr>
        <w:t>In-Scope Components: The project boundary encompasses the end-to-end lifecycle management of the Open Day, including: full lease and layout configuration of the primary workshop and showroom; formal vendor procurement</w:t>
      </w:r>
      <w:r>
        <w:rPr>
          <w:color w:val="auto"/>
          <w:spacing w:val="-2"/>
          <w:sz w:val="24"/>
          <w:szCs w:val="24"/>
        </w:rPr>
        <w:t xml:space="preserve"> </w:t>
      </w:r>
      <w:r>
        <w:rPr>
          <w:color w:val="auto"/>
          <w:sz w:val="24"/>
          <w:szCs w:val="24"/>
        </w:rPr>
        <w:t>and</w:t>
      </w:r>
      <w:r>
        <w:rPr>
          <w:color w:val="auto"/>
          <w:spacing w:val="-2"/>
          <w:sz w:val="24"/>
          <w:szCs w:val="24"/>
        </w:rPr>
        <w:t xml:space="preserve"> </w:t>
      </w:r>
      <w:r>
        <w:rPr>
          <w:color w:val="auto"/>
          <w:sz w:val="24"/>
          <w:szCs w:val="24"/>
        </w:rPr>
        <w:t>booking</w:t>
      </w:r>
      <w:r>
        <w:rPr>
          <w:color w:val="auto"/>
          <w:spacing w:val="-2"/>
          <w:sz w:val="24"/>
          <w:szCs w:val="24"/>
        </w:rPr>
        <w:t xml:space="preserve"> </w:t>
      </w:r>
      <w:r>
        <w:rPr>
          <w:color w:val="auto"/>
          <w:sz w:val="24"/>
          <w:szCs w:val="24"/>
        </w:rPr>
        <w:t>of</w:t>
      </w:r>
      <w:r>
        <w:rPr>
          <w:color w:val="auto"/>
          <w:spacing w:val="-2"/>
          <w:sz w:val="24"/>
          <w:szCs w:val="24"/>
        </w:rPr>
        <w:t xml:space="preserve"> </w:t>
      </w:r>
      <w:r>
        <w:rPr>
          <w:color w:val="auto"/>
          <w:sz w:val="24"/>
          <w:szCs w:val="24"/>
        </w:rPr>
        <w:t>professional</w:t>
      </w:r>
      <w:r>
        <w:rPr>
          <w:color w:val="auto"/>
          <w:spacing w:val="-2"/>
          <w:sz w:val="24"/>
          <w:szCs w:val="24"/>
        </w:rPr>
        <w:t xml:space="preserve"> </w:t>
      </w:r>
      <w:r>
        <w:rPr>
          <w:color w:val="auto"/>
          <w:sz w:val="24"/>
          <w:szCs w:val="24"/>
        </w:rPr>
        <w:t>AV</w:t>
      </w:r>
      <w:r>
        <w:rPr>
          <w:color w:val="auto"/>
          <w:spacing w:val="-2"/>
          <w:sz w:val="24"/>
          <w:szCs w:val="24"/>
        </w:rPr>
        <w:t xml:space="preserve"> </w:t>
      </w:r>
      <w:r>
        <w:rPr>
          <w:color w:val="auto"/>
          <w:sz w:val="24"/>
          <w:szCs w:val="24"/>
        </w:rPr>
        <w:t>equipment</w:t>
      </w:r>
      <w:r>
        <w:rPr>
          <w:color w:val="auto"/>
          <w:spacing w:val="-2"/>
          <w:sz w:val="24"/>
          <w:szCs w:val="24"/>
        </w:rPr>
        <w:t xml:space="preserve"> </w:t>
      </w:r>
      <w:r>
        <w:rPr>
          <w:color w:val="auto"/>
          <w:sz w:val="24"/>
          <w:szCs w:val="24"/>
        </w:rPr>
        <w:t>and</w:t>
      </w:r>
      <w:r>
        <w:rPr>
          <w:color w:val="auto"/>
          <w:spacing w:val="-2"/>
          <w:sz w:val="24"/>
          <w:szCs w:val="24"/>
        </w:rPr>
        <w:t xml:space="preserve"> </w:t>
      </w:r>
      <w:r>
        <w:rPr>
          <w:color w:val="auto"/>
          <w:sz w:val="24"/>
          <w:szCs w:val="24"/>
        </w:rPr>
        <w:t>premium</w:t>
      </w:r>
      <w:r>
        <w:rPr>
          <w:color w:val="auto"/>
          <w:spacing w:val="-2"/>
          <w:sz w:val="24"/>
          <w:szCs w:val="24"/>
        </w:rPr>
        <w:t xml:space="preserve"> </w:t>
      </w:r>
      <w:r>
        <w:rPr>
          <w:color w:val="auto"/>
          <w:sz w:val="24"/>
          <w:szCs w:val="24"/>
        </w:rPr>
        <w:t>catering</w:t>
      </w:r>
      <w:r>
        <w:rPr>
          <w:color w:val="auto"/>
          <w:spacing w:val="-2"/>
          <w:sz w:val="24"/>
          <w:szCs w:val="24"/>
        </w:rPr>
        <w:t xml:space="preserve"> </w:t>
      </w:r>
      <w:r>
        <w:rPr>
          <w:color w:val="auto"/>
          <w:sz w:val="24"/>
          <w:szCs w:val="24"/>
        </w:rPr>
        <w:t>services;</w:t>
      </w:r>
      <w:r>
        <w:rPr>
          <w:color w:val="auto"/>
          <w:spacing w:val="-2"/>
          <w:sz w:val="24"/>
          <w:szCs w:val="24"/>
        </w:rPr>
        <w:t xml:space="preserve"> </w:t>
      </w:r>
      <w:r>
        <w:rPr>
          <w:color w:val="auto"/>
          <w:sz w:val="24"/>
          <w:szCs w:val="24"/>
        </w:rPr>
        <w:t>creation</w:t>
      </w:r>
      <w:r>
        <w:rPr>
          <w:color w:val="auto"/>
          <w:spacing w:val="-2"/>
          <w:sz w:val="24"/>
          <w:szCs w:val="24"/>
        </w:rPr>
        <w:t xml:space="preserve"> </w:t>
      </w:r>
      <w:r>
        <w:rPr>
          <w:color w:val="auto"/>
          <w:sz w:val="24"/>
          <w:szCs w:val="24"/>
        </w:rPr>
        <w:t>and</w:t>
      </w:r>
      <w:r>
        <w:rPr>
          <w:color w:val="auto"/>
          <w:spacing w:val="-2"/>
          <w:sz w:val="24"/>
          <w:szCs w:val="24"/>
        </w:rPr>
        <w:t xml:space="preserve"> </w:t>
      </w:r>
      <w:r>
        <w:rPr>
          <w:color w:val="auto"/>
          <w:sz w:val="24"/>
          <w:szCs w:val="24"/>
        </w:rPr>
        <w:t>multi-channel distribution of all digital and physical marketing collateral; development and deployment of a secure, automated digital attendance registration and automated follow-up system; management of</w:t>
      </w:r>
      <w:r>
        <w:rPr>
          <w:color w:val="auto"/>
          <w:spacing w:val="-1"/>
          <w:sz w:val="24"/>
          <w:szCs w:val="24"/>
        </w:rPr>
        <w:t xml:space="preserve"> </w:t>
      </w:r>
      <w:r>
        <w:rPr>
          <w:color w:val="auto"/>
          <w:sz w:val="24"/>
          <w:szCs w:val="24"/>
        </w:rPr>
        <w:t>live engineering demonstrations</w:t>
      </w:r>
      <w:r>
        <w:rPr>
          <w:color w:val="auto"/>
          <w:spacing w:val="-1"/>
          <w:sz w:val="24"/>
          <w:szCs w:val="24"/>
        </w:rPr>
        <w:t xml:space="preserve"> </w:t>
      </w:r>
      <w:r>
        <w:rPr>
          <w:color w:val="auto"/>
          <w:sz w:val="24"/>
          <w:szCs w:val="24"/>
        </w:rPr>
        <w:t>on five distinct models of refurbished ice cream machines (soft-serve, batch freezers, and pasteurizers); full implementation of a comprehensive site health, safety, and liability insurance regime; and the post-event data aggregation, survey analysis, and delivery of the final evaluation report.</w:t>
      </w:r>
    </w:p>
    <w:p w14:paraId="39021D04" w14:textId="38BB800C" w:rsidR="00AE20AE" w:rsidRPr="006339A5" w:rsidRDefault="00AE20AE" w:rsidP="006339A5">
      <w:pPr>
        <w:spacing w:line="360" w:lineRule="auto"/>
        <w:ind w:firstLine="720"/>
        <w:rPr>
          <w:color w:val="auto"/>
          <w:sz w:val="24"/>
          <w:szCs w:val="24"/>
        </w:rPr>
      </w:pPr>
      <w:r>
        <w:rPr>
          <w:color w:val="auto"/>
          <w:sz w:val="24"/>
          <w:szCs w:val="24"/>
        </w:rPr>
        <w:t>Out-of-Scope Components: To preserve project focus and budget alignment, the following elements are explicitly excluded from the scope: the execution of any permanent structural modifications, civil works, or architectural renovations to the Machinery World facilities; the provision of organized guest transport, flights, or overnight hotel accommodations for attendees; the physical sale or commercial distribution of actual food products or consumable ice cream mixes for off-site consumption; any long-term digital or print marketing campaigns extending beyond the immediate two-week post-event window; and the provision of localized machinery warranty extensions or custom servicing agreements exceeding the standard corporate parameters, unless explicitly negotiated by the sales department outside the event framework.</w:t>
      </w:r>
    </w:p>
    <w:p w14:paraId="1D0FAA38" w14:textId="77777777" w:rsidR="00BA3895" w:rsidRPr="006339A5" w:rsidRDefault="00000000" w:rsidP="00AE20AE">
      <w:pPr>
        <w:pStyle w:val="Heading1"/>
        <w:pBdr>
          <w:bottom w:val="single" w:sz="6" w:space="4" w:color="2E75B6"/>
        </w:pBdr>
        <w:spacing w:line="360" w:lineRule="auto"/>
        <w:rPr>
          <w:color w:val="auto"/>
          <w:sz w:val="24"/>
          <w:szCs w:val="24"/>
        </w:rPr>
      </w:pPr>
      <w:r>
        <w:rPr>
          <w:color w:val="auto"/>
          <w:sz w:val="24"/>
          <w:szCs w:val="24"/>
        </w:rPr>
        <w:t>3. Main Body</w:t>
      </w:r>
    </w:p>
    <w:p w14:paraId="7D01D52C" w14:textId="77777777" w:rsidR="00BA3895" w:rsidRPr="006339A5" w:rsidRDefault="00000000" w:rsidP="006339A5">
      <w:pPr>
        <w:pStyle w:val="Heading2"/>
        <w:spacing w:line="360" w:lineRule="auto"/>
        <w:ind w:firstLine="360"/>
        <w:rPr>
          <w:color w:val="auto"/>
        </w:rPr>
      </w:pPr>
      <w:r>
        <w:rPr>
          <w:color w:val="auto"/>
        </w:rPr>
        <w:t>Project Outputs (Deliverables)</w:t>
      </w:r>
    </w:p>
    <w:p w14:paraId="623DCBD9" w14:textId="53B5B822" w:rsidR="00AE20AE" w:rsidRPr="006339A5" w:rsidRDefault="00000000" w:rsidP="00AE20AE">
      <w:pPr>
        <w:spacing w:after="160" w:line="360" w:lineRule="auto"/>
        <w:ind w:firstLine="360"/>
        <w:rPr>
          <w:color w:val="auto"/>
          <w:sz w:val="24"/>
          <w:szCs w:val="24"/>
        </w:rPr>
      </w:pPr>
      <w:r>
        <w:rPr>
          <w:color w:val="auto"/>
          <w:sz w:val="24"/>
          <w:szCs w:val="24"/>
        </w:rPr>
        <w:t xml:space="preserve">Turner (2016, p.21) defines a project output as “a tangible or intangible product that a project is required to produce”. </w:t>
      </w:r>
    </w:p>
    <w:p w14:paraId="7162CE54" w14:textId="1D06948F" w:rsidR="00AE20AE" w:rsidRPr="006339A5" w:rsidRDefault="00AE20AE" w:rsidP="00AE20AE">
      <w:pPr>
        <w:spacing w:line="360" w:lineRule="auto"/>
        <w:ind w:firstLine="360"/>
        <w:rPr>
          <w:color w:val="auto"/>
          <w:sz w:val="24"/>
          <w:szCs w:val="24"/>
        </w:rPr>
      </w:pPr>
      <w:r>
        <w:rPr>
          <w:color w:val="auto"/>
          <w:sz w:val="24"/>
          <w:szCs w:val="24"/>
        </w:rPr>
        <w:t>The successful execution of the Machinery World Open Day depends upon the meticulous development, verification, and integration of five core project deliverables. Each deliverable serves as a vital structural pillar, supporting both operational compliance and commercial efficacy (Larson and Gray, 2021, p.112).</w:t>
      </w:r>
    </w:p>
    <w:p w14:paraId="4A5BE6FB" w14:textId="77C23B1D" w:rsidR="00BA3895" w:rsidRPr="006339A5" w:rsidRDefault="00000000" w:rsidP="00AE20AE">
      <w:pPr>
        <w:spacing w:after="160" w:line="360" w:lineRule="auto"/>
        <w:ind w:firstLine="360"/>
        <w:rPr>
          <w:color w:val="auto"/>
          <w:sz w:val="24"/>
          <w:szCs w:val="24"/>
        </w:rPr>
      </w:pPr>
      <w:r>
        <w:rPr>
          <w:color w:val="auto"/>
          <w:sz w:val="24"/>
          <w:szCs w:val="24"/>
        </w:rPr>
        <w:t>Five principal deliverables have been identified for the Machinery World Open Day:</w:t>
      </w:r>
    </w:p>
    <w:p w14:paraId="3C53CF6E" w14:textId="6E6D4E0C" w:rsidR="00BA3895" w:rsidRPr="006339A5" w:rsidRDefault="007337AD" w:rsidP="00AE20AE">
      <w:pPr>
        <w:spacing w:after="160" w:line="360" w:lineRule="auto"/>
        <w:rPr>
          <w:color w:val="auto"/>
          <w:sz w:val="24"/>
          <w:szCs w:val="24"/>
        </w:rPr>
      </w:pPr>
      <w:r>
        <w:rPr>
          <w:noProof/>
          <w:color w:val="auto"/>
        </w:rPr>
        <w:drawing>
          <wp:inline distT="0" distB="0" distL="0" distR="0" wp14:anchorId="5E3AE6E7" wp14:editId="25E8C8D5">
            <wp:extent cx="6120130" cy="5372100"/>
            <wp:effectExtent l="0" t="0" r="0" b="0"/>
            <wp:docPr id="1160163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20130" cy="5372100"/>
                    </a:xfrm>
                    <a:prstGeom prst="rect">
                      <a:avLst/>
                    </a:prstGeom>
                    <a:noFill/>
                    <a:ln>
                      <a:noFill/>
                    </a:ln>
                  </pic:spPr>
                </pic:pic>
              </a:graphicData>
            </a:graphic>
          </wp:inline>
        </w:drawing>
      </w:r>
    </w:p>
    <w:p w14:paraId="7FDAFD94" w14:textId="68883A06" w:rsidR="00BA3895" w:rsidRPr="006339A5" w:rsidRDefault="00000000" w:rsidP="006339A5">
      <w:pPr>
        <w:spacing w:after="160" w:line="360" w:lineRule="auto"/>
        <w:ind w:firstLine="720"/>
        <w:rPr>
          <w:color w:val="auto"/>
          <w:sz w:val="24"/>
          <w:szCs w:val="24"/>
        </w:rPr>
      </w:pPr>
      <w:r>
        <w:rPr>
          <w:color w:val="auto"/>
          <w:sz w:val="24"/>
          <w:szCs w:val="24"/>
        </w:rPr>
        <w:t xml:space="preserve">These five deliverables collectively constitute the </w:t>
      </w:r>
      <w:r>
        <w:rPr>
          <w:b/>
          <w:bCs/>
          <w:color w:val="auto"/>
          <w:sz w:val="24"/>
          <w:szCs w:val="24"/>
        </w:rPr>
        <w:t>minimum viable output</w:t>
      </w:r>
      <w:r>
        <w:rPr>
          <w:color w:val="auto"/>
          <w:sz w:val="24"/>
          <w:szCs w:val="24"/>
        </w:rPr>
        <w:t xml:space="preserve"> of the project. Each is assigned to a named responsible party and carries a clearly articulated deadline, consistent with the output-focused approach. </w:t>
      </w:r>
    </w:p>
    <w:p w14:paraId="0F3F1386" w14:textId="77777777" w:rsidR="00BA3895" w:rsidRPr="006339A5" w:rsidRDefault="00000000" w:rsidP="006339A5">
      <w:pPr>
        <w:spacing w:line="360" w:lineRule="auto"/>
        <w:ind w:firstLine="720"/>
        <w:rPr>
          <w:b/>
          <w:bCs/>
          <w:color w:val="auto"/>
          <w:sz w:val="24"/>
          <w:szCs w:val="24"/>
        </w:rPr>
      </w:pPr>
      <w:r>
        <w:rPr>
          <w:b/>
          <w:bCs/>
          <w:color w:val="auto"/>
          <w:sz w:val="24"/>
          <w:szCs w:val="24"/>
        </w:rPr>
        <w:t>Stakeholders &amp; Communication Plan</w:t>
      </w:r>
    </w:p>
    <w:p w14:paraId="01DCBFCB" w14:textId="5B901965" w:rsidR="00BA3895" w:rsidRPr="006339A5" w:rsidRDefault="00000000" w:rsidP="006339A5">
      <w:pPr>
        <w:spacing w:after="160" w:line="360" w:lineRule="auto"/>
        <w:ind w:firstLine="720"/>
        <w:rPr>
          <w:color w:val="auto"/>
          <w:sz w:val="24"/>
          <w:szCs w:val="24"/>
        </w:rPr>
      </w:pPr>
      <w:r>
        <w:rPr>
          <w:color w:val="auto"/>
          <w:sz w:val="24"/>
          <w:szCs w:val="24"/>
        </w:rPr>
        <w:t xml:space="preserve">Stakeholder management is widely regarded as a critical success factor in project delivery. Freeman (1984, p.46) showed that stakeholder represents </w:t>
      </w:r>
      <w:r>
        <w:rPr>
          <w:i/>
          <w:iCs/>
          <w:color w:val="auto"/>
          <w:sz w:val="24"/>
          <w:szCs w:val="24"/>
        </w:rPr>
        <w:t>"any group or individual who can affect or is affected by the achievement of the organisation's objectives"</w:t>
      </w:r>
      <w:r>
        <w:rPr>
          <w:color w:val="auto"/>
          <w:sz w:val="24"/>
          <w:szCs w:val="24"/>
        </w:rPr>
        <w:t>. Proactive stakeholder engagement — rather than passive identification — is the distinguishing feature of successful project managers.</w:t>
      </w:r>
      <w:r>
        <w:t xml:space="preserve"> </w:t>
      </w:r>
      <w:r>
        <w:rPr>
          <w:color w:val="auto"/>
          <w:sz w:val="24"/>
          <w:szCs w:val="24"/>
        </w:rPr>
        <w:t>Turner (2016, p.92) states that stakeholder collaboration improves project quality and reduces conflict.</w:t>
      </w:r>
    </w:p>
    <w:p w14:paraId="0CB6867F" w14:textId="77777777" w:rsidR="00BA3895" w:rsidRPr="006339A5" w:rsidRDefault="00000000" w:rsidP="006339A5">
      <w:pPr>
        <w:pStyle w:val="Heading2"/>
        <w:spacing w:line="360" w:lineRule="auto"/>
        <w:ind w:firstLine="720"/>
        <w:rPr>
          <w:b w:val="0"/>
          <w:bCs w:val="0"/>
          <w:color w:val="auto"/>
        </w:rPr>
      </w:pPr>
      <w:r>
        <w:rPr>
          <w:b w:val="0"/>
          <w:bCs w:val="0"/>
          <w:color w:val="auto"/>
        </w:rPr>
        <w:t>Stakeholder Identification and Classification</w:t>
      </w:r>
    </w:p>
    <w:p w14:paraId="51526F02" w14:textId="77777777" w:rsidR="00BA3895" w:rsidRPr="006339A5" w:rsidRDefault="00000000" w:rsidP="006339A5">
      <w:pPr>
        <w:spacing w:after="160" w:line="360" w:lineRule="auto"/>
        <w:ind w:firstLine="720"/>
        <w:rPr>
          <w:color w:val="auto"/>
          <w:sz w:val="24"/>
          <w:szCs w:val="24"/>
        </w:rPr>
      </w:pPr>
      <w:r>
        <w:rPr>
          <w:color w:val="auto"/>
          <w:sz w:val="24"/>
          <w:szCs w:val="24"/>
        </w:rPr>
        <w:t>The following stakeholders have been identified and classified as either internal (within Machinery World) or external (outside the organisation):</w:t>
      </w:r>
    </w:p>
    <w:p w14:paraId="355286A3" w14:textId="306E0BA3" w:rsidR="00BA3895" w:rsidRPr="006339A5" w:rsidRDefault="007337AD" w:rsidP="00AE20AE">
      <w:pPr>
        <w:spacing w:after="160" w:line="360" w:lineRule="auto"/>
        <w:rPr>
          <w:color w:val="auto"/>
          <w:sz w:val="24"/>
          <w:szCs w:val="24"/>
        </w:rPr>
      </w:pPr>
      <w:r>
        <w:rPr>
          <w:noProof/>
          <w:color w:val="auto"/>
        </w:rPr>
        <w:drawing>
          <wp:inline distT="0" distB="0" distL="0" distR="0" wp14:anchorId="65DAB2D9" wp14:editId="606FA0EE">
            <wp:extent cx="5729605" cy="4681855"/>
            <wp:effectExtent l="0" t="0" r="4445" b="0"/>
            <wp:docPr id="120999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9605" cy="4681855"/>
                    </a:xfrm>
                    <a:prstGeom prst="rect">
                      <a:avLst/>
                    </a:prstGeom>
                    <a:noFill/>
                    <a:ln>
                      <a:noFill/>
                    </a:ln>
                  </pic:spPr>
                </pic:pic>
              </a:graphicData>
            </a:graphic>
          </wp:inline>
        </w:drawing>
      </w:r>
    </w:p>
    <w:p w14:paraId="3A03DF8D" w14:textId="77777777" w:rsidR="00BA3895" w:rsidRPr="006339A5" w:rsidRDefault="00000000" w:rsidP="006339A5">
      <w:pPr>
        <w:pStyle w:val="Heading2"/>
        <w:spacing w:line="360" w:lineRule="auto"/>
        <w:ind w:firstLine="720"/>
        <w:rPr>
          <w:color w:val="auto"/>
        </w:rPr>
      </w:pPr>
      <w:r>
        <w:rPr>
          <w:color w:val="auto"/>
        </w:rPr>
        <w:t>Power–Interest Grid Analysis</w:t>
      </w:r>
    </w:p>
    <w:p w14:paraId="41A3F0E0" w14:textId="7E183367" w:rsidR="00BA3895" w:rsidRPr="006339A5" w:rsidRDefault="00000000" w:rsidP="00AE20AE">
      <w:pPr>
        <w:spacing w:after="160" w:line="360" w:lineRule="auto"/>
        <w:rPr>
          <w:color w:val="auto"/>
          <w:sz w:val="24"/>
          <w:szCs w:val="24"/>
        </w:rPr>
      </w:pPr>
      <w:r>
        <w:rPr>
          <w:color w:val="auto"/>
          <w:sz w:val="24"/>
          <w:szCs w:val="24"/>
        </w:rPr>
        <w:t xml:space="preserve">Using Johnson and Scholes’ (2008, p.156) Power–Interest Matrix, stakeholders are mapped into four quadrants. The Managing Director and Project Manager occupy the </w:t>
      </w:r>
      <w:r>
        <w:rPr>
          <w:b/>
          <w:bCs/>
          <w:color w:val="auto"/>
          <w:sz w:val="24"/>
          <w:szCs w:val="24"/>
        </w:rPr>
        <w:t>Manage Closely</w:t>
      </w:r>
      <w:r>
        <w:rPr>
          <w:color w:val="auto"/>
          <w:sz w:val="24"/>
          <w:szCs w:val="24"/>
        </w:rPr>
        <w:t xml:space="preserve"> quadrant (high power, high interest), requiring detailed, frequent communication. The Sales &amp; Operations Manager also falls here, given operational authority. The Marketing Team and Venue Provider sit in the </w:t>
      </w:r>
      <w:r>
        <w:rPr>
          <w:b/>
          <w:bCs/>
          <w:color w:val="auto"/>
          <w:sz w:val="24"/>
          <w:szCs w:val="24"/>
        </w:rPr>
        <w:t>Keep Satisfied</w:t>
      </w:r>
      <w:r>
        <w:rPr>
          <w:color w:val="auto"/>
          <w:sz w:val="24"/>
          <w:szCs w:val="24"/>
        </w:rPr>
        <w:t xml:space="preserve"> quadrant (high/medium power, medium interest). Existing clients and prospective buyers are classified as </w:t>
      </w:r>
      <w:r>
        <w:rPr>
          <w:b/>
          <w:bCs/>
          <w:color w:val="auto"/>
          <w:sz w:val="24"/>
          <w:szCs w:val="24"/>
        </w:rPr>
        <w:t>Keep Informed</w:t>
      </w:r>
      <w:r>
        <w:rPr>
          <w:color w:val="auto"/>
          <w:sz w:val="24"/>
          <w:szCs w:val="24"/>
        </w:rPr>
        <w:t xml:space="preserve"> (low power, high interest), while trade media are </w:t>
      </w:r>
      <w:r>
        <w:rPr>
          <w:b/>
          <w:bCs/>
          <w:color w:val="auto"/>
          <w:sz w:val="24"/>
          <w:szCs w:val="24"/>
        </w:rPr>
        <w:t>Monitor</w:t>
      </w:r>
      <w:r>
        <w:rPr>
          <w:color w:val="auto"/>
          <w:sz w:val="24"/>
          <w:szCs w:val="24"/>
        </w:rPr>
        <w:t xml:space="preserve"> stakeholders (low power, low interest). As Bourne (2009, p.112) cautions: </w:t>
      </w:r>
      <w:r>
        <w:rPr>
          <w:i/>
          <w:iCs/>
          <w:color w:val="auto"/>
          <w:sz w:val="24"/>
          <w:szCs w:val="24"/>
        </w:rPr>
        <w:t>"stakeholders who feel ignored can rapidly become obstacles"</w:t>
      </w:r>
      <w:r>
        <w:rPr>
          <w:color w:val="auto"/>
          <w:sz w:val="24"/>
          <w:szCs w:val="24"/>
        </w:rPr>
        <w:t>, and therefore even low-power stakeholders are allocated defined communication touchpoints.</w:t>
      </w:r>
    </w:p>
    <w:p w14:paraId="495C943F" w14:textId="77777777" w:rsidR="00BA3895" w:rsidRPr="006339A5" w:rsidRDefault="00000000" w:rsidP="006339A5">
      <w:pPr>
        <w:pStyle w:val="Heading2"/>
        <w:spacing w:line="360" w:lineRule="auto"/>
        <w:ind w:firstLine="720"/>
        <w:rPr>
          <w:color w:val="auto"/>
        </w:rPr>
      </w:pPr>
      <w:r>
        <w:rPr>
          <w:color w:val="auto"/>
        </w:rPr>
        <w:t>Communication Plan</w:t>
      </w:r>
    </w:p>
    <w:p w14:paraId="7FB00AAD" w14:textId="3EB011C7" w:rsidR="00BA3895" w:rsidRDefault="00000000" w:rsidP="006339A5">
      <w:pPr>
        <w:spacing w:after="160" w:line="360" w:lineRule="auto"/>
        <w:ind w:firstLine="720"/>
        <w:rPr>
          <w:color w:val="auto"/>
          <w:sz w:val="24"/>
          <w:szCs w:val="24"/>
        </w:rPr>
      </w:pPr>
      <w:r>
        <w:rPr>
          <w:color w:val="auto"/>
          <w:sz w:val="24"/>
          <w:szCs w:val="24"/>
        </w:rPr>
        <w:t xml:space="preserve">The communication plan below specifies what each stakeholder group requires, at what frequency, through what medium, and who is responsible for delivery. </w:t>
      </w:r>
    </w:p>
    <w:p w14:paraId="1C600155" w14:textId="7C2B1225" w:rsidR="001D5572" w:rsidRPr="006339A5" w:rsidRDefault="001D5572" w:rsidP="006339A5">
      <w:pPr>
        <w:spacing w:after="160" w:line="360" w:lineRule="auto"/>
        <w:ind w:firstLine="720"/>
        <w:rPr>
          <w:color w:val="auto"/>
          <w:sz w:val="24"/>
          <w:szCs w:val="24"/>
        </w:rPr>
      </w:pPr>
      <w:r>
        <w:rPr>
          <w:color w:val="auto"/>
          <w:sz w:val="24"/>
          <w:szCs w:val="24"/>
        </w:rPr>
        <w:t>The communication plan is designed to ensure stakeholders receive accurate information at the correct time. Young (2016, p.167) argues that poor communication is one of the leading causes of project failure. Therefore, different communication methods are selected according to stakeholder needs and influence.</w:t>
      </w:r>
    </w:p>
    <w:p w14:paraId="1F968E3A" w14:textId="3D21710E" w:rsidR="00BA3895" w:rsidRPr="006339A5" w:rsidRDefault="007337AD" w:rsidP="00AE20AE">
      <w:pPr>
        <w:spacing w:after="80" w:line="360" w:lineRule="auto"/>
        <w:rPr>
          <w:color w:val="auto"/>
          <w:sz w:val="24"/>
          <w:szCs w:val="24"/>
        </w:rPr>
      </w:pPr>
      <w:r>
        <w:rPr>
          <w:noProof/>
          <w:color w:val="auto"/>
        </w:rPr>
        <w:drawing>
          <wp:inline distT="0" distB="0" distL="0" distR="0" wp14:anchorId="5BB0E006" wp14:editId="4786A1A0">
            <wp:extent cx="6120130" cy="8406130"/>
            <wp:effectExtent l="0" t="0" r="0" b="0"/>
            <wp:docPr id="5362050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130" cy="8406130"/>
                    </a:xfrm>
                    <a:prstGeom prst="rect">
                      <a:avLst/>
                    </a:prstGeom>
                    <a:noFill/>
                    <a:ln>
                      <a:noFill/>
                    </a:ln>
                  </pic:spPr>
                </pic:pic>
              </a:graphicData>
            </a:graphic>
          </wp:inline>
        </w:drawing>
      </w:r>
    </w:p>
    <w:tbl>
      <w:tblPr>
        <w:tblW w:w="95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19"/>
        <w:gridCol w:w="2195"/>
        <w:gridCol w:w="1300"/>
        <w:gridCol w:w="1349"/>
        <w:gridCol w:w="1637"/>
        <w:gridCol w:w="1553"/>
      </w:tblGrid>
      <w:tr w:rsidR="00C57989" w:rsidRPr="006339A5" w14:paraId="7C77EEA5" w14:textId="77777777" w:rsidTr="00C57989">
        <w:trPr>
          <w:trHeight w:val="1523"/>
        </w:trPr>
        <w:tc>
          <w:tcPr>
            <w:tcW w:w="1519"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5A8B11D6" w14:textId="77777777" w:rsidR="00C57989" w:rsidRPr="006339A5" w:rsidRDefault="00C57989" w:rsidP="00AE20AE">
            <w:pPr>
              <w:spacing w:line="360" w:lineRule="auto"/>
              <w:rPr>
                <w:color w:val="auto"/>
                <w:sz w:val="24"/>
                <w:szCs w:val="24"/>
              </w:rPr>
            </w:pPr>
            <w:r>
              <w:rPr>
                <w:b/>
                <w:bCs/>
                <w:color w:val="auto"/>
                <w:sz w:val="24"/>
                <w:szCs w:val="24"/>
              </w:rPr>
              <w:t>Print / Design Supplier</w:t>
            </w:r>
          </w:p>
        </w:tc>
        <w:tc>
          <w:tcPr>
            <w:tcW w:w="2195"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2438131D" w14:textId="77777777" w:rsidR="00C57989" w:rsidRPr="006339A5" w:rsidRDefault="00C57989" w:rsidP="00AE20AE">
            <w:pPr>
              <w:spacing w:line="360" w:lineRule="auto"/>
              <w:rPr>
                <w:color w:val="auto"/>
                <w:sz w:val="24"/>
                <w:szCs w:val="24"/>
              </w:rPr>
            </w:pPr>
            <w:r>
              <w:rPr>
                <w:color w:val="auto"/>
                <w:sz w:val="24"/>
                <w:szCs w:val="24"/>
              </w:rPr>
              <w:t>Design brief, file formats, quantities</w:t>
            </w:r>
          </w:p>
        </w:tc>
        <w:tc>
          <w:tcPr>
            <w:tcW w:w="13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1642073F" w14:textId="77777777" w:rsidR="00C57989" w:rsidRPr="006339A5" w:rsidRDefault="00C57989" w:rsidP="00AE20AE">
            <w:pPr>
              <w:spacing w:line="360" w:lineRule="auto"/>
              <w:rPr>
                <w:color w:val="auto"/>
                <w:sz w:val="24"/>
                <w:szCs w:val="24"/>
              </w:rPr>
            </w:pPr>
            <w:r>
              <w:rPr>
                <w:color w:val="auto"/>
                <w:sz w:val="24"/>
                <w:szCs w:val="24"/>
              </w:rPr>
              <w:t>Email + phone call</w:t>
            </w:r>
          </w:p>
        </w:tc>
        <w:tc>
          <w:tcPr>
            <w:tcW w:w="1349"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7E1CA8D7" w14:textId="77777777" w:rsidR="00C57989" w:rsidRPr="006339A5" w:rsidRDefault="00C57989" w:rsidP="00AE20AE">
            <w:pPr>
              <w:spacing w:line="360" w:lineRule="auto"/>
              <w:rPr>
                <w:color w:val="auto"/>
                <w:sz w:val="24"/>
                <w:szCs w:val="24"/>
              </w:rPr>
            </w:pPr>
            <w:r>
              <w:rPr>
                <w:color w:val="auto"/>
                <w:sz w:val="24"/>
                <w:szCs w:val="24"/>
              </w:rPr>
              <w:t>At brief stage and at delivery</w:t>
            </w:r>
          </w:p>
        </w:tc>
        <w:tc>
          <w:tcPr>
            <w:tcW w:w="1637"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2C863FB6" w14:textId="77777777" w:rsidR="00C57989" w:rsidRPr="006339A5" w:rsidRDefault="00C57989" w:rsidP="00AE20AE">
            <w:pPr>
              <w:spacing w:line="360" w:lineRule="auto"/>
              <w:rPr>
                <w:color w:val="auto"/>
                <w:sz w:val="24"/>
                <w:szCs w:val="24"/>
              </w:rPr>
            </w:pPr>
            <w:r>
              <w:rPr>
                <w:color w:val="auto"/>
                <w:sz w:val="24"/>
                <w:szCs w:val="24"/>
              </w:rPr>
              <w:t>Marketing Team</w:t>
            </w:r>
          </w:p>
        </w:tc>
        <w:tc>
          <w:tcPr>
            <w:tcW w:w="1553"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3546E97B" w14:textId="77777777" w:rsidR="00C57989" w:rsidRPr="006339A5" w:rsidRDefault="00C57989" w:rsidP="00AE20AE">
            <w:pPr>
              <w:spacing w:line="360" w:lineRule="auto"/>
              <w:rPr>
                <w:color w:val="auto"/>
                <w:sz w:val="24"/>
                <w:szCs w:val="24"/>
              </w:rPr>
            </w:pPr>
            <w:r>
              <w:rPr>
                <w:color w:val="auto"/>
                <w:sz w:val="24"/>
                <w:szCs w:val="24"/>
              </w:rPr>
              <w:t>Confirm proofs in writing; penalties for late delivery in contract</w:t>
            </w:r>
          </w:p>
        </w:tc>
      </w:tr>
      <w:tr w:rsidR="00C57989" w:rsidRPr="006339A5" w14:paraId="79646826" w14:textId="77777777" w:rsidTr="00C57989">
        <w:trPr>
          <w:trHeight w:val="1275"/>
        </w:trPr>
        <w:tc>
          <w:tcPr>
            <w:tcW w:w="1519"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200B1D6A" w14:textId="77777777" w:rsidR="00C57989" w:rsidRPr="006339A5" w:rsidRDefault="00C57989" w:rsidP="00AE20AE">
            <w:pPr>
              <w:spacing w:line="360" w:lineRule="auto"/>
              <w:rPr>
                <w:color w:val="auto"/>
                <w:sz w:val="24"/>
                <w:szCs w:val="24"/>
              </w:rPr>
            </w:pPr>
            <w:r>
              <w:rPr>
                <w:b/>
                <w:bCs/>
                <w:color w:val="auto"/>
                <w:sz w:val="24"/>
                <w:szCs w:val="24"/>
              </w:rPr>
              <w:t>Trade Media</w:t>
            </w:r>
          </w:p>
        </w:tc>
        <w:tc>
          <w:tcPr>
            <w:tcW w:w="2195"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65742D85" w14:textId="77777777" w:rsidR="00C57989" w:rsidRPr="006339A5" w:rsidRDefault="00C57989" w:rsidP="00AE20AE">
            <w:pPr>
              <w:spacing w:line="360" w:lineRule="auto"/>
              <w:rPr>
                <w:color w:val="auto"/>
                <w:sz w:val="24"/>
                <w:szCs w:val="24"/>
              </w:rPr>
            </w:pPr>
            <w:r>
              <w:rPr>
                <w:color w:val="auto"/>
                <w:sz w:val="24"/>
                <w:szCs w:val="24"/>
              </w:rPr>
              <w:t>Press release, spokesperson contact</w:t>
            </w:r>
          </w:p>
        </w:tc>
        <w:tc>
          <w:tcPr>
            <w:tcW w:w="13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35032221" w14:textId="77777777" w:rsidR="00C57989" w:rsidRPr="006339A5" w:rsidRDefault="00C57989" w:rsidP="00AE20AE">
            <w:pPr>
              <w:spacing w:line="360" w:lineRule="auto"/>
              <w:rPr>
                <w:color w:val="auto"/>
                <w:sz w:val="24"/>
                <w:szCs w:val="24"/>
              </w:rPr>
            </w:pPr>
            <w:r>
              <w:rPr>
                <w:color w:val="auto"/>
                <w:sz w:val="24"/>
                <w:szCs w:val="24"/>
              </w:rPr>
              <w:t>Email press release</w:t>
            </w:r>
          </w:p>
        </w:tc>
        <w:tc>
          <w:tcPr>
            <w:tcW w:w="1349"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54412B85" w14:textId="77777777" w:rsidR="00C57989" w:rsidRPr="006339A5" w:rsidRDefault="00C57989" w:rsidP="00AE20AE">
            <w:pPr>
              <w:spacing w:line="360" w:lineRule="auto"/>
              <w:rPr>
                <w:color w:val="auto"/>
                <w:sz w:val="24"/>
                <w:szCs w:val="24"/>
              </w:rPr>
            </w:pPr>
            <w:r>
              <w:rPr>
                <w:color w:val="auto"/>
                <w:sz w:val="24"/>
                <w:szCs w:val="24"/>
              </w:rPr>
              <w:t>Once (4 weeks before)</w:t>
            </w:r>
          </w:p>
        </w:tc>
        <w:tc>
          <w:tcPr>
            <w:tcW w:w="1637"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632F7DDB" w14:textId="77777777" w:rsidR="00C57989" w:rsidRPr="006339A5" w:rsidRDefault="00C57989" w:rsidP="00AE20AE">
            <w:pPr>
              <w:spacing w:line="360" w:lineRule="auto"/>
              <w:rPr>
                <w:color w:val="auto"/>
                <w:sz w:val="24"/>
                <w:szCs w:val="24"/>
              </w:rPr>
            </w:pPr>
            <w:r>
              <w:rPr>
                <w:color w:val="auto"/>
                <w:sz w:val="24"/>
                <w:szCs w:val="24"/>
              </w:rPr>
              <w:t>Marketing Team</w:t>
            </w:r>
          </w:p>
        </w:tc>
        <w:tc>
          <w:tcPr>
            <w:tcW w:w="1553"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2FFC3405" w14:textId="77777777" w:rsidR="00C57989" w:rsidRPr="006339A5" w:rsidRDefault="00C57989" w:rsidP="00AE20AE">
            <w:pPr>
              <w:spacing w:line="360" w:lineRule="auto"/>
              <w:rPr>
                <w:color w:val="auto"/>
                <w:sz w:val="24"/>
                <w:szCs w:val="24"/>
              </w:rPr>
            </w:pPr>
            <w:r>
              <w:rPr>
                <w:color w:val="auto"/>
                <w:sz w:val="24"/>
                <w:szCs w:val="24"/>
              </w:rPr>
              <w:t>Follow up if no response within 5 working days</w:t>
            </w:r>
          </w:p>
        </w:tc>
      </w:tr>
    </w:tbl>
    <w:p w14:paraId="4815C08D" w14:textId="77777777" w:rsidR="00BA3895" w:rsidRPr="006339A5" w:rsidRDefault="00BA3895" w:rsidP="00AE20AE">
      <w:pPr>
        <w:spacing w:after="160" w:line="360" w:lineRule="auto"/>
        <w:rPr>
          <w:color w:val="auto"/>
          <w:sz w:val="24"/>
          <w:szCs w:val="24"/>
        </w:rPr>
      </w:pPr>
    </w:p>
    <w:p w14:paraId="6B06F4C4" w14:textId="111DC4F8" w:rsidR="00BA3895" w:rsidRPr="006339A5" w:rsidRDefault="00000000" w:rsidP="006339A5">
      <w:pPr>
        <w:spacing w:after="160" w:line="360" w:lineRule="auto"/>
        <w:ind w:firstLine="720"/>
        <w:rPr>
          <w:color w:val="auto"/>
          <w:sz w:val="24"/>
          <w:szCs w:val="24"/>
        </w:rPr>
      </w:pPr>
      <w:r>
        <w:rPr>
          <w:color w:val="auto"/>
          <w:sz w:val="24"/>
          <w:szCs w:val="24"/>
        </w:rPr>
        <w:t>The Managing Director holds ultimate authority over budget approval, strategic direction, and the decision to proceed or abort the project. The Project Manager holds significant delegated power in day-to-day delivery decisions.</w:t>
      </w:r>
    </w:p>
    <w:p w14:paraId="04E8E776" w14:textId="3E1A08A7" w:rsidR="00BA3895" w:rsidRPr="006339A5" w:rsidRDefault="00000000" w:rsidP="006339A5">
      <w:pPr>
        <w:spacing w:after="160" w:line="360" w:lineRule="auto"/>
        <w:ind w:firstLine="720"/>
        <w:rPr>
          <w:color w:val="auto"/>
          <w:sz w:val="24"/>
          <w:szCs w:val="24"/>
        </w:rPr>
      </w:pPr>
      <w:r>
        <w:rPr>
          <w:color w:val="auto"/>
          <w:sz w:val="24"/>
          <w:szCs w:val="24"/>
        </w:rPr>
        <w:t>The Venue Provider (if they cancel or change terms) and the MD (if budget is withheld) represent the greatest external and internal threats to project continuity. The Marketing Team's output is also a dependency for several downstream tasks.</w:t>
      </w:r>
    </w:p>
    <w:p w14:paraId="76044ED7" w14:textId="7953CB30" w:rsidR="00BA3895" w:rsidRPr="006339A5" w:rsidRDefault="00000000" w:rsidP="006339A5">
      <w:pPr>
        <w:spacing w:after="160" w:line="360" w:lineRule="auto"/>
        <w:ind w:firstLine="720"/>
        <w:rPr>
          <w:color w:val="auto"/>
          <w:sz w:val="24"/>
          <w:szCs w:val="24"/>
        </w:rPr>
      </w:pPr>
      <w:r>
        <w:rPr>
          <w:color w:val="auto"/>
          <w:sz w:val="24"/>
          <w:szCs w:val="24"/>
        </w:rPr>
        <w:t>The MD and Sales &amp; Operations Manager require the most intensive stakeholder management — both have high power and high interest, and their sustained engagement is critical to project momentum, as recommended by Cleland and Ireland (2006, p.234).</w:t>
      </w:r>
    </w:p>
    <w:p w14:paraId="367784EE" w14:textId="45655EFB" w:rsidR="00BA3895" w:rsidRPr="006339A5" w:rsidRDefault="00000000" w:rsidP="006339A5">
      <w:pPr>
        <w:spacing w:line="360" w:lineRule="auto"/>
        <w:ind w:firstLine="720"/>
        <w:rPr>
          <w:color w:val="auto"/>
          <w:sz w:val="24"/>
          <w:szCs w:val="24"/>
        </w:rPr>
      </w:pPr>
      <w:r>
        <w:rPr>
          <w:b/>
          <w:bCs/>
          <w:color w:val="auto"/>
          <w:sz w:val="24"/>
          <w:szCs w:val="24"/>
        </w:rPr>
        <w:t>Activities &amp; Work Breakdown Structure</w:t>
      </w:r>
    </w:p>
    <w:p w14:paraId="0B87125B" w14:textId="696C7E66" w:rsidR="001D5572" w:rsidRDefault="00000000" w:rsidP="006339A5">
      <w:pPr>
        <w:spacing w:after="160" w:line="360" w:lineRule="auto"/>
        <w:ind w:firstLine="720"/>
        <w:rPr>
          <w:color w:val="auto"/>
          <w:sz w:val="24"/>
          <w:szCs w:val="24"/>
        </w:rPr>
      </w:pPr>
      <w:r>
        <w:rPr>
          <w:color w:val="auto"/>
          <w:sz w:val="24"/>
          <w:szCs w:val="24"/>
        </w:rPr>
        <w:t xml:space="preserve">The PMI (2021, p.156) defines the Work Breakdown Structure (WBS) as </w:t>
      </w:r>
      <w:r>
        <w:rPr>
          <w:i/>
          <w:iCs/>
          <w:color w:val="auto"/>
          <w:sz w:val="24"/>
          <w:szCs w:val="24"/>
        </w:rPr>
        <w:t>"a hierarchical decomposition of the total scope of work to be carried out by the project team to accomplish the project objectives and create the required deliverables"</w:t>
      </w:r>
      <w:r>
        <w:rPr>
          <w:color w:val="auto"/>
          <w:sz w:val="24"/>
          <w:szCs w:val="24"/>
        </w:rPr>
        <w:t xml:space="preserve">. </w:t>
      </w:r>
    </w:p>
    <w:p w14:paraId="2233821E" w14:textId="2EC73AF3" w:rsidR="00BA3895" w:rsidRPr="006339A5" w:rsidRDefault="001D5572" w:rsidP="006339A5">
      <w:pPr>
        <w:spacing w:after="160" w:line="360" w:lineRule="auto"/>
        <w:ind w:firstLine="720"/>
        <w:rPr>
          <w:color w:val="auto"/>
          <w:sz w:val="24"/>
          <w:szCs w:val="24"/>
        </w:rPr>
      </w:pPr>
      <w:r>
        <w:rPr>
          <w:color w:val="auto"/>
          <w:sz w:val="24"/>
          <w:szCs w:val="24"/>
        </w:rPr>
        <w:t>Maylor (2010, p.134) emphasized that a Work Breakdown Structure (WBS) divides the project into manageable sections and tasks. The WBS for this project is structured across five phases:</w:t>
      </w:r>
    </w:p>
    <w:p w14:paraId="1BF2E464" w14:textId="358190BB" w:rsidR="00C57989" w:rsidRPr="006339A5" w:rsidRDefault="00C57989" w:rsidP="00AE20AE">
      <w:pPr>
        <w:spacing w:after="160" w:line="360" w:lineRule="auto"/>
        <w:rPr>
          <w:color w:val="auto"/>
          <w:sz w:val="24"/>
          <w:szCs w:val="24"/>
        </w:rPr>
      </w:pPr>
      <w:r>
        <w:rPr>
          <w:noProof/>
          <w:color w:val="auto"/>
        </w:rPr>
        <w:drawing>
          <wp:inline distT="0" distB="0" distL="0" distR="0" wp14:anchorId="4217A49B" wp14:editId="61711C08">
            <wp:extent cx="6120130" cy="8891905"/>
            <wp:effectExtent l="0" t="0" r="0" b="4445"/>
            <wp:docPr id="9073515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130" cy="8891905"/>
                    </a:xfrm>
                    <a:prstGeom prst="rect">
                      <a:avLst/>
                    </a:prstGeom>
                    <a:noFill/>
                    <a:ln>
                      <a:noFill/>
                    </a:ln>
                  </pic:spPr>
                </pic:pic>
              </a:graphicData>
            </a:graphic>
          </wp:inline>
        </w:drawing>
      </w:r>
    </w:p>
    <w:p w14:paraId="2D1382B4" w14:textId="77777777" w:rsidR="00BA3895" w:rsidRPr="006339A5" w:rsidRDefault="00BA3895" w:rsidP="00AE20AE">
      <w:pPr>
        <w:spacing w:after="80" w:line="360" w:lineRule="auto"/>
        <w:rPr>
          <w:color w:val="auto"/>
          <w:sz w:val="24"/>
          <w:szCs w:val="24"/>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800"/>
        <w:gridCol w:w="1600"/>
        <w:gridCol w:w="2400"/>
        <w:gridCol w:w="2000"/>
        <w:gridCol w:w="2226"/>
      </w:tblGrid>
      <w:tr w:rsidR="00C57989" w:rsidRPr="006339A5" w14:paraId="2B128D9F"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44EB07DB" w14:textId="77777777" w:rsidR="00C57989" w:rsidRPr="006339A5" w:rsidRDefault="00C57989" w:rsidP="00AE20AE">
            <w:pPr>
              <w:spacing w:line="360" w:lineRule="auto"/>
              <w:rPr>
                <w:color w:val="auto"/>
                <w:sz w:val="24"/>
                <w:szCs w:val="24"/>
              </w:rPr>
            </w:pPr>
          </w:p>
        </w:tc>
        <w:tc>
          <w:tcPr>
            <w:tcW w:w="16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07993F78" w14:textId="77777777" w:rsidR="00C57989" w:rsidRPr="006339A5" w:rsidRDefault="00C57989" w:rsidP="00AE20AE">
            <w:pPr>
              <w:spacing w:line="360" w:lineRule="auto"/>
              <w:rPr>
                <w:color w:val="auto"/>
                <w:sz w:val="24"/>
                <w:szCs w:val="24"/>
              </w:rPr>
            </w:pPr>
          </w:p>
        </w:tc>
        <w:tc>
          <w:tcPr>
            <w:tcW w:w="24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1D248915" w14:textId="77777777" w:rsidR="00C57989" w:rsidRPr="006339A5" w:rsidRDefault="00C57989" w:rsidP="00AE20AE">
            <w:pPr>
              <w:spacing w:line="360" w:lineRule="auto"/>
              <w:rPr>
                <w:color w:val="auto"/>
                <w:sz w:val="24"/>
                <w:szCs w:val="24"/>
              </w:rPr>
            </w:pPr>
          </w:p>
        </w:tc>
        <w:tc>
          <w:tcPr>
            <w:tcW w:w="20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1DAB9DBC" w14:textId="77777777" w:rsidR="00C57989" w:rsidRPr="006339A5" w:rsidRDefault="00C57989" w:rsidP="00AE20AE">
            <w:pPr>
              <w:spacing w:line="360" w:lineRule="auto"/>
              <w:rPr>
                <w:color w:val="auto"/>
                <w:sz w:val="24"/>
                <w:szCs w:val="24"/>
              </w:rPr>
            </w:pPr>
            <w:r>
              <w:rPr>
                <w:color w:val="auto"/>
                <w:sz w:val="24"/>
                <w:szCs w:val="24"/>
              </w:rPr>
              <w:t>3.1.2 Registration desk management</w:t>
            </w:r>
          </w:p>
        </w:tc>
        <w:tc>
          <w:tcPr>
            <w:tcW w:w="2226"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5BCEE420" w14:textId="77777777" w:rsidR="00C57989" w:rsidRPr="006339A5" w:rsidRDefault="00C57989" w:rsidP="00AE20AE">
            <w:pPr>
              <w:spacing w:line="360" w:lineRule="auto"/>
              <w:rPr>
                <w:color w:val="auto"/>
                <w:sz w:val="24"/>
                <w:szCs w:val="24"/>
              </w:rPr>
            </w:pPr>
            <w:r>
              <w:rPr>
                <w:color w:val="auto"/>
                <w:sz w:val="24"/>
                <w:szCs w:val="24"/>
              </w:rPr>
              <w:t>—</w:t>
            </w:r>
          </w:p>
        </w:tc>
      </w:tr>
      <w:tr w:rsidR="00C57989" w:rsidRPr="006339A5" w14:paraId="65637AD9"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01CFD91E" w14:textId="77777777" w:rsidR="00C57989" w:rsidRPr="006339A5" w:rsidRDefault="00C57989" w:rsidP="00AE20AE">
            <w:pPr>
              <w:spacing w:line="360" w:lineRule="auto"/>
              <w:rPr>
                <w:color w:val="auto"/>
                <w:sz w:val="24"/>
                <w:szCs w:val="24"/>
              </w:rPr>
            </w:pPr>
          </w:p>
        </w:tc>
        <w:tc>
          <w:tcPr>
            <w:tcW w:w="16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1DC90AE6" w14:textId="77777777" w:rsidR="00C57989" w:rsidRPr="006339A5" w:rsidRDefault="00C57989" w:rsidP="00AE20AE">
            <w:pPr>
              <w:spacing w:line="360" w:lineRule="auto"/>
              <w:rPr>
                <w:color w:val="auto"/>
                <w:sz w:val="24"/>
                <w:szCs w:val="24"/>
              </w:rPr>
            </w:pPr>
          </w:p>
        </w:tc>
        <w:tc>
          <w:tcPr>
            <w:tcW w:w="24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44B3D979" w14:textId="77777777" w:rsidR="00C57989" w:rsidRPr="006339A5" w:rsidRDefault="00C57989" w:rsidP="00AE20AE">
            <w:pPr>
              <w:spacing w:line="360" w:lineRule="auto"/>
              <w:rPr>
                <w:color w:val="auto"/>
                <w:sz w:val="24"/>
                <w:szCs w:val="24"/>
              </w:rPr>
            </w:pPr>
          </w:p>
        </w:tc>
        <w:tc>
          <w:tcPr>
            <w:tcW w:w="20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42AABF1D" w14:textId="77777777" w:rsidR="00C57989" w:rsidRPr="006339A5" w:rsidRDefault="00C57989" w:rsidP="00AE20AE">
            <w:pPr>
              <w:spacing w:line="360" w:lineRule="auto"/>
              <w:rPr>
                <w:color w:val="auto"/>
                <w:sz w:val="24"/>
                <w:szCs w:val="24"/>
              </w:rPr>
            </w:pPr>
            <w:r>
              <w:rPr>
                <w:color w:val="auto"/>
                <w:sz w:val="24"/>
                <w:szCs w:val="24"/>
              </w:rPr>
              <w:t>3.1.3 Run event programme</w:t>
            </w:r>
          </w:p>
        </w:tc>
        <w:tc>
          <w:tcPr>
            <w:tcW w:w="2226"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2B72924E" w14:textId="77777777" w:rsidR="00C57989" w:rsidRPr="006339A5" w:rsidRDefault="00C57989" w:rsidP="00AE20AE">
            <w:pPr>
              <w:spacing w:line="360" w:lineRule="auto"/>
              <w:rPr>
                <w:color w:val="auto"/>
                <w:sz w:val="24"/>
                <w:szCs w:val="24"/>
              </w:rPr>
            </w:pPr>
            <w:r>
              <w:rPr>
                <w:color w:val="auto"/>
                <w:sz w:val="24"/>
                <w:szCs w:val="24"/>
              </w:rPr>
              <w:t>—</w:t>
            </w:r>
          </w:p>
        </w:tc>
      </w:tr>
      <w:tr w:rsidR="00C57989" w:rsidRPr="006339A5" w14:paraId="50EF3C4E"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346CBFBC" w14:textId="77777777" w:rsidR="00C57989" w:rsidRPr="006339A5" w:rsidRDefault="00C57989" w:rsidP="00AE20AE">
            <w:pPr>
              <w:spacing w:line="360" w:lineRule="auto"/>
              <w:rPr>
                <w:color w:val="auto"/>
                <w:sz w:val="24"/>
                <w:szCs w:val="24"/>
              </w:rPr>
            </w:pPr>
          </w:p>
        </w:tc>
        <w:tc>
          <w:tcPr>
            <w:tcW w:w="16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4B044E29" w14:textId="77777777" w:rsidR="00C57989" w:rsidRPr="006339A5" w:rsidRDefault="00C57989" w:rsidP="00AE20AE">
            <w:pPr>
              <w:spacing w:line="360" w:lineRule="auto"/>
              <w:rPr>
                <w:color w:val="auto"/>
                <w:sz w:val="24"/>
                <w:szCs w:val="24"/>
              </w:rPr>
            </w:pPr>
          </w:p>
        </w:tc>
        <w:tc>
          <w:tcPr>
            <w:tcW w:w="24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7F3763F1" w14:textId="77777777" w:rsidR="00C57989" w:rsidRPr="006339A5" w:rsidRDefault="00C57989" w:rsidP="00AE20AE">
            <w:pPr>
              <w:spacing w:line="360" w:lineRule="auto"/>
              <w:rPr>
                <w:color w:val="auto"/>
                <w:sz w:val="24"/>
                <w:szCs w:val="24"/>
              </w:rPr>
            </w:pPr>
          </w:p>
        </w:tc>
        <w:tc>
          <w:tcPr>
            <w:tcW w:w="20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0B0207B8" w14:textId="77777777" w:rsidR="00C57989" w:rsidRPr="006339A5" w:rsidRDefault="00C57989" w:rsidP="00AE20AE">
            <w:pPr>
              <w:spacing w:line="360" w:lineRule="auto"/>
              <w:rPr>
                <w:color w:val="auto"/>
                <w:sz w:val="24"/>
                <w:szCs w:val="24"/>
              </w:rPr>
            </w:pPr>
            <w:r>
              <w:rPr>
                <w:color w:val="auto"/>
                <w:sz w:val="24"/>
                <w:szCs w:val="24"/>
              </w:rPr>
              <w:t>3.1.4 Machine demonstrations</w:t>
            </w:r>
          </w:p>
        </w:tc>
        <w:tc>
          <w:tcPr>
            <w:tcW w:w="2226"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67EED85C" w14:textId="77777777" w:rsidR="00C57989" w:rsidRPr="006339A5" w:rsidRDefault="00C57989" w:rsidP="00AE20AE">
            <w:pPr>
              <w:spacing w:line="360" w:lineRule="auto"/>
              <w:rPr>
                <w:color w:val="auto"/>
                <w:sz w:val="24"/>
                <w:szCs w:val="24"/>
              </w:rPr>
            </w:pPr>
            <w:r>
              <w:rPr>
                <w:color w:val="auto"/>
                <w:sz w:val="24"/>
                <w:szCs w:val="24"/>
              </w:rPr>
              <w:t>—</w:t>
            </w:r>
          </w:p>
        </w:tc>
      </w:tr>
      <w:tr w:rsidR="00C57989" w:rsidRPr="006339A5" w14:paraId="6DE13CE8"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04E951FC" w14:textId="77777777" w:rsidR="00C57989" w:rsidRPr="006339A5" w:rsidRDefault="00C57989" w:rsidP="00AE20AE">
            <w:pPr>
              <w:spacing w:line="360" w:lineRule="auto"/>
              <w:rPr>
                <w:color w:val="auto"/>
                <w:sz w:val="24"/>
                <w:szCs w:val="24"/>
              </w:rPr>
            </w:pPr>
          </w:p>
        </w:tc>
        <w:tc>
          <w:tcPr>
            <w:tcW w:w="16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05FAD544" w14:textId="77777777" w:rsidR="00C57989" w:rsidRPr="006339A5" w:rsidRDefault="00C57989" w:rsidP="00AE20AE">
            <w:pPr>
              <w:spacing w:line="360" w:lineRule="auto"/>
              <w:rPr>
                <w:color w:val="auto"/>
                <w:sz w:val="24"/>
                <w:szCs w:val="24"/>
              </w:rPr>
            </w:pPr>
          </w:p>
        </w:tc>
        <w:tc>
          <w:tcPr>
            <w:tcW w:w="24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02D44555" w14:textId="77777777" w:rsidR="00C57989" w:rsidRPr="006339A5" w:rsidRDefault="00C57989" w:rsidP="00AE20AE">
            <w:pPr>
              <w:spacing w:line="360" w:lineRule="auto"/>
              <w:rPr>
                <w:color w:val="auto"/>
                <w:sz w:val="24"/>
                <w:szCs w:val="24"/>
              </w:rPr>
            </w:pPr>
          </w:p>
        </w:tc>
        <w:tc>
          <w:tcPr>
            <w:tcW w:w="20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24748720" w14:textId="77777777" w:rsidR="00C57989" w:rsidRPr="006339A5" w:rsidRDefault="00C57989" w:rsidP="00AE20AE">
            <w:pPr>
              <w:spacing w:line="360" w:lineRule="auto"/>
              <w:rPr>
                <w:color w:val="auto"/>
                <w:sz w:val="24"/>
                <w:szCs w:val="24"/>
              </w:rPr>
            </w:pPr>
            <w:r>
              <w:rPr>
                <w:color w:val="auto"/>
                <w:sz w:val="24"/>
                <w:szCs w:val="24"/>
              </w:rPr>
              <w:t>3.1.5 Networking lunch facilitation</w:t>
            </w:r>
          </w:p>
        </w:tc>
        <w:tc>
          <w:tcPr>
            <w:tcW w:w="2226"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2570A7C7" w14:textId="77777777" w:rsidR="00C57989" w:rsidRPr="006339A5" w:rsidRDefault="00C57989" w:rsidP="00AE20AE">
            <w:pPr>
              <w:spacing w:line="360" w:lineRule="auto"/>
              <w:rPr>
                <w:color w:val="auto"/>
                <w:sz w:val="24"/>
                <w:szCs w:val="24"/>
              </w:rPr>
            </w:pPr>
            <w:r>
              <w:rPr>
                <w:color w:val="auto"/>
                <w:sz w:val="24"/>
                <w:szCs w:val="24"/>
              </w:rPr>
              <w:t>—</w:t>
            </w:r>
          </w:p>
        </w:tc>
      </w:tr>
      <w:tr w:rsidR="00C57989" w:rsidRPr="006339A5" w14:paraId="173D8474"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74EA7249" w14:textId="77777777" w:rsidR="00C57989" w:rsidRPr="006339A5" w:rsidRDefault="00C57989" w:rsidP="00AE20AE">
            <w:pPr>
              <w:spacing w:line="360" w:lineRule="auto"/>
              <w:rPr>
                <w:color w:val="auto"/>
                <w:sz w:val="24"/>
                <w:szCs w:val="24"/>
              </w:rPr>
            </w:pPr>
            <w:r>
              <w:rPr>
                <w:color w:val="auto"/>
                <w:sz w:val="24"/>
                <w:szCs w:val="24"/>
              </w:rPr>
              <w:t>4.0</w:t>
            </w:r>
          </w:p>
        </w:tc>
        <w:tc>
          <w:tcPr>
            <w:tcW w:w="16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612F4AD6" w14:textId="77777777" w:rsidR="00C57989" w:rsidRPr="006339A5" w:rsidRDefault="00C57989" w:rsidP="00AE20AE">
            <w:pPr>
              <w:spacing w:line="360" w:lineRule="auto"/>
              <w:rPr>
                <w:color w:val="auto"/>
                <w:sz w:val="24"/>
                <w:szCs w:val="24"/>
              </w:rPr>
            </w:pPr>
            <w:r>
              <w:rPr>
                <w:b/>
                <w:bCs/>
                <w:color w:val="auto"/>
                <w:sz w:val="24"/>
                <w:szCs w:val="24"/>
              </w:rPr>
              <w:t>Monitoring &amp; Control</w:t>
            </w:r>
          </w:p>
        </w:tc>
        <w:tc>
          <w:tcPr>
            <w:tcW w:w="24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6E56D85E" w14:textId="77777777" w:rsidR="00C57989" w:rsidRPr="006339A5" w:rsidRDefault="00C57989" w:rsidP="00AE20AE">
            <w:pPr>
              <w:spacing w:line="360" w:lineRule="auto"/>
              <w:rPr>
                <w:color w:val="auto"/>
                <w:sz w:val="24"/>
                <w:szCs w:val="24"/>
              </w:rPr>
            </w:pPr>
            <w:r>
              <w:rPr>
                <w:color w:val="auto"/>
                <w:sz w:val="24"/>
                <w:szCs w:val="24"/>
              </w:rPr>
              <w:t>4.1 Progress Tracking</w:t>
            </w:r>
          </w:p>
        </w:tc>
        <w:tc>
          <w:tcPr>
            <w:tcW w:w="20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14B78C2E" w14:textId="77777777" w:rsidR="00C57989" w:rsidRPr="006339A5" w:rsidRDefault="00C57989" w:rsidP="00AE20AE">
            <w:pPr>
              <w:spacing w:line="360" w:lineRule="auto"/>
              <w:rPr>
                <w:color w:val="auto"/>
                <w:sz w:val="24"/>
                <w:szCs w:val="24"/>
              </w:rPr>
            </w:pPr>
            <w:r>
              <w:rPr>
                <w:color w:val="auto"/>
                <w:sz w:val="24"/>
                <w:szCs w:val="24"/>
              </w:rPr>
              <w:t>4.1.1 Weekly status reports</w:t>
            </w:r>
          </w:p>
        </w:tc>
        <w:tc>
          <w:tcPr>
            <w:tcW w:w="2226"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60898844" w14:textId="77777777" w:rsidR="00C57989" w:rsidRPr="006339A5" w:rsidRDefault="00C57989" w:rsidP="00AE20AE">
            <w:pPr>
              <w:spacing w:line="360" w:lineRule="auto"/>
              <w:rPr>
                <w:color w:val="auto"/>
                <w:sz w:val="24"/>
                <w:szCs w:val="24"/>
              </w:rPr>
            </w:pPr>
            <w:r>
              <w:rPr>
                <w:color w:val="auto"/>
                <w:sz w:val="24"/>
                <w:szCs w:val="24"/>
              </w:rPr>
              <w:t>—</w:t>
            </w:r>
          </w:p>
        </w:tc>
      </w:tr>
      <w:tr w:rsidR="00C57989" w:rsidRPr="006339A5" w14:paraId="0C7A8CBD"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2E0F1143" w14:textId="77777777" w:rsidR="00C57989" w:rsidRPr="006339A5" w:rsidRDefault="00C57989" w:rsidP="00AE20AE">
            <w:pPr>
              <w:spacing w:line="360" w:lineRule="auto"/>
              <w:rPr>
                <w:color w:val="auto"/>
                <w:sz w:val="24"/>
                <w:szCs w:val="24"/>
              </w:rPr>
            </w:pPr>
          </w:p>
        </w:tc>
        <w:tc>
          <w:tcPr>
            <w:tcW w:w="16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1315F6E2" w14:textId="77777777" w:rsidR="00C57989" w:rsidRPr="006339A5" w:rsidRDefault="00C57989" w:rsidP="00AE20AE">
            <w:pPr>
              <w:spacing w:line="360" w:lineRule="auto"/>
              <w:rPr>
                <w:color w:val="auto"/>
                <w:sz w:val="24"/>
                <w:szCs w:val="24"/>
              </w:rPr>
            </w:pPr>
          </w:p>
        </w:tc>
        <w:tc>
          <w:tcPr>
            <w:tcW w:w="24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4CACF0C7" w14:textId="77777777" w:rsidR="00C57989" w:rsidRPr="006339A5" w:rsidRDefault="00C57989" w:rsidP="00AE20AE">
            <w:pPr>
              <w:spacing w:line="360" w:lineRule="auto"/>
              <w:rPr>
                <w:color w:val="auto"/>
                <w:sz w:val="24"/>
                <w:szCs w:val="24"/>
              </w:rPr>
            </w:pPr>
          </w:p>
        </w:tc>
        <w:tc>
          <w:tcPr>
            <w:tcW w:w="20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219DD05F" w14:textId="77777777" w:rsidR="00C57989" w:rsidRPr="006339A5" w:rsidRDefault="00C57989" w:rsidP="00AE20AE">
            <w:pPr>
              <w:spacing w:line="360" w:lineRule="auto"/>
              <w:rPr>
                <w:color w:val="auto"/>
                <w:sz w:val="24"/>
                <w:szCs w:val="24"/>
              </w:rPr>
            </w:pPr>
            <w:r>
              <w:rPr>
                <w:color w:val="auto"/>
                <w:sz w:val="24"/>
                <w:szCs w:val="24"/>
              </w:rPr>
              <w:t>4.1.2 Risk register updates</w:t>
            </w:r>
          </w:p>
        </w:tc>
        <w:tc>
          <w:tcPr>
            <w:tcW w:w="2226"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3E4F8A54" w14:textId="77777777" w:rsidR="00C57989" w:rsidRPr="006339A5" w:rsidRDefault="00C57989" w:rsidP="00AE20AE">
            <w:pPr>
              <w:spacing w:line="360" w:lineRule="auto"/>
              <w:rPr>
                <w:color w:val="auto"/>
                <w:sz w:val="24"/>
                <w:szCs w:val="24"/>
              </w:rPr>
            </w:pPr>
            <w:r>
              <w:rPr>
                <w:color w:val="auto"/>
                <w:sz w:val="24"/>
                <w:szCs w:val="24"/>
              </w:rPr>
              <w:t>—</w:t>
            </w:r>
          </w:p>
        </w:tc>
      </w:tr>
      <w:tr w:rsidR="00C57989" w:rsidRPr="006339A5" w14:paraId="78E7F78B"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5475E86E" w14:textId="77777777" w:rsidR="00C57989" w:rsidRPr="006339A5" w:rsidRDefault="00C57989" w:rsidP="00AE20AE">
            <w:pPr>
              <w:spacing w:line="360" w:lineRule="auto"/>
              <w:rPr>
                <w:color w:val="auto"/>
                <w:sz w:val="24"/>
                <w:szCs w:val="24"/>
              </w:rPr>
            </w:pPr>
          </w:p>
        </w:tc>
        <w:tc>
          <w:tcPr>
            <w:tcW w:w="16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4A629F86" w14:textId="77777777" w:rsidR="00C57989" w:rsidRPr="006339A5" w:rsidRDefault="00C57989" w:rsidP="00AE20AE">
            <w:pPr>
              <w:spacing w:line="360" w:lineRule="auto"/>
              <w:rPr>
                <w:color w:val="auto"/>
                <w:sz w:val="24"/>
                <w:szCs w:val="24"/>
              </w:rPr>
            </w:pPr>
          </w:p>
        </w:tc>
        <w:tc>
          <w:tcPr>
            <w:tcW w:w="24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448EB02C" w14:textId="77777777" w:rsidR="00C57989" w:rsidRPr="006339A5" w:rsidRDefault="00C57989" w:rsidP="00AE20AE">
            <w:pPr>
              <w:spacing w:line="360" w:lineRule="auto"/>
              <w:rPr>
                <w:color w:val="auto"/>
                <w:sz w:val="24"/>
                <w:szCs w:val="24"/>
              </w:rPr>
            </w:pPr>
          </w:p>
        </w:tc>
        <w:tc>
          <w:tcPr>
            <w:tcW w:w="20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31094F51" w14:textId="77777777" w:rsidR="00C57989" w:rsidRPr="006339A5" w:rsidRDefault="00C57989" w:rsidP="00AE20AE">
            <w:pPr>
              <w:spacing w:line="360" w:lineRule="auto"/>
              <w:rPr>
                <w:color w:val="auto"/>
                <w:sz w:val="24"/>
                <w:szCs w:val="24"/>
              </w:rPr>
            </w:pPr>
            <w:r>
              <w:rPr>
                <w:color w:val="auto"/>
                <w:sz w:val="24"/>
                <w:szCs w:val="24"/>
              </w:rPr>
              <w:t>4.1.3 Budget variance reviews</w:t>
            </w:r>
          </w:p>
        </w:tc>
        <w:tc>
          <w:tcPr>
            <w:tcW w:w="2226"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4D34AD44" w14:textId="77777777" w:rsidR="00C57989" w:rsidRPr="006339A5" w:rsidRDefault="00C57989" w:rsidP="00AE20AE">
            <w:pPr>
              <w:spacing w:line="360" w:lineRule="auto"/>
              <w:rPr>
                <w:color w:val="auto"/>
                <w:sz w:val="24"/>
                <w:szCs w:val="24"/>
              </w:rPr>
            </w:pPr>
            <w:r>
              <w:rPr>
                <w:color w:val="auto"/>
                <w:sz w:val="24"/>
                <w:szCs w:val="24"/>
              </w:rPr>
              <w:t>—</w:t>
            </w:r>
          </w:p>
        </w:tc>
      </w:tr>
      <w:tr w:rsidR="00C57989" w:rsidRPr="006339A5" w14:paraId="35682B86"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76109AA3" w14:textId="77777777" w:rsidR="00C57989" w:rsidRPr="006339A5" w:rsidRDefault="00C57989" w:rsidP="00AE20AE">
            <w:pPr>
              <w:spacing w:line="360" w:lineRule="auto"/>
              <w:rPr>
                <w:color w:val="auto"/>
                <w:sz w:val="24"/>
                <w:szCs w:val="24"/>
              </w:rPr>
            </w:pPr>
            <w:r>
              <w:rPr>
                <w:color w:val="auto"/>
                <w:sz w:val="24"/>
                <w:szCs w:val="24"/>
              </w:rPr>
              <w:t>5.0</w:t>
            </w:r>
          </w:p>
        </w:tc>
        <w:tc>
          <w:tcPr>
            <w:tcW w:w="16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760944E4" w14:textId="77777777" w:rsidR="00C57989" w:rsidRPr="006339A5" w:rsidRDefault="00C57989" w:rsidP="00AE20AE">
            <w:pPr>
              <w:spacing w:line="360" w:lineRule="auto"/>
              <w:rPr>
                <w:color w:val="auto"/>
                <w:sz w:val="24"/>
                <w:szCs w:val="24"/>
              </w:rPr>
            </w:pPr>
            <w:r>
              <w:rPr>
                <w:b/>
                <w:bCs/>
                <w:color w:val="auto"/>
                <w:sz w:val="24"/>
                <w:szCs w:val="24"/>
              </w:rPr>
              <w:t>Closure</w:t>
            </w:r>
          </w:p>
        </w:tc>
        <w:tc>
          <w:tcPr>
            <w:tcW w:w="24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5CA4CB66" w14:textId="77777777" w:rsidR="00C57989" w:rsidRPr="006339A5" w:rsidRDefault="00C57989" w:rsidP="00AE20AE">
            <w:pPr>
              <w:spacing w:line="360" w:lineRule="auto"/>
              <w:rPr>
                <w:color w:val="auto"/>
                <w:sz w:val="24"/>
                <w:szCs w:val="24"/>
              </w:rPr>
            </w:pPr>
            <w:r>
              <w:rPr>
                <w:color w:val="auto"/>
                <w:sz w:val="24"/>
                <w:szCs w:val="24"/>
              </w:rPr>
              <w:t>5.1 Post-Event Evaluation</w:t>
            </w:r>
          </w:p>
        </w:tc>
        <w:tc>
          <w:tcPr>
            <w:tcW w:w="20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391BE98A" w14:textId="77777777" w:rsidR="00C57989" w:rsidRPr="006339A5" w:rsidRDefault="00C57989" w:rsidP="00AE20AE">
            <w:pPr>
              <w:spacing w:line="360" w:lineRule="auto"/>
              <w:rPr>
                <w:color w:val="auto"/>
                <w:sz w:val="24"/>
                <w:szCs w:val="24"/>
              </w:rPr>
            </w:pPr>
            <w:r>
              <w:rPr>
                <w:color w:val="auto"/>
                <w:sz w:val="24"/>
                <w:szCs w:val="24"/>
              </w:rPr>
              <w:t>5.1.1 Distribute feedback surveys</w:t>
            </w:r>
          </w:p>
        </w:tc>
        <w:tc>
          <w:tcPr>
            <w:tcW w:w="2226"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7EDB12AB" w14:textId="77777777" w:rsidR="00C57989" w:rsidRPr="006339A5" w:rsidRDefault="00C57989" w:rsidP="00AE20AE">
            <w:pPr>
              <w:spacing w:line="360" w:lineRule="auto"/>
              <w:rPr>
                <w:color w:val="auto"/>
                <w:sz w:val="24"/>
                <w:szCs w:val="24"/>
              </w:rPr>
            </w:pPr>
            <w:r>
              <w:rPr>
                <w:color w:val="auto"/>
                <w:sz w:val="24"/>
                <w:szCs w:val="24"/>
              </w:rPr>
              <w:t>D5</w:t>
            </w:r>
          </w:p>
        </w:tc>
      </w:tr>
      <w:tr w:rsidR="00C57989" w:rsidRPr="006339A5" w14:paraId="26CC8023"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785A81D4" w14:textId="77777777" w:rsidR="00C57989" w:rsidRPr="006339A5" w:rsidRDefault="00C57989" w:rsidP="00AE20AE">
            <w:pPr>
              <w:spacing w:line="360" w:lineRule="auto"/>
              <w:rPr>
                <w:color w:val="auto"/>
                <w:sz w:val="24"/>
                <w:szCs w:val="24"/>
              </w:rPr>
            </w:pPr>
          </w:p>
        </w:tc>
        <w:tc>
          <w:tcPr>
            <w:tcW w:w="16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43338D2A" w14:textId="77777777" w:rsidR="00C57989" w:rsidRPr="006339A5" w:rsidRDefault="00C57989" w:rsidP="00AE20AE">
            <w:pPr>
              <w:spacing w:line="360" w:lineRule="auto"/>
              <w:rPr>
                <w:color w:val="auto"/>
                <w:sz w:val="24"/>
                <w:szCs w:val="24"/>
              </w:rPr>
            </w:pPr>
          </w:p>
        </w:tc>
        <w:tc>
          <w:tcPr>
            <w:tcW w:w="24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2BBB5482" w14:textId="77777777" w:rsidR="00C57989" w:rsidRPr="006339A5" w:rsidRDefault="00C57989" w:rsidP="00AE20AE">
            <w:pPr>
              <w:spacing w:line="360" w:lineRule="auto"/>
              <w:rPr>
                <w:color w:val="auto"/>
                <w:sz w:val="24"/>
                <w:szCs w:val="24"/>
              </w:rPr>
            </w:pPr>
          </w:p>
        </w:tc>
        <w:tc>
          <w:tcPr>
            <w:tcW w:w="20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4CA5C74F" w14:textId="77777777" w:rsidR="00C57989" w:rsidRPr="006339A5" w:rsidRDefault="00C57989" w:rsidP="00AE20AE">
            <w:pPr>
              <w:spacing w:line="360" w:lineRule="auto"/>
              <w:rPr>
                <w:color w:val="auto"/>
                <w:sz w:val="24"/>
                <w:szCs w:val="24"/>
              </w:rPr>
            </w:pPr>
            <w:r>
              <w:rPr>
                <w:color w:val="auto"/>
                <w:sz w:val="24"/>
                <w:szCs w:val="24"/>
              </w:rPr>
              <w:t>5.1.2 Analyse feedback data</w:t>
            </w:r>
          </w:p>
        </w:tc>
        <w:tc>
          <w:tcPr>
            <w:tcW w:w="2226"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0EDBF180" w14:textId="77777777" w:rsidR="00C57989" w:rsidRPr="006339A5" w:rsidRDefault="00C57989" w:rsidP="00AE20AE">
            <w:pPr>
              <w:spacing w:line="360" w:lineRule="auto"/>
              <w:rPr>
                <w:color w:val="auto"/>
                <w:sz w:val="24"/>
                <w:szCs w:val="24"/>
              </w:rPr>
            </w:pPr>
            <w:r>
              <w:rPr>
                <w:color w:val="auto"/>
                <w:sz w:val="24"/>
                <w:szCs w:val="24"/>
              </w:rPr>
              <w:t>D5</w:t>
            </w:r>
          </w:p>
        </w:tc>
      </w:tr>
      <w:tr w:rsidR="00C57989" w:rsidRPr="006339A5" w14:paraId="0966E209"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0E5C80E1" w14:textId="77777777" w:rsidR="00C57989" w:rsidRPr="006339A5" w:rsidRDefault="00C57989" w:rsidP="00AE20AE">
            <w:pPr>
              <w:spacing w:line="360" w:lineRule="auto"/>
              <w:rPr>
                <w:color w:val="auto"/>
                <w:sz w:val="24"/>
                <w:szCs w:val="24"/>
              </w:rPr>
            </w:pPr>
          </w:p>
        </w:tc>
        <w:tc>
          <w:tcPr>
            <w:tcW w:w="16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0DC8FA21" w14:textId="77777777" w:rsidR="00C57989" w:rsidRPr="006339A5" w:rsidRDefault="00C57989" w:rsidP="00AE20AE">
            <w:pPr>
              <w:spacing w:line="360" w:lineRule="auto"/>
              <w:rPr>
                <w:color w:val="auto"/>
                <w:sz w:val="24"/>
                <w:szCs w:val="24"/>
              </w:rPr>
            </w:pPr>
          </w:p>
        </w:tc>
        <w:tc>
          <w:tcPr>
            <w:tcW w:w="24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723074EA" w14:textId="77777777" w:rsidR="00C57989" w:rsidRPr="006339A5" w:rsidRDefault="00C57989" w:rsidP="00AE20AE">
            <w:pPr>
              <w:spacing w:line="360" w:lineRule="auto"/>
              <w:rPr>
                <w:color w:val="auto"/>
                <w:sz w:val="24"/>
                <w:szCs w:val="24"/>
              </w:rPr>
            </w:pPr>
          </w:p>
        </w:tc>
        <w:tc>
          <w:tcPr>
            <w:tcW w:w="2000"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4802264D" w14:textId="77777777" w:rsidR="00C57989" w:rsidRPr="006339A5" w:rsidRDefault="00C57989" w:rsidP="00AE20AE">
            <w:pPr>
              <w:spacing w:line="360" w:lineRule="auto"/>
              <w:rPr>
                <w:color w:val="auto"/>
                <w:sz w:val="24"/>
                <w:szCs w:val="24"/>
              </w:rPr>
            </w:pPr>
            <w:r>
              <w:rPr>
                <w:color w:val="auto"/>
                <w:sz w:val="24"/>
                <w:szCs w:val="24"/>
              </w:rPr>
              <w:t>5.1.3 Compile evaluation report</w:t>
            </w:r>
          </w:p>
        </w:tc>
        <w:tc>
          <w:tcPr>
            <w:tcW w:w="2226" w:type="dxa"/>
            <w:tcBorders>
              <w:top w:val="single" w:sz="4" w:space="0" w:color="AABFD4"/>
              <w:left w:val="single" w:sz="4" w:space="0" w:color="AABFD4"/>
              <w:bottom w:val="single" w:sz="4" w:space="0" w:color="AABFD4"/>
              <w:right w:val="single" w:sz="4" w:space="0" w:color="AABFD4"/>
            </w:tcBorders>
            <w:shd w:val="clear" w:color="auto" w:fill="FFFFFF"/>
            <w:tcMar>
              <w:top w:w="80" w:type="dxa"/>
              <w:left w:w="120" w:type="dxa"/>
              <w:bottom w:w="80" w:type="dxa"/>
              <w:right w:w="120" w:type="dxa"/>
            </w:tcMar>
            <w:vAlign w:val="center"/>
          </w:tcPr>
          <w:p w14:paraId="15842407" w14:textId="77777777" w:rsidR="00C57989" w:rsidRPr="006339A5" w:rsidRDefault="00C57989" w:rsidP="00AE20AE">
            <w:pPr>
              <w:spacing w:line="360" w:lineRule="auto"/>
              <w:rPr>
                <w:color w:val="auto"/>
                <w:sz w:val="24"/>
                <w:szCs w:val="24"/>
              </w:rPr>
            </w:pPr>
            <w:r>
              <w:rPr>
                <w:color w:val="auto"/>
                <w:sz w:val="24"/>
                <w:szCs w:val="24"/>
              </w:rPr>
              <w:t>D5</w:t>
            </w:r>
          </w:p>
        </w:tc>
      </w:tr>
      <w:tr w:rsidR="00C57989" w:rsidRPr="006339A5" w14:paraId="1C2993A9" w14:textId="77777777" w:rsidTr="00E9572C">
        <w:tc>
          <w:tcPr>
            <w:tcW w:w="8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4AFA1D4E" w14:textId="77777777" w:rsidR="00C57989" w:rsidRPr="006339A5" w:rsidRDefault="00C57989" w:rsidP="00AE20AE">
            <w:pPr>
              <w:spacing w:line="360" w:lineRule="auto"/>
              <w:rPr>
                <w:color w:val="auto"/>
                <w:sz w:val="24"/>
                <w:szCs w:val="24"/>
              </w:rPr>
            </w:pPr>
          </w:p>
        </w:tc>
        <w:tc>
          <w:tcPr>
            <w:tcW w:w="16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78430F5A" w14:textId="77777777" w:rsidR="00C57989" w:rsidRPr="006339A5" w:rsidRDefault="00C57989" w:rsidP="00AE20AE">
            <w:pPr>
              <w:spacing w:line="360" w:lineRule="auto"/>
              <w:rPr>
                <w:color w:val="auto"/>
                <w:sz w:val="24"/>
                <w:szCs w:val="24"/>
              </w:rPr>
            </w:pPr>
          </w:p>
        </w:tc>
        <w:tc>
          <w:tcPr>
            <w:tcW w:w="24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3FB0DD9E" w14:textId="77777777" w:rsidR="00C57989" w:rsidRPr="006339A5" w:rsidRDefault="00C57989" w:rsidP="00AE20AE">
            <w:pPr>
              <w:spacing w:line="360" w:lineRule="auto"/>
              <w:rPr>
                <w:color w:val="auto"/>
                <w:sz w:val="24"/>
                <w:szCs w:val="24"/>
              </w:rPr>
            </w:pPr>
          </w:p>
        </w:tc>
        <w:tc>
          <w:tcPr>
            <w:tcW w:w="2000"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7F32BBDA" w14:textId="77777777" w:rsidR="00C57989" w:rsidRPr="006339A5" w:rsidRDefault="00C57989" w:rsidP="00AE20AE">
            <w:pPr>
              <w:spacing w:line="360" w:lineRule="auto"/>
              <w:rPr>
                <w:color w:val="auto"/>
                <w:sz w:val="24"/>
                <w:szCs w:val="24"/>
              </w:rPr>
            </w:pPr>
            <w:r>
              <w:rPr>
                <w:color w:val="auto"/>
                <w:sz w:val="24"/>
                <w:szCs w:val="24"/>
              </w:rPr>
              <w:t>5.1.4 Lessons-learned session</w:t>
            </w:r>
          </w:p>
        </w:tc>
        <w:tc>
          <w:tcPr>
            <w:tcW w:w="2226" w:type="dxa"/>
            <w:tcBorders>
              <w:top w:val="single" w:sz="4" w:space="0" w:color="AABFD4"/>
              <w:left w:val="single" w:sz="4" w:space="0" w:color="AABFD4"/>
              <w:bottom w:val="single" w:sz="4" w:space="0" w:color="AABFD4"/>
              <w:right w:val="single" w:sz="4" w:space="0" w:color="AABFD4"/>
            </w:tcBorders>
            <w:shd w:val="clear" w:color="auto" w:fill="F2F6FA"/>
            <w:tcMar>
              <w:top w:w="80" w:type="dxa"/>
              <w:left w:w="120" w:type="dxa"/>
              <w:bottom w:w="80" w:type="dxa"/>
              <w:right w:w="120" w:type="dxa"/>
            </w:tcMar>
            <w:vAlign w:val="center"/>
          </w:tcPr>
          <w:p w14:paraId="585DA902" w14:textId="77777777" w:rsidR="00C57989" w:rsidRPr="006339A5" w:rsidRDefault="00C57989" w:rsidP="00AE20AE">
            <w:pPr>
              <w:spacing w:line="360" w:lineRule="auto"/>
              <w:rPr>
                <w:color w:val="auto"/>
                <w:sz w:val="24"/>
                <w:szCs w:val="24"/>
              </w:rPr>
            </w:pPr>
            <w:r>
              <w:rPr>
                <w:color w:val="auto"/>
                <w:sz w:val="24"/>
                <w:szCs w:val="24"/>
              </w:rPr>
              <w:t>D5</w:t>
            </w:r>
          </w:p>
        </w:tc>
      </w:tr>
    </w:tbl>
    <w:p w14:paraId="106DF5C3" w14:textId="0A06FC2D" w:rsidR="001D5572" w:rsidRDefault="00270E77" w:rsidP="00270E77">
      <w:pPr>
        <w:spacing w:line="360" w:lineRule="auto"/>
        <w:ind w:firstLine="720"/>
      </w:pPr>
      <w:r>
        <w:rPr>
          <w:color w:val="auto"/>
          <w:sz w:val="24"/>
          <w:szCs w:val="24"/>
        </w:rPr>
        <w:t>This structural clarity ensures that every subsequent project management artifact—including the schedule, responsibility matrices, and cost ledgers—is directly linked back to a verified, distinct corporate work package, eliminating structural ambiguity, as Kerzner (2022, p.366) highlighted.</w:t>
      </w:r>
      <w:r>
        <w:t xml:space="preserve"> </w:t>
      </w:r>
    </w:p>
    <w:p w14:paraId="7F633CD6" w14:textId="24760068" w:rsidR="00BA3895" w:rsidRPr="006339A5" w:rsidRDefault="001D5572" w:rsidP="00270E77">
      <w:pPr>
        <w:spacing w:line="360" w:lineRule="auto"/>
        <w:ind w:firstLine="720"/>
        <w:rPr>
          <w:color w:val="auto"/>
          <w:sz w:val="24"/>
          <w:szCs w:val="24"/>
        </w:rPr>
      </w:pPr>
      <w:r>
        <w:rPr>
          <w:color w:val="auto"/>
          <w:sz w:val="24"/>
          <w:szCs w:val="24"/>
        </w:rPr>
        <w:t>Pinto (2019, p.145) explains that WBS structures improve accountability and resource allocation by clearly identifying project activities and tasks.</w:t>
      </w:r>
    </w:p>
    <w:p w14:paraId="1D21D1A9" w14:textId="15381EE6" w:rsidR="00BA3895" w:rsidRPr="006339A5" w:rsidRDefault="00000000" w:rsidP="006339A5">
      <w:pPr>
        <w:pStyle w:val="Heading2"/>
        <w:spacing w:line="360" w:lineRule="auto"/>
        <w:ind w:firstLine="720"/>
        <w:rPr>
          <w:color w:val="auto"/>
        </w:rPr>
      </w:pPr>
      <w:r>
        <w:rPr>
          <w:color w:val="auto"/>
        </w:rPr>
        <w:t>Tasks, Milestones &amp; Responsibilities</w:t>
      </w:r>
    </w:p>
    <w:p w14:paraId="3574F3DF" w14:textId="354644E1" w:rsidR="00BA3895" w:rsidRPr="006339A5" w:rsidRDefault="00B44EA2" w:rsidP="006339A5">
      <w:pPr>
        <w:spacing w:after="160" w:line="360" w:lineRule="auto"/>
        <w:ind w:firstLine="720"/>
        <w:rPr>
          <w:color w:val="auto"/>
          <w:sz w:val="24"/>
          <w:szCs w:val="24"/>
        </w:rPr>
      </w:pPr>
      <w:r>
        <w:rPr>
          <w:color w:val="auto"/>
          <w:sz w:val="24"/>
          <w:szCs w:val="24"/>
        </w:rPr>
        <w:t>Milestones are important checkpoints used to measure project progress, according to Office of Government Commerce (2009, p.17). The following milestones apply to a twelve-week pre-event planning horizon, with Week 1 being the project kick-off week and the event scheduled at the end of Week 12:</w:t>
      </w:r>
    </w:p>
    <w:p w14:paraId="5F6A295E" w14:textId="6F3ADEF4" w:rsidR="00BA3895" w:rsidRPr="006339A5" w:rsidRDefault="00C57989" w:rsidP="00AE20AE">
      <w:pPr>
        <w:spacing w:after="80" w:line="360" w:lineRule="auto"/>
        <w:rPr>
          <w:color w:val="auto"/>
          <w:sz w:val="24"/>
          <w:szCs w:val="24"/>
        </w:rPr>
      </w:pPr>
      <w:r>
        <w:rPr>
          <w:noProof/>
          <w:color w:val="auto"/>
        </w:rPr>
        <w:drawing>
          <wp:inline distT="0" distB="0" distL="0" distR="0" wp14:anchorId="5F29C72E" wp14:editId="0A713C02">
            <wp:extent cx="5729605" cy="6219825"/>
            <wp:effectExtent l="0" t="0" r="4445" b="0"/>
            <wp:docPr id="11654827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9605" cy="6219825"/>
                    </a:xfrm>
                    <a:prstGeom prst="rect">
                      <a:avLst/>
                    </a:prstGeom>
                    <a:noFill/>
                    <a:ln>
                      <a:noFill/>
                    </a:ln>
                  </pic:spPr>
                </pic:pic>
              </a:graphicData>
            </a:graphic>
          </wp:inline>
        </w:drawing>
      </w:r>
    </w:p>
    <w:p w14:paraId="06C1D49E" w14:textId="69E0E99D" w:rsidR="00BA3895" w:rsidRPr="006339A5" w:rsidRDefault="00000000" w:rsidP="006339A5">
      <w:pPr>
        <w:spacing w:after="160" w:line="360" w:lineRule="auto"/>
        <w:ind w:firstLine="720"/>
        <w:rPr>
          <w:color w:val="auto"/>
          <w:sz w:val="24"/>
          <w:szCs w:val="24"/>
        </w:rPr>
      </w:pPr>
      <w:r>
        <w:rPr>
          <w:color w:val="auto"/>
          <w:sz w:val="24"/>
          <w:szCs w:val="24"/>
        </w:rPr>
        <w:t>Milestone M7 — the Open Day itself — is the central event from which all preceding milestones are reverse-engineered, consistent with the principle of backwards planning advocated by Wysocki (2019, p.187). The Responsibility Assignment Matrix (RAM) below maps tasks to named roles using a RACI framework (Responsible, Accountable, Consulted, Informed), as recommended by Cleland and Ireland (2006, p.268):</w:t>
      </w:r>
    </w:p>
    <w:p w14:paraId="05BA828F" w14:textId="208A50FD" w:rsidR="00BA3895" w:rsidRPr="006339A5" w:rsidRDefault="00C57989" w:rsidP="00AE20AE">
      <w:pPr>
        <w:spacing w:after="80" w:line="360" w:lineRule="auto"/>
        <w:rPr>
          <w:color w:val="auto"/>
          <w:sz w:val="24"/>
          <w:szCs w:val="24"/>
        </w:rPr>
      </w:pPr>
      <w:r>
        <w:rPr>
          <w:noProof/>
          <w:color w:val="auto"/>
        </w:rPr>
        <w:drawing>
          <wp:inline distT="0" distB="0" distL="0" distR="0" wp14:anchorId="6A83C89B" wp14:editId="274195AE">
            <wp:extent cx="5729605" cy="5953125"/>
            <wp:effectExtent l="0" t="0" r="4445" b="0"/>
            <wp:docPr id="17839613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5953125"/>
                    </a:xfrm>
                    <a:prstGeom prst="rect">
                      <a:avLst/>
                    </a:prstGeom>
                    <a:noFill/>
                    <a:ln>
                      <a:noFill/>
                    </a:ln>
                  </pic:spPr>
                </pic:pic>
              </a:graphicData>
            </a:graphic>
          </wp:inline>
        </w:drawing>
      </w:r>
    </w:p>
    <w:p w14:paraId="5F2F4DC9" w14:textId="77777777" w:rsidR="00BA3895" w:rsidRPr="006339A5" w:rsidRDefault="00000000" w:rsidP="00AE20AE">
      <w:pPr>
        <w:spacing w:after="160" w:line="360" w:lineRule="auto"/>
        <w:rPr>
          <w:color w:val="auto"/>
          <w:sz w:val="24"/>
          <w:szCs w:val="24"/>
        </w:rPr>
      </w:pPr>
      <w:r>
        <w:rPr>
          <w:i/>
          <w:iCs/>
          <w:color w:val="auto"/>
          <w:sz w:val="24"/>
          <w:szCs w:val="24"/>
        </w:rPr>
        <w:t>R = Responsible | A = Accountable | C = Consulted | I = Informed</w:t>
      </w:r>
    </w:p>
    <w:p w14:paraId="34C80DCF" w14:textId="77777777" w:rsidR="00BA3895" w:rsidRPr="006339A5" w:rsidRDefault="00000000" w:rsidP="00AE20AE">
      <w:pPr>
        <w:spacing w:line="360" w:lineRule="auto"/>
        <w:rPr>
          <w:color w:val="auto"/>
          <w:sz w:val="24"/>
          <w:szCs w:val="24"/>
        </w:rPr>
      </w:pPr>
      <w:r>
        <w:rPr>
          <w:color w:val="auto"/>
          <w:sz w:val="24"/>
          <w:szCs w:val="24"/>
        </w:rPr>
        <w:br w:type="page"/>
      </w:r>
    </w:p>
    <w:p w14:paraId="79C6865A" w14:textId="77777777" w:rsidR="00BA3895" w:rsidRPr="006339A5" w:rsidRDefault="00000000" w:rsidP="00270E77">
      <w:pPr>
        <w:pStyle w:val="Heading2"/>
        <w:spacing w:line="360" w:lineRule="auto"/>
        <w:ind w:firstLine="720"/>
        <w:rPr>
          <w:color w:val="auto"/>
        </w:rPr>
      </w:pPr>
      <w:r>
        <w:rPr>
          <w:color w:val="auto"/>
        </w:rPr>
        <w:t>Resources &amp; Cost Accounts</w:t>
      </w:r>
    </w:p>
    <w:p w14:paraId="501D27D3" w14:textId="500C24C1" w:rsidR="00BA3895" w:rsidRPr="006339A5" w:rsidRDefault="00FA12B0" w:rsidP="00270E77">
      <w:pPr>
        <w:spacing w:after="160" w:line="360" w:lineRule="auto"/>
        <w:ind w:firstLine="720"/>
        <w:rPr>
          <w:color w:val="auto"/>
          <w:sz w:val="24"/>
          <w:szCs w:val="24"/>
        </w:rPr>
      </w:pPr>
      <w:r>
        <w:rPr>
          <w:color w:val="auto"/>
          <w:sz w:val="24"/>
          <w:szCs w:val="24"/>
        </w:rPr>
        <w:t xml:space="preserve">Resource management is the process of identifying, allocating, and monitoring of material, financial, and human resources throughout the course of a project. Lock (2020, p.265) notes that </w:t>
      </w:r>
      <w:r>
        <w:rPr>
          <w:i/>
          <w:iCs/>
          <w:color w:val="auto"/>
          <w:sz w:val="24"/>
          <w:szCs w:val="24"/>
        </w:rPr>
        <w:t>"resource scheduling is one of the most complex challenges a project manager faces"</w:t>
      </w:r>
      <w:r>
        <w:rPr>
          <w:color w:val="auto"/>
          <w:sz w:val="24"/>
          <w:szCs w:val="24"/>
        </w:rPr>
        <w:t>, particularly when human resources must be balanced across concurrent tasks. The following table presents a consolidated cost account, integrating human resources, estimated hours, and applied day rates to produce a total project budget.</w:t>
      </w:r>
    </w:p>
    <w:p w14:paraId="098DB0AF" w14:textId="5A1B89AB" w:rsidR="00BA3895" w:rsidRPr="006339A5" w:rsidRDefault="00C57989" w:rsidP="00AE20AE">
      <w:pPr>
        <w:spacing w:after="80" w:line="360" w:lineRule="auto"/>
        <w:rPr>
          <w:color w:val="auto"/>
          <w:sz w:val="24"/>
          <w:szCs w:val="24"/>
        </w:rPr>
      </w:pPr>
      <w:r>
        <w:rPr>
          <w:noProof/>
          <w:color w:val="auto"/>
        </w:rPr>
        <w:drawing>
          <wp:inline distT="0" distB="0" distL="0" distR="0" wp14:anchorId="439E1632" wp14:editId="3C9FD0D7">
            <wp:extent cx="5729605" cy="8701405"/>
            <wp:effectExtent l="0" t="0" r="4445" b="4445"/>
            <wp:docPr id="7362772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9605" cy="8701405"/>
                    </a:xfrm>
                    <a:prstGeom prst="rect">
                      <a:avLst/>
                    </a:prstGeom>
                    <a:noFill/>
                    <a:ln>
                      <a:noFill/>
                    </a:ln>
                  </pic:spPr>
                </pic:pic>
              </a:graphicData>
            </a:graphic>
          </wp:inline>
        </w:drawing>
      </w:r>
    </w:p>
    <w:p w14:paraId="3008B3ED" w14:textId="67C19A4E" w:rsidR="00BA3895" w:rsidRPr="006339A5" w:rsidRDefault="004D06BA" w:rsidP="00AE20AE">
      <w:pPr>
        <w:spacing w:after="80" w:line="360" w:lineRule="auto"/>
        <w:rPr>
          <w:color w:val="auto"/>
          <w:sz w:val="24"/>
          <w:szCs w:val="24"/>
        </w:rPr>
      </w:pPr>
      <w:r>
        <w:rPr>
          <w:noProof/>
          <w:color w:val="auto"/>
        </w:rPr>
        <w:drawing>
          <wp:inline distT="0" distB="0" distL="0" distR="0" wp14:anchorId="1769DF7A" wp14:editId="1CC16EFB">
            <wp:extent cx="5729605" cy="4143375"/>
            <wp:effectExtent l="0" t="0" r="4445" b="0"/>
            <wp:docPr id="12001589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9605" cy="4143375"/>
                    </a:xfrm>
                    <a:prstGeom prst="rect">
                      <a:avLst/>
                    </a:prstGeom>
                    <a:noFill/>
                    <a:ln>
                      <a:noFill/>
                    </a:ln>
                  </pic:spPr>
                </pic:pic>
              </a:graphicData>
            </a:graphic>
          </wp:inline>
        </w:drawing>
      </w:r>
    </w:p>
    <w:p w14:paraId="6571A317" w14:textId="77777777" w:rsidR="00B44EA2" w:rsidRDefault="00000000" w:rsidP="00270E77">
      <w:pPr>
        <w:spacing w:after="160" w:line="360" w:lineRule="auto"/>
        <w:ind w:firstLine="720"/>
        <w:rPr>
          <w:color w:val="auto"/>
          <w:sz w:val="24"/>
          <w:szCs w:val="24"/>
        </w:rPr>
      </w:pPr>
      <w:r>
        <w:rPr>
          <w:color w:val="auto"/>
          <w:sz w:val="24"/>
          <w:szCs w:val="24"/>
        </w:rPr>
        <w:t xml:space="preserve">The estimated total project cost is </w:t>
      </w:r>
      <w:r>
        <w:rPr>
          <w:b/>
          <w:bCs/>
          <w:color w:val="auto"/>
          <w:sz w:val="24"/>
          <w:szCs w:val="24"/>
        </w:rPr>
        <w:t>£12,469</w:t>
      </w:r>
      <w:r>
        <w:rPr>
          <w:color w:val="auto"/>
          <w:sz w:val="24"/>
          <w:szCs w:val="24"/>
        </w:rPr>
        <w:t>, inclusive of a 10% contingency reserve in line with the risk-adjusted budgeting approach.</w:t>
      </w:r>
    </w:p>
    <w:p w14:paraId="31D6C1EA" w14:textId="1BA5ACF7" w:rsidR="00B44EA2" w:rsidRPr="00B44EA2" w:rsidRDefault="00B44EA2" w:rsidP="00B44EA2">
      <w:pPr>
        <w:spacing w:after="160" w:line="360" w:lineRule="auto"/>
        <w:ind w:firstLine="720"/>
        <w:rPr>
          <w:color w:val="auto"/>
          <w:sz w:val="24"/>
          <w:szCs w:val="24"/>
        </w:rPr>
      </w:pPr>
      <w:r>
        <w:rPr>
          <w:color w:val="auto"/>
          <w:sz w:val="24"/>
          <w:szCs w:val="24"/>
        </w:rPr>
        <w:t>The relationship between tasks, resources, and costs is essential because each project activity requires labour, materials, and financial support. Kerzner (2022, p.464) states that accurate cost estimation improves budget control and reduces financial risk.</w:t>
      </w:r>
    </w:p>
    <w:p w14:paraId="16DA0707" w14:textId="57F67E38" w:rsidR="00B44EA2" w:rsidRPr="00B44EA2" w:rsidRDefault="00B44EA2" w:rsidP="00B44EA2">
      <w:pPr>
        <w:spacing w:after="160" w:line="360" w:lineRule="auto"/>
        <w:ind w:firstLine="720"/>
        <w:rPr>
          <w:color w:val="auto"/>
          <w:sz w:val="24"/>
          <w:szCs w:val="24"/>
        </w:rPr>
      </w:pPr>
      <w:r>
        <w:rPr>
          <w:color w:val="auto"/>
          <w:sz w:val="24"/>
          <w:szCs w:val="24"/>
        </w:rPr>
        <w:t>The contingency reserve has been included to manage unexpected costs, such as equipment repairs or additional catering requirements. Wysocki (2019, p.318) explains that contingency planning improves project flexibility and reduces operational disruptions.</w:t>
      </w:r>
    </w:p>
    <w:p w14:paraId="54CC3390" w14:textId="7946E226" w:rsidR="00BA3895" w:rsidRPr="006339A5" w:rsidRDefault="00000000" w:rsidP="00B44EA2">
      <w:pPr>
        <w:spacing w:after="160" w:line="360" w:lineRule="auto"/>
        <w:ind w:firstLine="720"/>
        <w:rPr>
          <w:color w:val="auto"/>
          <w:sz w:val="24"/>
          <w:szCs w:val="24"/>
        </w:rPr>
      </w:pPr>
      <w:r>
        <w:rPr>
          <w:color w:val="auto"/>
          <w:sz w:val="24"/>
          <w:szCs w:val="24"/>
        </w:rPr>
        <w:t xml:space="preserve"> The link between tasks, resources, and costs is maintained through the RACI matrix above, which identifies the responsible individual for each task, and the cost account table above, which monetises those responsibilities. This triangulation ensures accountability at every level of the budget and allows the Project Manager to trace any cost variance to a specific task owner. </w:t>
      </w:r>
    </w:p>
    <w:p w14:paraId="78592E84" w14:textId="77777777" w:rsidR="00BA3895" w:rsidRPr="006339A5" w:rsidRDefault="00000000" w:rsidP="00AE20AE">
      <w:pPr>
        <w:spacing w:line="360" w:lineRule="auto"/>
        <w:rPr>
          <w:color w:val="auto"/>
          <w:sz w:val="24"/>
          <w:szCs w:val="24"/>
        </w:rPr>
      </w:pPr>
      <w:r>
        <w:rPr>
          <w:color w:val="auto"/>
          <w:sz w:val="24"/>
          <w:szCs w:val="24"/>
        </w:rPr>
        <w:br w:type="page"/>
      </w:r>
    </w:p>
    <w:p w14:paraId="105A698E" w14:textId="77777777" w:rsidR="00BA3895" w:rsidRPr="006339A5" w:rsidRDefault="00000000" w:rsidP="00270E77">
      <w:pPr>
        <w:pStyle w:val="Heading1"/>
        <w:pBdr>
          <w:bottom w:val="single" w:sz="6" w:space="4" w:color="2E75B6"/>
        </w:pBdr>
        <w:spacing w:line="360" w:lineRule="auto"/>
        <w:ind w:firstLine="720"/>
        <w:rPr>
          <w:color w:val="auto"/>
          <w:sz w:val="24"/>
          <w:szCs w:val="24"/>
        </w:rPr>
      </w:pPr>
      <w:r>
        <w:rPr>
          <w:color w:val="auto"/>
          <w:sz w:val="24"/>
          <w:szCs w:val="24"/>
        </w:rPr>
        <w:t>4. References</w:t>
      </w:r>
    </w:p>
    <w:p w14:paraId="779019C4" w14:textId="77777777" w:rsidR="00BA3895" w:rsidRPr="006339A5" w:rsidRDefault="00000000" w:rsidP="00AE20AE">
      <w:pPr>
        <w:spacing w:after="160" w:line="360" w:lineRule="auto"/>
        <w:ind w:left="720" w:hanging="720"/>
        <w:rPr>
          <w:color w:val="auto"/>
          <w:sz w:val="24"/>
          <w:szCs w:val="24"/>
        </w:rPr>
      </w:pPr>
      <w:r>
        <w:rPr>
          <w:color w:val="auto"/>
          <w:sz w:val="24"/>
          <w:szCs w:val="24"/>
        </w:rPr>
        <w:t xml:space="preserve">Association for Project Management (APM) (2019) </w:t>
      </w:r>
      <w:r>
        <w:rPr>
          <w:i/>
          <w:iCs/>
          <w:color w:val="auto"/>
          <w:sz w:val="24"/>
          <w:szCs w:val="24"/>
        </w:rPr>
        <w:t>APM Body of Knowledge</w:t>
      </w:r>
      <w:r>
        <w:rPr>
          <w:color w:val="auto"/>
          <w:sz w:val="24"/>
          <w:szCs w:val="24"/>
        </w:rPr>
        <w:t>. 7th edn. Princes Risborough: Association for Project Management.</w:t>
      </w:r>
    </w:p>
    <w:p w14:paraId="167583ED" w14:textId="55B8F792" w:rsidR="00734AD3" w:rsidRPr="006339A5" w:rsidRDefault="00734AD3" w:rsidP="00AE20AE">
      <w:pPr>
        <w:spacing w:after="160" w:line="360" w:lineRule="auto"/>
        <w:ind w:left="720" w:hanging="720"/>
        <w:rPr>
          <w:color w:val="auto"/>
          <w:sz w:val="24"/>
          <w:szCs w:val="24"/>
        </w:rPr>
      </w:pPr>
      <w:r>
        <w:rPr>
          <w:color w:val="auto"/>
          <w:sz w:val="24"/>
          <w:szCs w:val="24"/>
        </w:rPr>
        <w:t xml:space="preserve">Burke, R. (2013) </w:t>
      </w:r>
      <w:r>
        <w:rPr>
          <w:i/>
          <w:iCs/>
          <w:color w:val="auto"/>
          <w:sz w:val="24"/>
          <w:szCs w:val="24"/>
        </w:rPr>
        <w:t>Project Management: Planning and Control Techniques</w:t>
      </w:r>
      <w:r>
        <w:rPr>
          <w:color w:val="auto"/>
          <w:sz w:val="24"/>
          <w:szCs w:val="24"/>
        </w:rPr>
        <w:t>. 5th edn. Chichester: Wiley.</w:t>
      </w:r>
    </w:p>
    <w:p w14:paraId="5D35CAB2" w14:textId="77777777" w:rsidR="00BA3895" w:rsidRPr="006339A5" w:rsidRDefault="00000000" w:rsidP="00AE20AE">
      <w:pPr>
        <w:spacing w:after="160" w:line="360" w:lineRule="auto"/>
        <w:ind w:left="720" w:hanging="720"/>
        <w:rPr>
          <w:color w:val="auto"/>
          <w:sz w:val="24"/>
          <w:szCs w:val="24"/>
        </w:rPr>
      </w:pPr>
      <w:r>
        <w:rPr>
          <w:color w:val="auto"/>
          <w:sz w:val="24"/>
          <w:szCs w:val="24"/>
        </w:rPr>
        <w:t>Cleland, D.I. and Ireland, L.R. (2006) Project Management: Strategic Design and Implementation. 5th edn. New York: McGraw-Hill.</w:t>
      </w:r>
    </w:p>
    <w:p w14:paraId="73ADF46A" w14:textId="77777777" w:rsidR="00BA3895" w:rsidRPr="006339A5" w:rsidRDefault="00000000" w:rsidP="00AE20AE">
      <w:pPr>
        <w:spacing w:after="160" w:line="360" w:lineRule="auto"/>
        <w:ind w:left="720" w:hanging="720"/>
        <w:rPr>
          <w:color w:val="auto"/>
          <w:sz w:val="24"/>
          <w:szCs w:val="24"/>
        </w:rPr>
      </w:pPr>
      <w:r>
        <w:rPr>
          <w:color w:val="auto"/>
          <w:sz w:val="24"/>
          <w:szCs w:val="24"/>
        </w:rPr>
        <w:t xml:space="preserve">Doran, G.T. (1981) 'There's a S.M.A.R.T. way to write management's goals and objectives', </w:t>
      </w:r>
      <w:r>
        <w:rPr>
          <w:i/>
          <w:iCs/>
          <w:color w:val="auto"/>
          <w:sz w:val="24"/>
          <w:szCs w:val="24"/>
        </w:rPr>
        <w:t>Management Review</w:t>
      </w:r>
      <w:r>
        <w:rPr>
          <w:color w:val="auto"/>
          <w:sz w:val="24"/>
          <w:szCs w:val="24"/>
        </w:rPr>
        <w:t>, 70(11), pp. 35–36.</w:t>
      </w:r>
    </w:p>
    <w:p w14:paraId="738679F8" w14:textId="77777777" w:rsidR="00BA3895" w:rsidRDefault="00000000" w:rsidP="00AE20AE">
      <w:pPr>
        <w:spacing w:after="160" w:line="360" w:lineRule="auto"/>
        <w:ind w:left="720" w:hanging="720"/>
        <w:rPr>
          <w:color w:val="auto"/>
          <w:sz w:val="24"/>
          <w:szCs w:val="24"/>
        </w:rPr>
      </w:pPr>
      <w:r>
        <w:rPr>
          <w:color w:val="auto"/>
          <w:sz w:val="24"/>
          <w:szCs w:val="24"/>
        </w:rPr>
        <w:t xml:space="preserve">Freeman, R.E. (1984) </w:t>
      </w:r>
      <w:r>
        <w:rPr>
          <w:i/>
          <w:iCs/>
          <w:color w:val="auto"/>
          <w:sz w:val="24"/>
          <w:szCs w:val="24"/>
        </w:rPr>
        <w:t>Strategic Management: A Stakeholder Approach</w:t>
      </w:r>
      <w:r>
        <w:rPr>
          <w:color w:val="auto"/>
          <w:sz w:val="24"/>
          <w:szCs w:val="24"/>
        </w:rPr>
        <w:t>. Boston: Pitman.</w:t>
      </w:r>
    </w:p>
    <w:p w14:paraId="68BD6E78" w14:textId="19FDA4C4" w:rsidR="00734AD3" w:rsidRPr="006339A5" w:rsidRDefault="00734AD3" w:rsidP="00F153F2">
      <w:pPr>
        <w:spacing w:after="160" w:line="360" w:lineRule="auto"/>
        <w:ind w:left="720" w:hanging="720"/>
        <w:rPr>
          <w:color w:val="auto"/>
          <w:sz w:val="24"/>
          <w:szCs w:val="24"/>
        </w:rPr>
      </w:pPr>
      <w:r>
        <w:rPr>
          <w:color w:val="auto"/>
          <w:sz w:val="24"/>
          <w:szCs w:val="24"/>
        </w:rPr>
        <w:t xml:space="preserve">Gray, C.F. and Larson, E.W. (2021) </w:t>
      </w:r>
      <w:r>
        <w:rPr>
          <w:i/>
          <w:iCs/>
          <w:color w:val="auto"/>
          <w:sz w:val="24"/>
          <w:szCs w:val="24"/>
        </w:rPr>
        <w:t>Project Management: The Managerial Process</w:t>
      </w:r>
      <w:r>
        <w:rPr>
          <w:color w:val="auto"/>
          <w:sz w:val="24"/>
          <w:szCs w:val="24"/>
        </w:rPr>
        <w:t>. 8th edn. New York: McGraw-Hill.</w:t>
      </w:r>
    </w:p>
    <w:p w14:paraId="09021BDA" w14:textId="54F6DA56" w:rsidR="00BA3895" w:rsidRDefault="00000000" w:rsidP="00AE20AE">
      <w:pPr>
        <w:spacing w:after="160" w:line="360" w:lineRule="auto"/>
        <w:ind w:left="720" w:hanging="720"/>
        <w:rPr>
          <w:color w:val="auto"/>
          <w:sz w:val="24"/>
          <w:szCs w:val="24"/>
        </w:rPr>
      </w:pPr>
      <w:r>
        <w:rPr>
          <w:color w:val="auto"/>
          <w:sz w:val="24"/>
          <w:szCs w:val="24"/>
        </w:rPr>
        <w:t xml:space="preserve">Hartley, J. and Benington, J. (2015) </w:t>
      </w:r>
      <w:r>
        <w:rPr>
          <w:i/>
          <w:iCs/>
          <w:color w:val="auto"/>
          <w:sz w:val="24"/>
          <w:szCs w:val="24"/>
        </w:rPr>
        <w:t>Leadership for Healthcare</w:t>
      </w:r>
      <w:r>
        <w:rPr>
          <w:color w:val="auto"/>
          <w:sz w:val="24"/>
          <w:szCs w:val="24"/>
        </w:rPr>
        <w:t>. Bristol: Policy Press.</w:t>
      </w:r>
    </w:p>
    <w:p w14:paraId="0BEFBDDA" w14:textId="61648714" w:rsidR="00F153F2" w:rsidRPr="006339A5" w:rsidRDefault="00F153F2" w:rsidP="00B44EA2">
      <w:pPr>
        <w:spacing w:after="160" w:line="360" w:lineRule="auto"/>
        <w:ind w:left="720" w:hanging="720"/>
        <w:rPr>
          <w:color w:val="auto"/>
          <w:sz w:val="24"/>
          <w:szCs w:val="24"/>
        </w:rPr>
      </w:pPr>
      <w:r>
        <w:rPr>
          <w:color w:val="auto"/>
          <w:sz w:val="24"/>
          <w:szCs w:val="24"/>
        </w:rPr>
        <w:t xml:space="preserve">Heagney, J. (2016) </w:t>
      </w:r>
      <w:r>
        <w:rPr>
          <w:i/>
          <w:iCs/>
          <w:color w:val="auto"/>
          <w:sz w:val="24"/>
          <w:szCs w:val="24"/>
        </w:rPr>
        <w:t>Fundamentals of Project Management</w:t>
      </w:r>
      <w:r>
        <w:rPr>
          <w:color w:val="auto"/>
          <w:sz w:val="24"/>
          <w:szCs w:val="24"/>
        </w:rPr>
        <w:t>. 5th edn. New York: AMACOM.</w:t>
      </w:r>
    </w:p>
    <w:p w14:paraId="30F33E4E" w14:textId="77777777" w:rsidR="00BA3895" w:rsidRPr="006339A5" w:rsidRDefault="00000000" w:rsidP="00AE20AE">
      <w:pPr>
        <w:spacing w:after="160" w:line="360" w:lineRule="auto"/>
        <w:ind w:left="720" w:hanging="720"/>
        <w:rPr>
          <w:color w:val="auto"/>
          <w:sz w:val="24"/>
          <w:szCs w:val="24"/>
        </w:rPr>
      </w:pPr>
      <w:r>
        <w:rPr>
          <w:color w:val="auto"/>
          <w:sz w:val="24"/>
          <w:szCs w:val="24"/>
        </w:rPr>
        <w:t xml:space="preserve">Johnson, G. and Scholes, K. (2008) </w:t>
      </w:r>
      <w:r>
        <w:rPr>
          <w:i/>
          <w:iCs/>
          <w:color w:val="auto"/>
          <w:sz w:val="24"/>
          <w:szCs w:val="24"/>
        </w:rPr>
        <w:t>Exploring Corporate Strategy</w:t>
      </w:r>
      <w:r>
        <w:rPr>
          <w:color w:val="auto"/>
          <w:sz w:val="24"/>
          <w:szCs w:val="24"/>
        </w:rPr>
        <w:t>. 8th edn. Harlow: Pearson Education.</w:t>
      </w:r>
    </w:p>
    <w:p w14:paraId="7EAA1471" w14:textId="77777777" w:rsidR="00BA3895" w:rsidRPr="006339A5" w:rsidRDefault="00000000" w:rsidP="00AE20AE">
      <w:pPr>
        <w:spacing w:after="160" w:line="360" w:lineRule="auto"/>
        <w:ind w:left="720" w:hanging="720"/>
        <w:rPr>
          <w:color w:val="auto"/>
          <w:sz w:val="24"/>
          <w:szCs w:val="24"/>
        </w:rPr>
      </w:pPr>
      <w:r>
        <w:rPr>
          <w:color w:val="auto"/>
          <w:sz w:val="24"/>
          <w:szCs w:val="24"/>
        </w:rPr>
        <w:t xml:space="preserve">Kerzner, H. (2022) </w:t>
      </w:r>
      <w:r>
        <w:rPr>
          <w:i/>
          <w:iCs/>
          <w:color w:val="auto"/>
          <w:sz w:val="24"/>
          <w:szCs w:val="24"/>
        </w:rPr>
        <w:t>Project Management: A Systems Approach to Planning, Scheduling, and Controlling</w:t>
      </w:r>
      <w:r>
        <w:rPr>
          <w:color w:val="auto"/>
          <w:sz w:val="24"/>
          <w:szCs w:val="24"/>
        </w:rPr>
        <w:t>. 13th edn. Hoboken: John Wiley &amp; Sons.</w:t>
      </w:r>
    </w:p>
    <w:p w14:paraId="5DDF38A5" w14:textId="77777777" w:rsidR="00BA3895" w:rsidRPr="006339A5" w:rsidRDefault="00000000" w:rsidP="00AE20AE">
      <w:pPr>
        <w:spacing w:after="160" w:line="360" w:lineRule="auto"/>
        <w:ind w:left="720" w:hanging="720"/>
        <w:rPr>
          <w:color w:val="auto"/>
          <w:sz w:val="24"/>
          <w:szCs w:val="24"/>
        </w:rPr>
      </w:pPr>
      <w:r>
        <w:rPr>
          <w:color w:val="auto"/>
          <w:sz w:val="24"/>
          <w:szCs w:val="24"/>
        </w:rPr>
        <w:t xml:space="preserve">Lock, D. (2020) </w:t>
      </w:r>
      <w:r>
        <w:rPr>
          <w:i/>
          <w:iCs/>
          <w:color w:val="auto"/>
          <w:sz w:val="24"/>
          <w:szCs w:val="24"/>
        </w:rPr>
        <w:t>Project Management</w:t>
      </w:r>
      <w:r>
        <w:rPr>
          <w:color w:val="auto"/>
          <w:sz w:val="24"/>
          <w:szCs w:val="24"/>
        </w:rPr>
        <w:t>. 10th edn. Abingdon: Routledge.</w:t>
      </w:r>
    </w:p>
    <w:p w14:paraId="578D0D0C" w14:textId="77777777" w:rsidR="00BA3895" w:rsidRPr="006339A5" w:rsidRDefault="00000000" w:rsidP="00AE20AE">
      <w:pPr>
        <w:spacing w:after="160" w:line="360" w:lineRule="auto"/>
        <w:ind w:left="720" w:hanging="720"/>
        <w:rPr>
          <w:color w:val="auto"/>
          <w:sz w:val="24"/>
          <w:szCs w:val="24"/>
        </w:rPr>
      </w:pPr>
      <w:r>
        <w:rPr>
          <w:color w:val="auto"/>
          <w:sz w:val="24"/>
          <w:szCs w:val="24"/>
        </w:rPr>
        <w:t xml:space="preserve">Locke, E.A. and Latham, G.P. (2013) </w:t>
      </w:r>
      <w:r>
        <w:rPr>
          <w:i/>
          <w:iCs/>
          <w:color w:val="auto"/>
          <w:sz w:val="24"/>
          <w:szCs w:val="24"/>
        </w:rPr>
        <w:t>New Developments in Goal Setting and Task Performance.</w:t>
      </w:r>
      <w:r>
        <w:rPr>
          <w:color w:val="auto"/>
          <w:sz w:val="24"/>
          <w:szCs w:val="24"/>
        </w:rPr>
        <w:t xml:space="preserve"> New York: Routledge.</w:t>
      </w:r>
    </w:p>
    <w:p w14:paraId="593A6FE8" w14:textId="77777777" w:rsidR="00BA3895" w:rsidRDefault="00000000" w:rsidP="00AE20AE">
      <w:pPr>
        <w:spacing w:after="160" w:line="360" w:lineRule="auto"/>
        <w:ind w:left="720" w:hanging="720"/>
        <w:rPr>
          <w:color w:val="auto"/>
          <w:sz w:val="24"/>
          <w:szCs w:val="24"/>
        </w:rPr>
      </w:pPr>
      <w:r>
        <w:rPr>
          <w:color w:val="auto"/>
          <w:sz w:val="24"/>
          <w:szCs w:val="24"/>
        </w:rPr>
        <w:t xml:space="preserve">Maylor, H. (2010) </w:t>
      </w:r>
      <w:r>
        <w:rPr>
          <w:i/>
          <w:iCs/>
          <w:color w:val="auto"/>
          <w:sz w:val="24"/>
          <w:szCs w:val="24"/>
        </w:rPr>
        <w:t>Project Management</w:t>
      </w:r>
      <w:r>
        <w:rPr>
          <w:color w:val="auto"/>
          <w:sz w:val="24"/>
          <w:szCs w:val="24"/>
        </w:rPr>
        <w:t>. 4th edn. Harlow: Pearson Education.</w:t>
      </w:r>
    </w:p>
    <w:p w14:paraId="331A6C0D" w14:textId="5CBF2272" w:rsidR="00B44EA2" w:rsidRDefault="00B44EA2" w:rsidP="00AE20AE">
      <w:pPr>
        <w:spacing w:after="160" w:line="360" w:lineRule="auto"/>
        <w:ind w:left="720" w:hanging="720"/>
        <w:rPr>
          <w:color w:val="auto"/>
          <w:sz w:val="24"/>
          <w:szCs w:val="24"/>
        </w:rPr>
      </w:pPr>
      <w:r>
        <w:rPr>
          <w:color w:val="auto"/>
          <w:sz w:val="24"/>
          <w:szCs w:val="24"/>
        </w:rPr>
        <w:t xml:space="preserve">Office of Government Commerce (2009) </w:t>
      </w:r>
      <w:r>
        <w:rPr>
          <w:i/>
          <w:iCs/>
          <w:color w:val="auto"/>
          <w:sz w:val="24"/>
          <w:szCs w:val="24"/>
        </w:rPr>
        <w:t>Managing Successful Projects with PRINCE2</w:t>
      </w:r>
      <w:r>
        <w:rPr>
          <w:color w:val="auto"/>
          <w:sz w:val="24"/>
          <w:szCs w:val="24"/>
        </w:rPr>
        <w:t>. London: TSO.</w:t>
      </w:r>
    </w:p>
    <w:p w14:paraId="09ABB672" w14:textId="3BAA1945" w:rsidR="001D5572" w:rsidRPr="006339A5" w:rsidRDefault="001D5572" w:rsidP="00AE20AE">
      <w:pPr>
        <w:spacing w:after="160" w:line="360" w:lineRule="auto"/>
        <w:ind w:left="720" w:hanging="720"/>
        <w:rPr>
          <w:color w:val="auto"/>
          <w:sz w:val="24"/>
          <w:szCs w:val="24"/>
        </w:rPr>
      </w:pPr>
      <w:r>
        <w:rPr>
          <w:color w:val="auto"/>
          <w:sz w:val="24"/>
          <w:szCs w:val="24"/>
        </w:rPr>
        <w:t xml:space="preserve">Pinto, J.K. (2019) </w:t>
      </w:r>
      <w:r>
        <w:rPr>
          <w:i/>
          <w:iCs/>
          <w:color w:val="auto"/>
          <w:sz w:val="24"/>
          <w:szCs w:val="24"/>
        </w:rPr>
        <w:t>Project Management: Achieving Competitive Advantage</w:t>
      </w:r>
      <w:r>
        <w:rPr>
          <w:color w:val="auto"/>
          <w:sz w:val="24"/>
          <w:szCs w:val="24"/>
        </w:rPr>
        <w:t>. 5th edn. Harlow: Pearson.</w:t>
      </w:r>
    </w:p>
    <w:p w14:paraId="31E3FC5C" w14:textId="0A6C1958" w:rsidR="00BA3895" w:rsidRPr="006339A5" w:rsidRDefault="00000000" w:rsidP="00AE20AE">
      <w:pPr>
        <w:spacing w:after="160" w:line="360" w:lineRule="auto"/>
        <w:ind w:left="720" w:hanging="720"/>
        <w:rPr>
          <w:color w:val="auto"/>
          <w:sz w:val="24"/>
          <w:szCs w:val="24"/>
        </w:rPr>
      </w:pPr>
      <w:r>
        <w:rPr>
          <w:color w:val="auto"/>
          <w:sz w:val="24"/>
          <w:szCs w:val="24"/>
        </w:rPr>
        <w:t>Project Management Institute (PMI) (2021)</w:t>
      </w:r>
      <w:r>
        <w:rPr>
          <w:i/>
          <w:iCs/>
          <w:color w:val="auto"/>
          <w:sz w:val="24"/>
          <w:szCs w:val="24"/>
        </w:rPr>
        <w:t xml:space="preserve"> A Guide to the Project Management Body of Knowledge (PMBOK Guide).</w:t>
      </w:r>
      <w:r>
        <w:rPr>
          <w:color w:val="auto"/>
          <w:sz w:val="24"/>
          <w:szCs w:val="24"/>
        </w:rPr>
        <w:t xml:space="preserve"> Pennsylvania: PMI.</w:t>
      </w:r>
    </w:p>
    <w:p w14:paraId="1255308A" w14:textId="77777777" w:rsidR="00BA3895" w:rsidRPr="006339A5" w:rsidRDefault="00000000" w:rsidP="00AE20AE">
      <w:pPr>
        <w:spacing w:after="160" w:line="360" w:lineRule="auto"/>
        <w:ind w:left="720" w:hanging="720"/>
        <w:rPr>
          <w:color w:val="auto"/>
          <w:sz w:val="24"/>
          <w:szCs w:val="24"/>
        </w:rPr>
      </w:pPr>
      <w:r>
        <w:rPr>
          <w:color w:val="auto"/>
          <w:sz w:val="24"/>
          <w:szCs w:val="24"/>
        </w:rPr>
        <w:t xml:space="preserve">Turner, J.R. (2016) </w:t>
      </w:r>
      <w:r>
        <w:rPr>
          <w:i/>
          <w:iCs/>
          <w:color w:val="auto"/>
          <w:sz w:val="24"/>
          <w:szCs w:val="24"/>
        </w:rPr>
        <w:t>Gower Handbook of Project Management</w:t>
      </w:r>
      <w:r>
        <w:rPr>
          <w:color w:val="auto"/>
          <w:sz w:val="24"/>
          <w:szCs w:val="24"/>
        </w:rPr>
        <w:t>. 5th edn. Abingdon: Routledge.</w:t>
      </w:r>
    </w:p>
    <w:p w14:paraId="6933CCD0" w14:textId="77777777" w:rsidR="00BA3895" w:rsidRDefault="00000000" w:rsidP="00AE20AE">
      <w:pPr>
        <w:spacing w:after="160" w:line="360" w:lineRule="auto"/>
        <w:ind w:left="720" w:hanging="720"/>
        <w:rPr>
          <w:color w:val="auto"/>
          <w:sz w:val="24"/>
          <w:szCs w:val="24"/>
        </w:rPr>
      </w:pPr>
      <w:r>
        <w:rPr>
          <w:color w:val="auto"/>
          <w:sz w:val="24"/>
          <w:szCs w:val="24"/>
        </w:rPr>
        <w:t xml:space="preserve">Wysocki, R.K. (2019) </w:t>
      </w:r>
      <w:r>
        <w:rPr>
          <w:i/>
          <w:iCs/>
          <w:color w:val="auto"/>
          <w:sz w:val="24"/>
          <w:szCs w:val="24"/>
        </w:rPr>
        <w:t>Effective Project Management: Traditional, Agile, Extreme, Hybrid</w:t>
      </w:r>
      <w:r>
        <w:rPr>
          <w:color w:val="auto"/>
          <w:sz w:val="24"/>
          <w:szCs w:val="24"/>
        </w:rPr>
        <w:t>. 8th edn. Indianapolis: John Wiley &amp; Sons.</w:t>
      </w:r>
    </w:p>
    <w:p w14:paraId="66AA203E" w14:textId="150AC972" w:rsidR="00AD3057" w:rsidRPr="006339A5" w:rsidRDefault="00AD3057" w:rsidP="00AE20AE">
      <w:pPr>
        <w:spacing w:after="160" w:line="360" w:lineRule="auto"/>
        <w:ind w:left="720" w:hanging="720"/>
        <w:rPr>
          <w:color w:val="auto"/>
          <w:sz w:val="24"/>
          <w:szCs w:val="24"/>
        </w:rPr>
      </w:pPr>
      <w:r>
        <w:rPr>
          <w:color w:val="auto"/>
          <w:sz w:val="24"/>
          <w:szCs w:val="24"/>
        </w:rPr>
        <w:t xml:space="preserve">Young, T.L. (2016) </w:t>
      </w:r>
      <w:r>
        <w:rPr>
          <w:i/>
          <w:iCs/>
          <w:color w:val="auto"/>
          <w:sz w:val="24"/>
          <w:szCs w:val="24"/>
        </w:rPr>
        <w:t>Successful Project Management</w:t>
      </w:r>
      <w:r>
        <w:rPr>
          <w:color w:val="auto"/>
          <w:sz w:val="24"/>
          <w:szCs w:val="24"/>
        </w:rPr>
        <w:t>. 6th edn. London: Kogan Page.</w:t>
      </w:r>
    </w:p>
    <w:sectPr w:rsidR="00AD3057" w:rsidRPr="006339A5">
      <w:headerReference w:type="default" r:id="rId15"/>
      <w:footerReference w:type="default" r:id="rId16"/>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4BB57" w14:textId="77777777" w:rsidR="00BE5859" w:rsidRDefault="00BE5859">
      <w:r>
        <w:separator/>
      </w:r>
    </w:p>
  </w:endnote>
  <w:endnote w:type="continuationSeparator" w:id="0">
    <w:p w14:paraId="4E0EB6C7" w14:textId="77777777" w:rsidR="00BE5859" w:rsidRDefault="00BE58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84C1A" w14:textId="53DBA7FA" w:rsidR="00BA3895" w:rsidRDefault="00000000">
    <w:pPr>
      <w:pBdr>
        <w:top w:val="single" w:sz="4" w:space="4" w:color="2E75B6"/>
      </w:pBdr>
      <w:tabs>
        <w:tab w:val="right" w:pos="9026"/>
      </w:tabs>
      <w:spacing w:before="80"/>
    </w:pPr>
    <w:r>
      <w:rPr>
        <w:color w:val="999999"/>
        <w:sz w:val="18"/>
        <w:szCs w:val="18"/>
      </w:rPr>
      <w:fldChar w:fldCharType="begin"/>
    </w:r>
    <w:r>
      <w:rPr>
        <w:color w:val="999999"/>
        <w:sz w:val="18"/>
        <w:szCs w:val="18"/>
      </w:rPr>
      <w:instrText>PAGE</w:instrText>
    </w:r>
    <w:r>
      <w:rPr>
        <w:color w:val="999999"/>
        <w:sz w:val="18"/>
        <w:szCs w:val="18"/>
      </w:rPr>
      <w:fldChar w:fldCharType="separate"/>
    </w:r>
    <w:r w:rsidR="00391B9C">
      <w:rPr>
        <w:noProof/>
        <w:color w:val="999999"/>
        <w:sz w:val="18"/>
        <w:szCs w:val="18"/>
      </w:rPr>
      <w:t>1</w:t>
    </w:r>
    <w:r>
      <w:rPr>
        <w:color w:val="999999"/>
        <w:sz w:val="18"/>
        <w:szCs w:val="18"/>
      </w:rPr>
      <w:fldChar w:fldCharType="end"/>
    </w:r>
    <w:r>
      <w:rPr>
        <w:color w:val="999999"/>
        <w:sz w:val="18"/>
        <w:szCs w:val="18"/>
      </w:rPr>
      <w:t xml:space="preserve"> </w:t>
    </w:r>
    <w:r>
      <w:rPr>
        <w:i/>
        <w:iCs/>
        <w:color w:val="999999"/>
        <w:sz w:val="18"/>
        <w:szCs w:val="18"/>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38879" w14:textId="77777777" w:rsidR="00BE5859" w:rsidRDefault="00BE5859">
      <w:r>
        <w:separator/>
      </w:r>
    </w:p>
  </w:footnote>
  <w:footnote w:type="continuationSeparator" w:id="0">
    <w:p w14:paraId="5EA4E596" w14:textId="77777777" w:rsidR="00BE5859" w:rsidRDefault="00BE58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1CFDF" w14:textId="093CEF54" w:rsidR="00BA3895" w:rsidRDefault="00000000">
    <w:pPr>
      <w:pBdr>
        <w:bottom w:val="single" w:sz="4" w:space="4" w:color="2E75B6"/>
      </w:pBdr>
      <w:tabs>
        <w:tab w:val="right" w:pos="9026"/>
      </w:tabs>
      <w:spacing w:after="80"/>
    </w:pPr>
    <w:r w:rsidRPr="006339A5">
      <w:rPr>
        <w:b/>
        <w:bCs/>
        <w:color w:val="auto"/>
        <w:sz w:val="18"/>
        <w:szCs w:val="18"/>
      </w:rPr>
      <w:t>Machinery World — Project Plan</w:t>
    </w:r>
    <w:r w:rsidR="00EA70A0">
      <w:rPr>
        <w:b/>
        <w:bCs/>
        <w:color w:val="auto"/>
        <w:sz w:val="18"/>
        <w:szCs w:val="18"/>
      </w:rPr>
      <w:t xml:space="preserve"> for an Open Day</w:t>
    </w:r>
    <w:r>
      <w:rPr>
        <w:sz w:val="18"/>
        <w:szCs w:val="18"/>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E2FF4"/>
    <w:multiLevelType w:val="hybridMultilevel"/>
    <w:tmpl w:val="9E12991E"/>
    <w:lvl w:ilvl="0" w:tplc="A476C8B6">
      <w:start w:val="1"/>
      <w:numFmt w:val="bullet"/>
      <w:lvlText w:val="•"/>
      <w:lvlJc w:val="left"/>
      <w:pPr>
        <w:ind w:left="720" w:hanging="360"/>
      </w:pPr>
    </w:lvl>
    <w:lvl w:ilvl="1" w:tplc="72686F04">
      <w:numFmt w:val="decimal"/>
      <w:lvlText w:val=""/>
      <w:lvlJc w:val="left"/>
    </w:lvl>
    <w:lvl w:ilvl="2" w:tplc="6130E7AA">
      <w:numFmt w:val="decimal"/>
      <w:lvlText w:val=""/>
      <w:lvlJc w:val="left"/>
    </w:lvl>
    <w:lvl w:ilvl="3" w:tplc="24D2DFBC">
      <w:numFmt w:val="decimal"/>
      <w:lvlText w:val=""/>
      <w:lvlJc w:val="left"/>
    </w:lvl>
    <w:lvl w:ilvl="4" w:tplc="CD167CE2">
      <w:numFmt w:val="decimal"/>
      <w:lvlText w:val=""/>
      <w:lvlJc w:val="left"/>
    </w:lvl>
    <w:lvl w:ilvl="5" w:tplc="7910C30E">
      <w:numFmt w:val="decimal"/>
      <w:lvlText w:val=""/>
      <w:lvlJc w:val="left"/>
    </w:lvl>
    <w:lvl w:ilvl="6" w:tplc="A3EE6BA8">
      <w:numFmt w:val="decimal"/>
      <w:lvlText w:val=""/>
      <w:lvlJc w:val="left"/>
    </w:lvl>
    <w:lvl w:ilvl="7" w:tplc="9E4C6D1A">
      <w:numFmt w:val="decimal"/>
      <w:lvlText w:val=""/>
      <w:lvlJc w:val="left"/>
    </w:lvl>
    <w:lvl w:ilvl="8" w:tplc="EB0827F6">
      <w:numFmt w:val="decimal"/>
      <w:lvlText w:val=""/>
      <w:lvlJc w:val="left"/>
    </w:lvl>
  </w:abstractNum>
  <w:abstractNum w:abstractNumId="1" w15:restartNumberingAfterBreak="0">
    <w:nsid w:val="4A572A5E"/>
    <w:multiLevelType w:val="hybridMultilevel"/>
    <w:tmpl w:val="0A5A984A"/>
    <w:lvl w:ilvl="0" w:tplc="E9CA87CA">
      <w:start w:val="1"/>
      <w:numFmt w:val="bullet"/>
      <w:lvlText w:val="●"/>
      <w:lvlJc w:val="left"/>
      <w:pPr>
        <w:ind w:left="720" w:hanging="360"/>
      </w:pPr>
    </w:lvl>
    <w:lvl w:ilvl="1" w:tplc="C1A8D24E">
      <w:start w:val="1"/>
      <w:numFmt w:val="bullet"/>
      <w:lvlText w:val="○"/>
      <w:lvlJc w:val="left"/>
      <w:pPr>
        <w:ind w:left="1440" w:hanging="360"/>
      </w:pPr>
    </w:lvl>
    <w:lvl w:ilvl="2" w:tplc="A9523196">
      <w:start w:val="1"/>
      <w:numFmt w:val="bullet"/>
      <w:lvlText w:val="■"/>
      <w:lvlJc w:val="left"/>
      <w:pPr>
        <w:ind w:left="2160" w:hanging="360"/>
      </w:pPr>
    </w:lvl>
    <w:lvl w:ilvl="3" w:tplc="BBE24F32">
      <w:start w:val="1"/>
      <w:numFmt w:val="bullet"/>
      <w:lvlText w:val="●"/>
      <w:lvlJc w:val="left"/>
      <w:pPr>
        <w:ind w:left="2880" w:hanging="360"/>
      </w:pPr>
    </w:lvl>
    <w:lvl w:ilvl="4" w:tplc="90E42774">
      <w:start w:val="1"/>
      <w:numFmt w:val="bullet"/>
      <w:lvlText w:val="○"/>
      <w:lvlJc w:val="left"/>
      <w:pPr>
        <w:ind w:left="3600" w:hanging="360"/>
      </w:pPr>
    </w:lvl>
    <w:lvl w:ilvl="5" w:tplc="F0C45634">
      <w:start w:val="1"/>
      <w:numFmt w:val="bullet"/>
      <w:lvlText w:val="■"/>
      <w:lvlJc w:val="left"/>
      <w:pPr>
        <w:ind w:left="4320" w:hanging="360"/>
      </w:pPr>
    </w:lvl>
    <w:lvl w:ilvl="6" w:tplc="63B469CE">
      <w:start w:val="1"/>
      <w:numFmt w:val="bullet"/>
      <w:lvlText w:val="●"/>
      <w:lvlJc w:val="left"/>
      <w:pPr>
        <w:ind w:left="5040" w:hanging="360"/>
      </w:pPr>
    </w:lvl>
    <w:lvl w:ilvl="7" w:tplc="6B8A0BD6">
      <w:start w:val="1"/>
      <w:numFmt w:val="bullet"/>
      <w:lvlText w:val="●"/>
      <w:lvlJc w:val="left"/>
      <w:pPr>
        <w:ind w:left="5760" w:hanging="360"/>
      </w:pPr>
    </w:lvl>
    <w:lvl w:ilvl="8" w:tplc="6468519E">
      <w:start w:val="1"/>
      <w:numFmt w:val="bullet"/>
      <w:lvlText w:val="●"/>
      <w:lvlJc w:val="left"/>
      <w:pPr>
        <w:ind w:left="6480" w:hanging="360"/>
      </w:pPr>
    </w:lvl>
  </w:abstractNum>
  <w:num w:numId="1" w16cid:durableId="657080423">
    <w:abstractNumId w:val="1"/>
    <w:lvlOverride w:ilvl="0">
      <w:startOverride w:val="1"/>
    </w:lvlOverride>
  </w:num>
  <w:num w:numId="2" w16cid:durableId="190441515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3895"/>
    <w:rsid w:val="00010D3E"/>
    <w:rsid w:val="0002672F"/>
    <w:rsid w:val="0005146D"/>
    <w:rsid w:val="00083B85"/>
    <w:rsid w:val="00132FD9"/>
    <w:rsid w:val="001964AE"/>
    <w:rsid w:val="001D5572"/>
    <w:rsid w:val="00270E77"/>
    <w:rsid w:val="002E7406"/>
    <w:rsid w:val="00391B9C"/>
    <w:rsid w:val="003A39E0"/>
    <w:rsid w:val="003A43C4"/>
    <w:rsid w:val="0041232F"/>
    <w:rsid w:val="004213D0"/>
    <w:rsid w:val="004A5839"/>
    <w:rsid w:val="004D06BA"/>
    <w:rsid w:val="004E1E08"/>
    <w:rsid w:val="006339A5"/>
    <w:rsid w:val="006610D7"/>
    <w:rsid w:val="00671B34"/>
    <w:rsid w:val="007337AD"/>
    <w:rsid w:val="00734AD3"/>
    <w:rsid w:val="0076497C"/>
    <w:rsid w:val="00841CF6"/>
    <w:rsid w:val="00A2695F"/>
    <w:rsid w:val="00AD3057"/>
    <w:rsid w:val="00AD3399"/>
    <w:rsid w:val="00AE20AE"/>
    <w:rsid w:val="00B44EA2"/>
    <w:rsid w:val="00BA3895"/>
    <w:rsid w:val="00BE5859"/>
    <w:rsid w:val="00C57989"/>
    <w:rsid w:val="00CD447B"/>
    <w:rsid w:val="00DA2EE7"/>
    <w:rsid w:val="00DC4DD5"/>
    <w:rsid w:val="00DE2E53"/>
    <w:rsid w:val="00E41509"/>
    <w:rsid w:val="00EA70A0"/>
    <w:rsid w:val="00F153F2"/>
    <w:rsid w:val="00FA12B0"/>
    <w:rsid w:val="00FA5702"/>
    <w:rsid w:val="00FE4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5107F"/>
  <w15:docId w15:val="{34762D49-88C6-45D2-822A-359ED0BFD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1A1A2E"/>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60"/>
      <w:outlineLvl w:val="0"/>
    </w:pPr>
    <w:rPr>
      <w:b/>
      <w:bCs/>
      <w:color w:val="1F4E79"/>
      <w:sz w:val="28"/>
      <w:szCs w:val="28"/>
    </w:rPr>
  </w:style>
  <w:style w:type="paragraph" w:styleId="Heading2">
    <w:name w:val="heading 2"/>
    <w:uiPriority w:val="9"/>
    <w:unhideWhenUsed/>
    <w:qFormat/>
    <w:pPr>
      <w:spacing w:before="280" w:after="120"/>
      <w:outlineLvl w:val="1"/>
    </w:pPr>
    <w:rPr>
      <w:b/>
      <w:bCs/>
      <w:color w:val="2E75B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6339A5"/>
    <w:pPr>
      <w:tabs>
        <w:tab w:val="center" w:pos="4513"/>
        <w:tab w:val="right" w:pos="9026"/>
      </w:tabs>
    </w:pPr>
  </w:style>
  <w:style w:type="character" w:customStyle="1" w:styleId="HeaderChar">
    <w:name w:val="Header Char"/>
    <w:basedOn w:val="DefaultParagraphFont"/>
    <w:link w:val="Header"/>
    <w:uiPriority w:val="99"/>
    <w:rsid w:val="006339A5"/>
  </w:style>
  <w:style w:type="paragraph" w:styleId="Footer">
    <w:name w:val="footer"/>
    <w:basedOn w:val="Normal"/>
    <w:link w:val="FooterChar"/>
    <w:uiPriority w:val="99"/>
    <w:unhideWhenUsed/>
    <w:rsid w:val="006339A5"/>
    <w:pPr>
      <w:tabs>
        <w:tab w:val="center" w:pos="4513"/>
        <w:tab w:val="right" w:pos="9026"/>
      </w:tabs>
    </w:pPr>
  </w:style>
  <w:style w:type="character" w:customStyle="1" w:styleId="FooterChar">
    <w:name w:val="Footer Char"/>
    <w:basedOn w:val="DefaultParagraphFont"/>
    <w:link w:val="Footer"/>
    <w:uiPriority w:val="99"/>
    <w:rsid w:val="006339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2325</Words>
  <Characters>13259</Characters>
  <Application>Microsoft Office Word</Application>
  <DocSecurity>0</DocSecurity>
  <Lines>110</Lines>
  <Paragraphs>31</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Table of Contents</vt:lpstr>
      <vt:lpstr>1. Introduction	</vt:lpstr>
      <vt:lpstr>2. Aim, Objectives, and Scope of the Project</vt:lpstr>
      <vt:lpstr>    Project Aim</vt:lpstr>
      <vt:lpstr>    SMART Objectives</vt:lpstr>
      <vt:lpstr>    Project Scope</vt:lpstr>
      <vt:lpstr>    Defining the project scope is important because it prevents scope creep and ensu</vt:lpstr>
      <vt:lpstr>3. Main Body</vt:lpstr>
      <vt:lpstr>    Project Outputs (Deliverables)</vt:lpstr>
      <vt:lpstr>    Stakeholder Identification and Classification</vt:lpstr>
      <vt:lpstr>    Power–Interest Grid Analysis</vt:lpstr>
      <vt:lpstr>    Communication Plan</vt:lpstr>
      <vt:lpstr>    Tasks, Milestones &amp; Responsibilities</vt:lpstr>
      <vt:lpstr>    Resources &amp; Cost Accounts</vt:lpstr>
      <vt:lpstr>4. References</vt:lpstr>
    </vt:vector>
  </TitlesOfParts>
  <Company/>
  <LinksUpToDate>false</LinksUpToDate>
  <CharactersWithSpaces>15553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Catalin Artenie (2240460)</cp:lastModifiedBy>
  <cp:revision>4</cp:revision>
  <dcterms:created xsi:type="dcterms:W3CDTF">2026-06-16T19:04:00Z</dcterms:created>
  <dcterms:modified xsi:type="dcterms:W3CDTF">2026-06-16T19:09:00Z</dcterms:modified>
</cp:coreProperties>
</file>