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282F348" w:rsidRDefault="4282F348" w14:paraId="17A65219" w14:textId="6E46D0FF">
      <w:r w:rsidR="4EAC1616">
        <w:rPr/>
        <w:t xml:space="preserve">Gatley, (2022) Says that </w:t>
      </w:r>
      <w:r w:rsidR="42C1FF4B">
        <w:rPr/>
        <w:t>U</w:t>
      </w:r>
      <w:r w:rsidR="39A0A283">
        <w:rPr/>
        <w:t>K</w:t>
      </w:r>
      <w:r w:rsidR="42C1FF4B">
        <w:rPr/>
        <w:t xml:space="preserve"> defamation law aims to safeguard individuals from untrue statements that could significantly harm their reputation while striking a balance</w:t>
      </w:r>
      <w:r w:rsidR="571F6E4A">
        <w:rPr/>
        <w:t xml:space="preserve"> with the essential right to freedom of expression, as protected by the Human Rights Act and the European Convention on Human Rights.</w:t>
      </w:r>
      <w:r w:rsidR="5818F1C1">
        <w:rPr/>
        <w:t xml:space="preserve"> </w:t>
      </w:r>
      <w:r w:rsidR="7AB1DB81">
        <w:rPr/>
        <w:t xml:space="preserve">Defamation </w:t>
      </w:r>
      <w:r w:rsidR="7AB1DB81">
        <w:rPr/>
        <w:t>generally comes</w:t>
      </w:r>
      <w:r w:rsidR="7AB1DB81">
        <w:rPr/>
        <w:t xml:space="preserve"> in two forms: libel, which involves written </w:t>
      </w:r>
      <w:r w:rsidR="141A3A0F">
        <w:rPr/>
        <w:t xml:space="preserve">or published damaging statements, and slander, which involves spoken remarks. The rise of social media has created new challenges for the law, as false claims can now </w:t>
      </w:r>
      <w:r w:rsidR="6FB1C8BB">
        <w:rPr/>
        <w:t>spread rapidly and widely</w:t>
      </w:r>
      <w:r w:rsidR="6D77A026">
        <w:rPr/>
        <w:t>.</w:t>
      </w:r>
      <w:r>
        <w:br/>
      </w:r>
      <w:r w:rsidR="3A5AFF59">
        <w:rPr/>
        <w:t>This assignment explores the working of U</w:t>
      </w:r>
      <w:r w:rsidR="4C0E9F74">
        <w:rPr/>
        <w:t>K</w:t>
      </w:r>
      <w:r w:rsidR="3A5AFF59">
        <w:rPr/>
        <w:t xml:space="preserve"> defamation law, focusing on the crucial elements claimants must </w:t>
      </w:r>
      <w:r w:rsidR="787E89FE">
        <w:rPr/>
        <w:t>establish</w:t>
      </w:r>
      <w:r w:rsidR="787E89FE">
        <w:rPr/>
        <w:t>,</w:t>
      </w:r>
      <w:r w:rsidR="3A5AFF59">
        <w:rPr/>
        <w:t xml:space="preserve"> and the defences</w:t>
      </w:r>
      <w:r w:rsidR="6F5E2D78">
        <w:rPr/>
        <w:t xml:space="preserve"> individuals can employ. It examines the impact of the internet</w:t>
      </w:r>
      <w:r w:rsidR="0732C2AA">
        <w:rPr/>
        <w:t xml:space="preserve"> </w:t>
      </w:r>
      <w:r w:rsidR="325B94AD">
        <w:rPr/>
        <w:t>on defamation cases and discusses recent legal amendme</w:t>
      </w:r>
      <w:r w:rsidR="7D3B7A49">
        <w:rPr/>
        <w:t>n</w:t>
      </w:r>
      <w:r w:rsidR="325B94AD">
        <w:rPr/>
        <w:t xml:space="preserve">ts aimed </w:t>
      </w:r>
      <w:r w:rsidR="3253DB9D">
        <w:rPr/>
        <w:t>at balancing free speech protection with reputational safeguarding. The importance of defam</w:t>
      </w:r>
      <w:r w:rsidR="01AD9EEE">
        <w:rPr/>
        <w:t xml:space="preserve">ation law in today’s context is also considered. </w:t>
      </w:r>
      <w:r>
        <w:br/>
      </w:r>
      <w:r w:rsidR="358D4B09">
        <w:rPr/>
        <w:t>What exactly is defamation? According to sim, (2018) if someone's reputation has taken a hit due to false claims, they can turn to the law for recourse through defamation. To succeed in a defamation case, the claimant needs to show three key things: firstly</w:t>
      </w:r>
      <w:r w:rsidR="1F4A88DB">
        <w:rPr/>
        <w:t>,</w:t>
      </w:r>
      <w:r w:rsidR="358D4B09">
        <w:rPr/>
        <w:t xml:space="preserve"> That the statement in question is defamatory, meaning it would lower their standing in the eyes of others, secondly, that the statement is clearly about them, and thirdly, that someone else has been exposed to the statement, whether through hearing or seeing it. </w:t>
      </w:r>
      <w:r>
        <w:br/>
      </w:r>
      <w:r w:rsidR="358D4B09">
        <w:rPr/>
        <w:t xml:space="preserve">According to Mullin, (2020) In a defamation case, several key defences can be utilised to counter allegations of defamatory statements. These include the defence of truth, where the defendant must </w:t>
      </w:r>
      <w:r w:rsidR="358D4B09">
        <w:rPr/>
        <w:t>demonstrate</w:t>
      </w:r>
      <w:r w:rsidR="358D4B09">
        <w:rPr/>
        <w:t xml:space="preserve"> the veracity of the statements in question, thereby justifying their accuracy. Additionally, the defence of honest opinion may be employed, which protects statements of opinion rather than fact, provided they are grounded in factual basis and not driven by malice. Furthermore, certain statements may be shielded by privilege, such as those made during judicial proceedings or parliamentary debates, </w:t>
      </w:r>
      <w:r w:rsidR="358D4B09">
        <w:rPr/>
        <w:t>rendering</w:t>
      </w:r>
      <w:r w:rsidR="358D4B09">
        <w:rPr/>
        <w:t xml:space="preserve"> them immune from defamation claims. Lastly, defendants may also rely on the public interest defence, which requires them to establish that the statement was made in the public interest and that they held a reasonable belief in its truthfulness, Defamation Act (2013) states that Libel and slander are both forms of defamation, but they differ in how the defamatory statement</w:t>
      </w:r>
      <w:r w:rsidR="7D0A2F90">
        <w:rPr/>
        <w:t xml:space="preserve"> </w:t>
      </w:r>
      <w:r w:rsidR="03376873">
        <w:rPr/>
        <w:t xml:space="preserve">is communicated. </w:t>
      </w:r>
      <w:r w:rsidR="3A294FF0">
        <w:rPr/>
        <w:t xml:space="preserve">Libel refers to written or broadcast defamation, such as in newspapers, books, </w:t>
      </w:r>
      <w:r w:rsidR="3A294FF0">
        <w:rPr/>
        <w:t>websites</w:t>
      </w:r>
      <w:r w:rsidR="3A294FF0">
        <w:rPr/>
        <w:t xml:space="preserve"> or TV, where a perm</w:t>
      </w:r>
      <w:r w:rsidR="6FB3832F">
        <w:rPr/>
        <w:t>anent record of the statement exists. Slander, on the other hand, involves spoken defamation</w:t>
      </w:r>
      <w:r w:rsidR="5A25BECE">
        <w:rPr/>
        <w:t xml:space="preserve">, like in conversations or speeches. </w:t>
      </w:r>
      <w:r w:rsidR="5A25BECE">
        <w:rPr/>
        <w:t>Generally, libel</w:t>
      </w:r>
      <w:r w:rsidR="5A25BECE">
        <w:rPr/>
        <w:t xml:space="preserve"> cases are easier to prove due to the tangible evidence available, Gatley, (202</w:t>
      </w:r>
      <w:r w:rsidR="7EFE0317">
        <w:rPr/>
        <w:t>0)</w:t>
      </w:r>
      <w:r w:rsidR="47E7B81F">
        <w:rPr/>
        <w:t xml:space="preserve"> A defamatory statement is considered libel when </w:t>
      </w:r>
      <w:r w:rsidR="47E7B81F">
        <w:rPr/>
        <w:t>it's</w:t>
      </w:r>
      <w:r w:rsidR="47E7B81F">
        <w:rPr/>
        <w:t xml:space="preserve"> in a permanent form, like written text</w:t>
      </w:r>
      <w:r w:rsidR="6F76C4A6">
        <w:rPr/>
        <w:t xml:space="preserve">, images, or even a wax figure. On the other hand, its considered slander when expressed through spoken words, gestures, or mimicry. The key difference </w:t>
      </w:r>
      <w:r w:rsidR="7A0AF085">
        <w:rPr/>
        <w:t xml:space="preserve">is </w:t>
      </w:r>
      <w:r w:rsidR="22B26497">
        <w:rPr/>
        <w:t>permeance</w:t>
      </w:r>
      <w:r w:rsidR="7A0AF085">
        <w:rPr/>
        <w:t xml:space="preserve"> versus transience. For example, dictating a defamatory letter might be slander, but once the letter is shared with som</w:t>
      </w:r>
      <w:r w:rsidR="32AEEE4A">
        <w:rPr/>
        <w:t xml:space="preserve">eone else, it becomes libel. If someone reads a libelous letter aloud to another person, they might be </w:t>
      </w:r>
      <w:r w:rsidR="7ACFC7F3">
        <w:rPr/>
        <w:t>committing</w:t>
      </w:r>
      <w:r w:rsidR="32AEEE4A">
        <w:rPr/>
        <w:t xml:space="preserve"> both libel and </w:t>
      </w:r>
      <w:r w:rsidR="34DF1292">
        <w:rPr/>
        <w:t xml:space="preserve">slander. However, a typist reading back to the content author </w:t>
      </w:r>
      <w:r w:rsidR="6CEFDBA1">
        <w:rPr/>
        <w:t>doesn't</w:t>
      </w:r>
      <w:r w:rsidR="34DF1292">
        <w:rPr/>
        <w:t xml:space="preserve"> count as publication</w:t>
      </w:r>
      <w:r w:rsidR="1D7DC17E">
        <w:rPr/>
        <w:t xml:space="preserve">, Jones, (2022). </w:t>
      </w:r>
      <w:r w:rsidR="11807ACA">
        <w:rPr/>
        <w:t>In the UK, freedom of expression is safeguarded by Article 10 of the European Convention on Human Rights</w:t>
      </w:r>
      <w:r w:rsidR="4A0E36D9">
        <w:rPr/>
        <w:t xml:space="preserve">, as incorporated into UK law by the Human Rights Act 1998. However, this right </w:t>
      </w:r>
      <w:r w:rsidR="53C77F76">
        <w:rPr/>
        <w:t>isn't</w:t>
      </w:r>
      <w:r w:rsidR="4A0E36D9">
        <w:rPr/>
        <w:t xml:space="preserve"> absolute and must be balanced a</w:t>
      </w:r>
      <w:r w:rsidR="30B61C8D">
        <w:rPr/>
        <w:t xml:space="preserve">gainst others, including the right to protect </w:t>
      </w:r>
      <w:r w:rsidR="2203B1C6">
        <w:rPr/>
        <w:t>one's</w:t>
      </w:r>
      <w:r w:rsidR="30B61C8D">
        <w:rPr/>
        <w:t xml:space="preserve"> reputation. Defamation law aims to strike a balance between free speech and preventing </w:t>
      </w:r>
      <w:r w:rsidR="7A90F1BD">
        <w:rPr/>
        <w:t xml:space="preserve">the spread of damaging falsehoods. Prior to 2013, UK defamation law was often </w:t>
      </w:r>
      <w:r w:rsidR="37928781">
        <w:rPr/>
        <w:t xml:space="preserve">criticised </w:t>
      </w:r>
      <w:r w:rsidR="7A90F1BD">
        <w:rPr/>
        <w:t>for favouring claimants and limit</w:t>
      </w:r>
      <w:r w:rsidR="6B6CC05C">
        <w:rPr/>
        <w:t xml:space="preserve">ing free speech, the Defamation Act 2013 introduced </w:t>
      </w:r>
      <w:r w:rsidR="394B4DA5">
        <w:rPr/>
        <w:t>significant</w:t>
      </w:r>
      <w:r w:rsidR="6B6CC05C">
        <w:rPr/>
        <w:t xml:space="preserve"> changes, notably requiring claimants to prove that </w:t>
      </w:r>
      <w:r w:rsidR="6B366A3C">
        <w:rPr/>
        <w:t>a statement caused or is likely to cause serious harm to reputation. For companies, this harm must be financial. This shift prevents tri</w:t>
      </w:r>
      <w:r w:rsidR="54C48C14">
        <w:rPr/>
        <w:t>vial claims and protects critics from being silenced, Barendt, (2014).</w:t>
      </w:r>
      <w:r w:rsidR="1E30D0C3">
        <w:rPr/>
        <w:t xml:space="preserve"> </w:t>
      </w:r>
      <w:r w:rsidR="1D0DBA27">
        <w:rPr/>
        <w:t xml:space="preserve">The Defamation Act 1996 provides two key defences for individuals who </w:t>
      </w:r>
      <w:r w:rsidR="3ACFE500">
        <w:rPr/>
        <w:t>aren't</w:t>
      </w:r>
      <w:r w:rsidR="1D0DBA27">
        <w:rPr/>
        <w:t xml:space="preserve"> liable for publishing defamatory statemen</w:t>
      </w:r>
      <w:r w:rsidR="29A4D77E">
        <w:rPr/>
        <w:t xml:space="preserve">ts specifically, section one offers protection for those who </w:t>
      </w:r>
      <w:r w:rsidR="29A4D77E">
        <w:rPr/>
        <w:t>aren’t</w:t>
      </w:r>
      <w:r w:rsidR="29A4D77E">
        <w:rPr/>
        <w:t xml:space="preserve"> </w:t>
      </w:r>
      <w:r w:rsidR="29A4D77E">
        <w:rPr/>
        <w:t>deemed</w:t>
      </w:r>
      <w:r w:rsidR="29A4D77E">
        <w:rPr/>
        <w:t xml:space="preserve"> the author, editor, </w:t>
      </w:r>
      <w:r w:rsidR="7E1ACF7C">
        <w:rPr/>
        <w:t xml:space="preserve">or publisher of the statement in question. To qualify for this defence, individuals must </w:t>
      </w:r>
      <w:r w:rsidR="7E1ACF7C">
        <w:rPr/>
        <w:t>demonstrate</w:t>
      </w:r>
      <w:r w:rsidR="7E1ACF7C">
        <w:rPr/>
        <w:t xml:space="preserve"> that they exercised reasonable ca</w:t>
      </w:r>
      <w:r w:rsidR="769FC763">
        <w:rPr/>
        <w:t>re in relation to the publication, Steele, (2017).</w:t>
      </w:r>
      <w:r w:rsidR="4038793C">
        <w:rPr/>
        <w:t xml:space="preserve"> </w:t>
      </w:r>
      <w:r>
        <w:br/>
      </w:r>
      <w:r w:rsidR="1592A8FC">
        <w:rPr/>
        <w:t xml:space="preserve">In the Legalisation, (1993), </w:t>
      </w:r>
      <w:r w:rsidR="301DC699">
        <w:rPr/>
        <w:t>The dissemination</w:t>
      </w:r>
      <w:r w:rsidR="1592A8FC">
        <w:rPr/>
        <w:t xml:space="preserve"> of any report or statement referenced in schedule one of this act is conside</w:t>
      </w:r>
      <w:r w:rsidR="4699DEC2">
        <w:rPr/>
        <w:t xml:space="preserve">red privileged if it is not </w:t>
      </w:r>
      <w:r w:rsidR="4699DEC2">
        <w:rPr/>
        <w:t>demonstrated</w:t>
      </w:r>
      <w:r w:rsidR="4699DEC2">
        <w:rPr/>
        <w:t xml:space="preserve"> that the publication</w:t>
      </w:r>
      <w:r w:rsidR="76266A80">
        <w:rPr/>
        <w:t xml:space="preserve"> was executed with malice</w:t>
      </w:r>
      <w:r w:rsidR="3115C963">
        <w:rPr/>
        <w:t xml:space="preserve">. </w:t>
      </w:r>
      <w:r w:rsidR="4699DEC2">
        <w:rPr/>
        <w:t xml:space="preserve">   </w:t>
      </w:r>
      <w:r>
        <w:br/>
      </w:r>
      <w:r w:rsidR="39FC3426">
        <w:rPr/>
        <w:t>Douglas</w:t>
      </w:r>
      <w:r w:rsidR="0809F920">
        <w:rPr/>
        <w:t>, and Macpherson (1997) the press plays a vital role in demo</w:t>
      </w:r>
      <w:r w:rsidR="79ABF08F">
        <w:rPr/>
        <w:t>cracy by informing citizens and holding those in po</w:t>
      </w:r>
      <w:r w:rsidR="5F8D4605">
        <w:rPr/>
        <w:t xml:space="preserve">wer accountable. However, English libel laws have hindered the press’s ability to </w:t>
      </w:r>
      <w:r w:rsidR="011F3F2D">
        <w:rPr/>
        <w:t>fulfil these duties. Despite a long-overdue</w:t>
      </w:r>
      <w:r w:rsidR="1ED189E8">
        <w:rPr/>
        <w:t xml:space="preserve"> review of defamation laws, the Defamation Act of 1996 </w:t>
      </w:r>
      <w:r w:rsidR="1ED189E8">
        <w:rPr/>
        <w:t>failed to</w:t>
      </w:r>
      <w:r w:rsidR="1ED189E8">
        <w:rPr/>
        <w:t xml:space="preserve"> adequately address these issues</w:t>
      </w:r>
      <w:r w:rsidR="74FE56E0">
        <w:rPr/>
        <w:t xml:space="preserve">. As a result, the UK’s outdated laws will have far-reaching consequences in today’s globalized world, </w:t>
      </w:r>
      <w:r w:rsidR="59C71344">
        <w:rPr/>
        <w:t>impacting</w:t>
      </w:r>
      <w:r w:rsidR="59C71344">
        <w:rPr/>
        <w:t xml:space="preserve"> not just the UK but beyond its borders.</w:t>
      </w:r>
      <w:r w:rsidR="4699DEC2">
        <w:rPr/>
        <w:t xml:space="preserve">            </w:t>
      </w:r>
      <w:r>
        <w:br/>
      </w:r>
      <w:r w:rsidR="1CF70D34">
        <w:rPr/>
        <w:t>According to Mcardle, (2021)</w:t>
      </w:r>
      <w:r w:rsidR="4699DEC2">
        <w:rPr/>
        <w:t xml:space="preserve"> </w:t>
      </w:r>
      <w:r w:rsidR="14792EED">
        <w:rPr/>
        <w:t xml:space="preserve">to </w:t>
      </w:r>
      <w:r w:rsidR="14792EED">
        <w:rPr/>
        <w:t>initiate</w:t>
      </w:r>
      <w:r w:rsidR="14792EED">
        <w:rPr/>
        <w:t xml:space="preserve"> a defamation case, it is essential that the statement in question is </w:t>
      </w:r>
      <w:r w:rsidR="14792EED">
        <w:rPr/>
        <w:t>disseminate</w:t>
      </w:r>
      <w:r w:rsidR="13F7BED5">
        <w:rPr/>
        <w:t>d</w:t>
      </w:r>
      <w:r w:rsidR="13F7BED5">
        <w:rPr/>
        <w:t xml:space="preserve"> to a broader audience rather than being confined to a limited number of individuals.</w:t>
      </w:r>
      <w:r w:rsidR="7B7A9A67">
        <w:rPr/>
        <w:t xml:space="preserve"> Publication alone does not guarantee a successful claim, a </w:t>
      </w:r>
      <w:r w:rsidR="04C53642">
        <w:rPr/>
        <w:t>various defence</w:t>
      </w:r>
      <w:r w:rsidR="7B7A9A67">
        <w:rPr/>
        <w:t xml:space="preserve"> may apply for instan</w:t>
      </w:r>
      <w:r w:rsidR="2C1DEFD9">
        <w:rPr/>
        <w:t>ce, abso</w:t>
      </w:r>
      <w:r w:rsidR="0C4F95C0">
        <w:rPr/>
        <w:t xml:space="preserve">lute </w:t>
      </w:r>
      <w:r w:rsidR="104CFC4D">
        <w:rPr/>
        <w:t>pri</w:t>
      </w:r>
      <w:r w:rsidR="7DFD6EA9">
        <w:rPr/>
        <w:t xml:space="preserve">vilege provides protection for statements made in judicial or parliamentary settings. </w:t>
      </w:r>
      <w:r w:rsidR="0E58ED12">
        <w:rPr/>
        <w:t>Similarly</w:t>
      </w:r>
      <w:r w:rsidR="108D7029">
        <w:rPr/>
        <w:t xml:space="preserve">, qualified privilege applies to statements that are </w:t>
      </w:r>
      <w:r w:rsidR="108D7029">
        <w:rPr/>
        <w:t>deemed</w:t>
      </w:r>
      <w:r w:rsidR="108D7029">
        <w:rPr/>
        <w:t xml:space="preserve"> justified, such as interactions between an employer and an employee. </w:t>
      </w:r>
      <w:r>
        <w:br/>
      </w:r>
      <w:r w:rsidR="586675DB">
        <w:rPr/>
        <w:t>The case of Ahuja v Political</w:t>
      </w:r>
      <w:r w:rsidR="3DEAC926">
        <w:rPr/>
        <w:t xml:space="preserve"> Ltd (2015), the UK high court ruled in </w:t>
      </w:r>
      <w:r w:rsidR="624F95DE">
        <w:rPr/>
        <w:t>favour</w:t>
      </w:r>
      <w:r w:rsidR="3DEAC926">
        <w:rPr/>
        <w:t xml:space="preserve"> of London</w:t>
      </w:r>
      <w:r w:rsidR="772EE1C5">
        <w:rPr/>
        <w:t xml:space="preserve"> </w:t>
      </w:r>
      <w:r w:rsidR="7AA10FF6">
        <w:rPr/>
        <w:t>property developer Vijay Ahuja in a defamation case against an online news outlet. The outlet had publis</w:t>
      </w:r>
      <w:r w:rsidR="4B786FEE">
        <w:rPr/>
        <w:t xml:space="preserve">hed false allegations linking Ahuja to corruption. The court found that these statements had or were likely to cause serious harm to </w:t>
      </w:r>
      <w:r w:rsidR="3160A976">
        <w:rPr/>
        <w:t xml:space="preserve">Ahuja's reputation, meeting the threshold set by the Defamation Act 2013. </w:t>
      </w:r>
      <w:r w:rsidR="4CEE8739">
        <w:rPr/>
        <w:t xml:space="preserve">The ruling highlights that defamation claims require proof of </w:t>
      </w:r>
      <w:r w:rsidR="1491FF6F">
        <w:rPr/>
        <w:t>significant</w:t>
      </w:r>
      <w:r w:rsidR="4CEE8739">
        <w:rPr/>
        <w:t xml:space="preserve"> harm, </w:t>
      </w:r>
      <w:r w:rsidR="601B042F">
        <w:rPr/>
        <w:t xml:space="preserve">ensuring that only substantial cases </w:t>
      </w:r>
      <w:r w:rsidR="601B042F">
        <w:rPr/>
        <w:t>proceed</w:t>
      </w:r>
      <w:r w:rsidR="601B042F">
        <w:rPr/>
        <w:t xml:space="preserve"> and safeguarding free speech,</w:t>
      </w:r>
      <w:r w:rsidR="1A8700F5">
        <w:rPr/>
        <w:t xml:space="preserve"> especially in journalism. Nonetheless, it </w:t>
      </w:r>
      <w:r w:rsidR="1A8700F5">
        <w:rPr/>
        <w:t>demonstrates</w:t>
      </w:r>
      <w:r w:rsidR="1A8700F5">
        <w:rPr/>
        <w:t xml:space="preserve"> that online publications can be held liable if</w:t>
      </w:r>
      <w:r w:rsidR="2BF789A4">
        <w:rPr/>
        <w:t xml:space="preserve"> their statements exceed fair commentary or public interest boundaries</w:t>
      </w:r>
      <w:r w:rsidR="56D2C559">
        <w:rPr/>
        <w:t>. The Ahuja case illustrates how UK courts balance reputational harm against journalistic freedom in defamation law, particu</w:t>
      </w:r>
      <w:r w:rsidR="1FD453C3">
        <w:rPr/>
        <w:t xml:space="preserve">larly in online publications concerning </w:t>
      </w:r>
      <w:r w:rsidR="40707CEF">
        <w:rPr/>
        <w:t>public</w:t>
      </w:r>
      <w:r w:rsidR="1FD453C3">
        <w:rPr/>
        <w:t xml:space="preserve"> matters. It </w:t>
      </w:r>
      <w:r w:rsidR="1FD453C3">
        <w:rPr/>
        <w:t>showcases</w:t>
      </w:r>
      <w:r w:rsidR="1FD453C3">
        <w:rPr/>
        <w:t xml:space="preserve"> the </w:t>
      </w:r>
      <w:r w:rsidR="0FBF9431">
        <w:rPr/>
        <w:t>heightened</w:t>
      </w:r>
      <w:r w:rsidR="1FD453C3">
        <w:rPr/>
        <w:t xml:space="preserve"> burden of proof </w:t>
      </w:r>
      <w:r w:rsidR="1FD453C3">
        <w:rPr/>
        <w:t>required</w:t>
      </w:r>
      <w:r w:rsidR="1FD453C3">
        <w:rPr/>
        <w:t xml:space="preserve"> for c</w:t>
      </w:r>
      <w:r w:rsidR="10613CD6">
        <w:rPr/>
        <w:t xml:space="preserve">laimants under the post-2013 law, </w:t>
      </w:r>
      <w:r w:rsidR="14D19016">
        <w:rPr/>
        <w:t>preventing</w:t>
      </w:r>
      <w:r w:rsidR="10613CD6">
        <w:rPr/>
        <w:t xml:space="preserve"> the misuse of defamation claims to silence critics without evidence of gen</w:t>
      </w:r>
      <w:r w:rsidR="578CCCF6">
        <w:rPr/>
        <w:t>uine harm.</w:t>
      </w:r>
      <w:r w:rsidR="4699DEC2">
        <w:rPr/>
        <w:t xml:space="preserve"> </w:t>
      </w:r>
      <w:r>
        <w:br/>
      </w:r>
      <w:r w:rsidR="3692E5CB">
        <w:rPr/>
        <w:t xml:space="preserve">The Defamation Act aims to strike a balance between protecting freedom of expression and safeguarding </w:t>
      </w:r>
      <w:r w:rsidR="3640FFD1">
        <w:rPr/>
        <w:t>individuals'</w:t>
      </w:r>
      <w:r w:rsidR="3692E5CB">
        <w:rPr/>
        <w:t xml:space="preserve"> reputations from </w:t>
      </w:r>
      <w:r w:rsidR="6FC6DA0E">
        <w:rPr/>
        <w:t>unjust harm. It introduces changes to defamation law and codifies common law principles to achieve this balance</w:t>
      </w:r>
      <w:r w:rsidR="2C278DAF">
        <w:rPr/>
        <w:t xml:space="preserve"> states Dawson, (2024)</w:t>
      </w:r>
      <w:r w:rsidR="1F25F0D3">
        <w:rPr/>
        <w:t xml:space="preserve"> </w:t>
      </w:r>
      <w:r w:rsidR="25CEFE02">
        <w:rPr/>
        <w:t>In summary, in the Uk defamation law plays a crucial role in safeguarding reputations while pr</w:t>
      </w:r>
      <w:r w:rsidR="27CE4B13">
        <w:rPr/>
        <w:t xml:space="preserve">otecting the right to free speech. The 2013 Defamation Act helped to strike a balance </w:t>
      </w:r>
      <w:r w:rsidR="6F015A41">
        <w:rPr/>
        <w:t>between these two competing interests. However, the rise of social media and online communication has created new challenges.</w:t>
      </w:r>
      <w:r w:rsidR="13986EA1">
        <w:rPr/>
        <w:t xml:space="preserve"> To stay effective, defamation law must continue </w:t>
      </w:r>
      <w:r w:rsidR="01A78B1D">
        <w:rPr/>
        <w:t xml:space="preserve">to evolve and adapt to the changing digital landscape. This will ensure that people can express themselves freely without </w:t>
      </w:r>
      <w:r w:rsidR="695DBAD3">
        <w:rPr/>
        <w:t>fear of unjust attacks, while also protecting them from harm to their reputation. By achieving this balance, defamation law can</w:t>
      </w:r>
      <w:r w:rsidR="16C01910">
        <w:rPr/>
        <w:t xml:space="preserve"> promote justice, accountability, and responsible communication in the digital age.</w:t>
      </w:r>
      <w:r>
        <w:br/>
      </w:r>
      <w:r>
        <w:br/>
      </w:r>
      <w:r w:rsidR="34D37142">
        <w:rPr/>
        <w:t>References.</w:t>
      </w:r>
      <w:r>
        <w:br/>
      </w:r>
      <w:r>
        <w:br/>
      </w:r>
      <w:r w:rsidR="71EC559C">
        <w:rPr/>
        <w:t>Ahuja v Political News Ltd, (2015)</w:t>
      </w:r>
      <w:r w:rsidR="471A0FF1">
        <w:rPr/>
        <w:t xml:space="preserve"> - accessed on 11</w:t>
      </w:r>
      <w:r w:rsidRPr="17D63578" w:rsidR="471A0FF1">
        <w:rPr>
          <w:vertAlign w:val="superscript"/>
        </w:rPr>
        <w:t>th</w:t>
      </w:r>
      <w:r w:rsidR="471A0FF1">
        <w:rPr/>
        <w:t xml:space="preserve"> July 2025. </w:t>
      </w:r>
      <w:r>
        <w:br/>
      </w:r>
      <w:r>
        <w:br/>
      </w:r>
      <w:r w:rsidR="6A1C0D36">
        <w:rPr/>
        <w:t>Barendt, E (2014). Freedom of speech, 2</w:t>
      </w:r>
      <w:r w:rsidRPr="17D63578" w:rsidR="6A1C0D36">
        <w:rPr>
          <w:vertAlign w:val="superscript"/>
        </w:rPr>
        <w:t>nd</w:t>
      </w:r>
      <w:r w:rsidR="6A1C0D36">
        <w:rPr/>
        <w:t xml:space="preserve"> ed. Oxford: Oxford University Press.</w:t>
      </w:r>
      <w:r>
        <w:br/>
      </w:r>
      <w:r>
        <w:br/>
      </w:r>
      <w:r w:rsidR="2ABB282F">
        <w:rPr/>
        <w:t>Dawson, (2024). The Defamation Act 2013. Home affairs section</w:t>
      </w:r>
      <w:r w:rsidR="3370247F">
        <w:rPr/>
        <w:t xml:space="preserve"> – accessed om 10</w:t>
      </w:r>
      <w:r w:rsidRPr="17D63578" w:rsidR="3370247F">
        <w:rPr>
          <w:vertAlign w:val="superscript"/>
        </w:rPr>
        <w:t>th</w:t>
      </w:r>
      <w:r w:rsidR="3370247F">
        <w:rPr/>
        <w:t xml:space="preserve"> July 2025</w:t>
      </w:r>
      <w:r w:rsidR="7AE2FCA8">
        <w:rPr/>
        <w:t>.</w:t>
      </w:r>
      <w:r>
        <w:br/>
      </w:r>
      <w:r>
        <w:br/>
      </w:r>
      <w:r w:rsidR="4F9ECF9B">
        <w:rPr/>
        <w:t>Defamation Act (1993). London: stationery office – accessed on 6</w:t>
      </w:r>
      <w:r w:rsidRPr="17D63578" w:rsidR="4F9ECF9B">
        <w:rPr>
          <w:vertAlign w:val="superscript"/>
        </w:rPr>
        <w:t>th</w:t>
      </w:r>
      <w:r w:rsidR="4F9ECF9B">
        <w:rPr/>
        <w:t xml:space="preserve"> July 2025.</w:t>
      </w:r>
      <w:r>
        <w:br/>
      </w:r>
      <w:r>
        <w:br/>
      </w:r>
      <w:r w:rsidR="25B0C937">
        <w:rPr/>
        <w:t>Douglas, G. and Macpherson, A (1997). The Law of Torts. Harlow: Longman.</w:t>
      </w:r>
      <w:r>
        <w:br/>
      </w:r>
      <w:r>
        <w:br/>
      </w:r>
      <w:r w:rsidR="77382B44">
        <w:rPr/>
        <w:t>Gatley, P (2022). Gatley on Copyright. 15</w:t>
      </w:r>
      <w:r w:rsidRPr="17D63578" w:rsidR="77382B44">
        <w:rPr>
          <w:vertAlign w:val="superscript"/>
        </w:rPr>
        <w:t>th</w:t>
      </w:r>
      <w:r w:rsidR="77382B44">
        <w:rPr/>
        <w:t xml:space="preserve"> ed. London:</w:t>
      </w:r>
      <w:r w:rsidR="3BBA5726">
        <w:rPr/>
        <w:t xml:space="preserve"> S</w:t>
      </w:r>
      <w:r w:rsidR="77382B44">
        <w:rPr/>
        <w:t xml:space="preserve">weet &amp; </w:t>
      </w:r>
      <w:r w:rsidR="26B6E023">
        <w:rPr/>
        <w:t xml:space="preserve">Maxwell. </w:t>
      </w:r>
      <w:r>
        <w:br/>
      </w:r>
      <w:r>
        <w:br/>
      </w:r>
      <w:r w:rsidR="180A483F">
        <w:rPr/>
        <w:t>Jones,</w:t>
      </w:r>
      <w:r w:rsidR="0D1E99C7">
        <w:rPr/>
        <w:t xml:space="preserve"> (2022) Tort Law. 1</w:t>
      </w:r>
      <w:r w:rsidRPr="17D63578" w:rsidR="0D1E99C7">
        <w:rPr>
          <w:vertAlign w:val="superscript"/>
        </w:rPr>
        <w:t>st</w:t>
      </w:r>
      <w:r w:rsidR="0D1E99C7">
        <w:rPr/>
        <w:t xml:space="preserve"> ed. Oxford: Oxford University Press.</w:t>
      </w:r>
      <w:r>
        <w:br/>
      </w:r>
      <w:r>
        <w:br/>
      </w:r>
      <w:r w:rsidR="5DE94466">
        <w:rPr/>
        <w:t>Legislation, (1993). - Accessed on 8</w:t>
      </w:r>
      <w:r w:rsidRPr="17D63578" w:rsidR="5DE94466">
        <w:rPr>
          <w:vertAlign w:val="superscript"/>
        </w:rPr>
        <w:t>th</w:t>
      </w:r>
      <w:r w:rsidR="5DE94466">
        <w:rPr/>
        <w:t xml:space="preserve"> </w:t>
      </w:r>
      <w:r w:rsidR="0E97F00C">
        <w:rPr/>
        <w:t>July 2025</w:t>
      </w:r>
      <w:r>
        <w:br/>
      </w:r>
      <w:r>
        <w:br/>
      </w:r>
      <w:r w:rsidR="06A72372">
        <w:rPr/>
        <w:t>Mcardle</w:t>
      </w:r>
      <w:r w:rsidR="5D6CF8AC">
        <w:rPr/>
        <w:t xml:space="preserve"> </w:t>
      </w:r>
      <w:r w:rsidR="06A72372">
        <w:rPr/>
        <w:t>(2021). Tort Law, 12</w:t>
      </w:r>
      <w:r w:rsidRPr="17D63578" w:rsidR="06A72372">
        <w:rPr>
          <w:vertAlign w:val="superscript"/>
        </w:rPr>
        <w:t>th</w:t>
      </w:r>
      <w:r w:rsidR="06A72372">
        <w:rPr/>
        <w:t xml:space="preserve"> ed. Harlow: Pearson Education.</w:t>
      </w:r>
      <w:r>
        <w:br/>
      </w:r>
      <w:r>
        <w:br/>
      </w:r>
      <w:r w:rsidR="213785D8">
        <w:rPr/>
        <w:t>Mullin</w:t>
      </w:r>
      <w:r w:rsidR="72E4C417">
        <w:rPr/>
        <w:t xml:space="preserve">, R (2020). On libel &amp; slander – </w:t>
      </w:r>
      <w:r w:rsidR="72E4C417">
        <w:rPr/>
        <w:t>Accessed</w:t>
      </w:r>
      <w:r w:rsidR="72E4C417">
        <w:rPr/>
        <w:t xml:space="preserve"> on 5</w:t>
      </w:r>
      <w:r w:rsidRPr="17D63578" w:rsidR="72E4C417">
        <w:rPr>
          <w:vertAlign w:val="superscript"/>
        </w:rPr>
        <w:t>th</w:t>
      </w:r>
      <w:r w:rsidR="72E4C417">
        <w:rPr/>
        <w:t xml:space="preserve"> July 2025.</w:t>
      </w:r>
      <w:r>
        <w:br/>
      </w:r>
      <w:r>
        <w:br/>
      </w:r>
      <w:r w:rsidR="651385BC">
        <w:rPr/>
        <w:t>Sim, M (2018). Tort Law. 13</w:t>
      </w:r>
      <w:r w:rsidRPr="17D63578" w:rsidR="651385BC">
        <w:rPr>
          <w:vertAlign w:val="superscript"/>
        </w:rPr>
        <w:t>th</w:t>
      </w:r>
      <w:r w:rsidR="651385BC">
        <w:rPr/>
        <w:t xml:space="preserve"> ed. Oxford: Oxford University Press. </w:t>
      </w:r>
      <w:r>
        <w:br/>
      </w:r>
      <w:r>
        <w:br/>
      </w:r>
      <w:r w:rsidR="53A20FB0">
        <w:rPr/>
        <w:t>Steele, J (2017) Tort Law. 4</w:t>
      </w:r>
      <w:r w:rsidRPr="17D63578" w:rsidR="53A20FB0">
        <w:rPr>
          <w:vertAlign w:val="superscript"/>
        </w:rPr>
        <w:t>th</w:t>
      </w:r>
      <w:r w:rsidR="53A20FB0">
        <w:rPr/>
        <w:t xml:space="preserve"> ed. Oxford: Oxford University Press. </w:t>
      </w:r>
      <w:r>
        <w:br/>
      </w:r>
      <w:r>
        <w:br/>
      </w:r>
      <w:r>
        <w:br/>
      </w:r>
      <w:r>
        <w:br/>
      </w:r>
      <w:r>
        <w:br/>
      </w:r>
      <w:r>
        <w:br/>
      </w:r>
      <w:r>
        <w:br/>
      </w:r>
      <w:r>
        <w:br/>
      </w:r>
      <w:r>
        <w:br/>
      </w:r>
      <w:r>
        <w:br/>
      </w:r>
      <w:r>
        <w:br/>
      </w:r>
      <w:r>
        <w:br/>
      </w:r>
      <w:r w:rsidR="4699DEC2">
        <w:rPr/>
        <w:t xml:space="preserve">            </w:t>
      </w:r>
      <w:r>
        <w:br/>
      </w:r>
      <w:r>
        <w:br/>
      </w:r>
      <w:r>
        <w:br/>
      </w:r>
      <w:r w:rsidR="49F6954C">
        <w:rPr/>
        <w:t xml:space="preserve">  </w:t>
      </w:r>
      <w:r w:rsidR="5818F1C1">
        <w:rPr/>
        <w:t xml:space="preserve">                                                                                                                                                                                                                                                                                                                                                                             </w:t>
      </w:r>
      <w:r>
        <w:br/>
      </w:r>
      <w:r w:rsidR="52A31BEE">
        <w:rPr/>
        <w:t xml:space="preserve">                                                               </w:t>
      </w:r>
    </w:p>
    <w:p xmlns:wp14="http://schemas.microsoft.com/office/word/2010/wordml" w:rsidP="1FDF3672" wp14:paraId="3A668189" wp14:textId="3105859B">
      <w:pPr>
        <w:pStyle w:val="Normal"/>
      </w:pPr>
    </w:p>
    <w:p xmlns:wp14="http://schemas.microsoft.com/office/word/2010/wordml" wp14:paraId="5E5787A5" wp14:textId="4DB64CBB">
      <w:r>
        <w:br/>
      </w:r>
      <w:r>
        <w:br/>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C0852F"/>
    <w:rsid w:val="006F6D95"/>
    <w:rsid w:val="009564C0"/>
    <w:rsid w:val="011F3F2D"/>
    <w:rsid w:val="01624147"/>
    <w:rsid w:val="01A70D4C"/>
    <w:rsid w:val="01A78B1D"/>
    <w:rsid w:val="01AD9EEE"/>
    <w:rsid w:val="02B7DDFE"/>
    <w:rsid w:val="03376873"/>
    <w:rsid w:val="0358CB9D"/>
    <w:rsid w:val="03B9C931"/>
    <w:rsid w:val="03D8134B"/>
    <w:rsid w:val="046570D5"/>
    <w:rsid w:val="04C53642"/>
    <w:rsid w:val="051C1811"/>
    <w:rsid w:val="062918D5"/>
    <w:rsid w:val="06447F37"/>
    <w:rsid w:val="064F2648"/>
    <w:rsid w:val="067286C9"/>
    <w:rsid w:val="06990D01"/>
    <w:rsid w:val="06A72372"/>
    <w:rsid w:val="06D4CD21"/>
    <w:rsid w:val="0732C2AA"/>
    <w:rsid w:val="07377513"/>
    <w:rsid w:val="073C63AA"/>
    <w:rsid w:val="075D56D2"/>
    <w:rsid w:val="077A3E91"/>
    <w:rsid w:val="0809F920"/>
    <w:rsid w:val="083EF520"/>
    <w:rsid w:val="0870EF4D"/>
    <w:rsid w:val="09EFDAA9"/>
    <w:rsid w:val="0A74891A"/>
    <w:rsid w:val="0B389607"/>
    <w:rsid w:val="0B8D994E"/>
    <w:rsid w:val="0BA9E4F2"/>
    <w:rsid w:val="0BB2D4B5"/>
    <w:rsid w:val="0BFECD75"/>
    <w:rsid w:val="0C4F95C0"/>
    <w:rsid w:val="0CA6E5C9"/>
    <w:rsid w:val="0D1E99C7"/>
    <w:rsid w:val="0E58ED12"/>
    <w:rsid w:val="0E7637D3"/>
    <w:rsid w:val="0E8A80B0"/>
    <w:rsid w:val="0E97F00C"/>
    <w:rsid w:val="0EE2EE52"/>
    <w:rsid w:val="0FB70343"/>
    <w:rsid w:val="0FBF9431"/>
    <w:rsid w:val="100705AF"/>
    <w:rsid w:val="10264037"/>
    <w:rsid w:val="104CFC4D"/>
    <w:rsid w:val="10613CD6"/>
    <w:rsid w:val="108D7029"/>
    <w:rsid w:val="113D4792"/>
    <w:rsid w:val="114D5667"/>
    <w:rsid w:val="11807ACA"/>
    <w:rsid w:val="121EC1A8"/>
    <w:rsid w:val="12C7913C"/>
    <w:rsid w:val="12D02848"/>
    <w:rsid w:val="12D2D5BA"/>
    <w:rsid w:val="13986EA1"/>
    <w:rsid w:val="13B2838A"/>
    <w:rsid w:val="13B94AEC"/>
    <w:rsid w:val="13F7BED5"/>
    <w:rsid w:val="141A3A0F"/>
    <w:rsid w:val="143CF174"/>
    <w:rsid w:val="14792EED"/>
    <w:rsid w:val="1491FF6F"/>
    <w:rsid w:val="1498EC73"/>
    <w:rsid w:val="14A33047"/>
    <w:rsid w:val="14B4B977"/>
    <w:rsid w:val="14D19016"/>
    <w:rsid w:val="152DF1B2"/>
    <w:rsid w:val="1592A8FC"/>
    <w:rsid w:val="16732A23"/>
    <w:rsid w:val="16959658"/>
    <w:rsid w:val="16AD8929"/>
    <w:rsid w:val="16C01910"/>
    <w:rsid w:val="16D6E68E"/>
    <w:rsid w:val="16DEAD3B"/>
    <w:rsid w:val="178F7A9F"/>
    <w:rsid w:val="17C0852F"/>
    <w:rsid w:val="17D63578"/>
    <w:rsid w:val="180A483F"/>
    <w:rsid w:val="18261713"/>
    <w:rsid w:val="184AD56B"/>
    <w:rsid w:val="197BE680"/>
    <w:rsid w:val="19C918CC"/>
    <w:rsid w:val="19EC0216"/>
    <w:rsid w:val="19F046ED"/>
    <w:rsid w:val="1A8700F5"/>
    <w:rsid w:val="1B21BEAF"/>
    <w:rsid w:val="1BD33862"/>
    <w:rsid w:val="1C5D37BF"/>
    <w:rsid w:val="1C78DFE5"/>
    <w:rsid w:val="1C97BFE8"/>
    <w:rsid w:val="1CF70D34"/>
    <w:rsid w:val="1D0DBA27"/>
    <w:rsid w:val="1D7DC17E"/>
    <w:rsid w:val="1D9BA5BA"/>
    <w:rsid w:val="1DFCC95C"/>
    <w:rsid w:val="1E30D0C3"/>
    <w:rsid w:val="1ED189E8"/>
    <w:rsid w:val="1F20412A"/>
    <w:rsid w:val="1F25F0D3"/>
    <w:rsid w:val="1F4A88DB"/>
    <w:rsid w:val="1FD453C3"/>
    <w:rsid w:val="1FDF3672"/>
    <w:rsid w:val="213785D8"/>
    <w:rsid w:val="2183E333"/>
    <w:rsid w:val="21864C32"/>
    <w:rsid w:val="2203B1C6"/>
    <w:rsid w:val="22219F83"/>
    <w:rsid w:val="22B26497"/>
    <w:rsid w:val="2329F6CE"/>
    <w:rsid w:val="238AC66E"/>
    <w:rsid w:val="23F972CC"/>
    <w:rsid w:val="248AF472"/>
    <w:rsid w:val="24B54713"/>
    <w:rsid w:val="2549EE12"/>
    <w:rsid w:val="256403AD"/>
    <w:rsid w:val="25B0C937"/>
    <w:rsid w:val="25C28647"/>
    <w:rsid w:val="25CEFE02"/>
    <w:rsid w:val="25D48697"/>
    <w:rsid w:val="26B6E023"/>
    <w:rsid w:val="27513961"/>
    <w:rsid w:val="27CE4B13"/>
    <w:rsid w:val="283808C3"/>
    <w:rsid w:val="284977D7"/>
    <w:rsid w:val="2912A35F"/>
    <w:rsid w:val="297E46B4"/>
    <w:rsid w:val="29A4D77E"/>
    <w:rsid w:val="29C5FAB7"/>
    <w:rsid w:val="29F98D74"/>
    <w:rsid w:val="2A0F1F18"/>
    <w:rsid w:val="2A4E2E31"/>
    <w:rsid w:val="2ABB282F"/>
    <w:rsid w:val="2ACDF740"/>
    <w:rsid w:val="2B7B1FDD"/>
    <w:rsid w:val="2BF789A4"/>
    <w:rsid w:val="2C1DEFD9"/>
    <w:rsid w:val="2C278DAF"/>
    <w:rsid w:val="2CA1AFA1"/>
    <w:rsid w:val="2D1C4448"/>
    <w:rsid w:val="2EB09912"/>
    <w:rsid w:val="2F47A600"/>
    <w:rsid w:val="2FEC3314"/>
    <w:rsid w:val="301DC699"/>
    <w:rsid w:val="30B61C8D"/>
    <w:rsid w:val="3115C963"/>
    <w:rsid w:val="313249C2"/>
    <w:rsid w:val="3160A976"/>
    <w:rsid w:val="31F8BCEE"/>
    <w:rsid w:val="3203B0B9"/>
    <w:rsid w:val="323A6448"/>
    <w:rsid w:val="323DE858"/>
    <w:rsid w:val="3253DB9D"/>
    <w:rsid w:val="325B94AD"/>
    <w:rsid w:val="32AEEE4A"/>
    <w:rsid w:val="32DC4B36"/>
    <w:rsid w:val="33408032"/>
    <w:rsid w:val="3348B3FE"/>
    <w:rsid w:val="33519788"/>
    <w:rsid w:val="3370247F"/>
    <w:rsid w:val="33A09775"/>
    <w:rsid w:val="33FAAE58"/>
    <w:rsid w:val="345F7E91"/>
    <w:rsid w:val="34D37142"/>
    <w:rsid w:val="34DF1292"/>
    <w:rsid w:val="358B6CD1"/>
    <w:rsid w:val="358D4B09"/>
    <w:rsid w:val="3640FFD1"/>
    <w:rsid w:val="3641724C"/>
    <w:rsid w:val="368587D0"/>
    <w:rsid w:val="3692E5CB"/>
    <w:rsid w:val="369EDC99"/>
    <w:rsid w:val="36C5E1C8"/>
    <w:rsid w:val="36D778C0"/>
    <w:rsid w:val="36E0A215"/>
    <w:rsid w:val="3785C549"/>
    <w:rsid w:val="37928781"/>
    <w:rsid w:val="383D4204"/>
    <w:rsid w:val="391E1523"/>
    <w:rsid w:val="3920D8EE"/>
    <w:rsid w:val="392337A0"/>
    <w:rsid w:val="394B4DA5"/>
    <w:rsid w:val="398A23BC"/>
    <w:rsid w:val="39A0A283"/>
    <w:rsid w:val="39DCCEE1"/>
    <w:rsid w:val="39EB729F"/>
    <w:rsid w:val="39FC3426"/>
    <w:rsid w:val="3A294FF0"/>
    <w:rsid w:val="3A3FA5FD"/>
    <w:rsid w:val="3A4EA100"/>
    <w:rsid w:val="3A5AFF59"/>
    <w:rsid w:val="3AA02E94"/>
    <w:rsid w:val="3AA90A7C"/>
    <w:rsid w:val="3AB0E7FD"/>
    <w:rsid w:val="3ACFE500"/>
    <w:rsid w:val="3BBA5726"/>
    <w:rsid w:val="3BC4204A"/>
    <w:rsid w:val="3BCB0935"/>
    <w:rsid w:val="3CCD7AB2"/>
    <w:rsid w:val="3DBDD1BA"/>
    <w:rsid w:val="3DEAC926"/>
    <w:rsid w:val="3E03D150"/>
    <w:rsid w:val="3E2300AB"/>
    <w:rsid w:val="3E3D4F52"/>
    <w:rsid w:val="3EC19498"/>
    <w:rsid w:val="3F572C3D"/>
    <w:rsid w:val="3F75AED5"/>
    <w:rsid w:val="3FA18E9C"/>
    <w:rsid w:val="3FC1A946"/>
    <w:rsid w:val="3FCE2DB0"/>
    <w:rsid w:val="3FFE0074"/>
    <w:rsid w:val="4038793C"/>
    <w:rsid w:val="40707CEF"/>
    <w:rsid w:val="40916C2F"/>
    <w:rsid w:val="41ADB8A8"/>
    <w:rsid w:val="41B9E121"/>
    <w:rsid w:val="41F81DC9"/>
    <w:rsid w:val="4226EE0B"/>
    <w:rsid w:val="42345AFB"/>
    <w:rsid w:val="425BF84A"/>
    <w:rsid w:val="4279780B"/>
    <w:rsid w:val="4282F348"/>
    <w:rsid w:val="42A67DAE"/>
    <w:rsid w:val="42C1FF4B"/>
    <w:rsid w:val="42D73C43"/>
    <w:rsid w:val="43B45965"/>
    <w:rsid w:val="43F1C44D"/>
    <w:rsid w:val="44051C91"/>
    <w:rsid w:val="4446D621"/>
    <w:rsid w:val="446BCC4E"/>
    <w:rsid w:val="44B084BB"/>
    <w:rsid w:val="44E4FA53"/>
    <w:rsid w:val="452AB694"/>
    <w:rsid w:val="454AEAD5"/>
    <w:rsid w:val="4567D871"/>
    <w:rsid w:val="463104DF"/>
    <w:rsid w:val="468892F3"/>
    <w:rsid w:val="4699DEC2"/>
    <w:rsid w:val="46D61AC1"/>
    <w:rsid w:val="471A0FF1"/>
    <w:rsid w:val="47E7B81F"/>
    <w:rsid w:val="480E4766"/>
    <w:rsid w:val="480F9704"/>
    <w:rsid w:val="482FFD03"/>
    <w:rsid w:val="486AD63D"/>
    <w:rsid w:val="49547F95"/>
    <w:rsid w:val="4962AD29"/>
    <w:rsid w:val="497ECF54"/>
    <w:rsid w:val="49F6954C"/>
    <w:rsid w:val="4A0E36D9"/>
    <w:rsid w:val="4A2B4F90"/>
    <w:rsid w:val="4B019010"/>
    <w:rsid w:val="4B421A90"/>
    <w:rsid w:val="4B786FEE"/>
    <w:rsid w:val="4B98B8D8"/>
    <w:rsid w:val="4BC74238"/>
    <w:rsid w:val="4C02437F"/>
    <w:rsid w:val="4C0E9F74"/>
    <w:rsid w:val="4C37EB18"/>
    <w:rsid w:val="4C3F0E8E"/>
    <w:rsid w:val="4CEE8739"/>
    <w:rsid w:val="4D025E85"/>
    <w:rsid w:val="4D475CFE"/>
    <w:rsid w:val="4D757FB3"/>
    <w:rsid w:val="4E189237"/>
    <w:rsid w:val="4EAC1616"/>
    <w:rsid w:val="4EC89143"/>
    <w:rsid w:val="4EE8A9B6"/>
    <w:rsid w:val="4EF4769C"/>
    <w:rsid w:val="4F08F1B9"/>
    <w:rsid w:val="4F9ECF9B"/>
    <w:rsid w:val="5033EB8D"/>
    <w:rsid w:val="5074E2EB"/>
    <w:rsid w:val="50ABF2A6"/>
    <w:rsid w:val="50AC5029"/>
    <w:rsid w:val="50ACD7AE"/>
    <w:rsid w:val="50F4C216"/>
    <w:rsid w:val="521B7FDD"/>
    <w:rsid w:val="523AF8CC"/>
    <w:rsid w:val="526C13D8"/>
    <w:rsid w:val="52A31BEE"/>
    <w:rsid w:val="52F99A4B"/>
    <w:rsid w:val="53214813"/>
    <w:rsid w:val="5337B375"/>
    <w:rsid w:val="5367E602"/>
    <w:rsid w:val="5386B80B"/>
    <w:rsid w:val="53A20FB0"/>
    <w:rsid w:val="53C77F76"/>
    <w:rsid w:val="54593D9F"/>
    <w:rsid w:val="54C48C14"/>
    <w:rsid w:val="5516D7AF"/>
    <w:rsid w:val="5550E4CF"/>
    <w:rsid w:val="55975E94"/>
    <w:rsid w:val="564BE72D"/>
    <w:rsid w:val="56A14DC5"/>
    <w:rsid w:val="56D2C559"/>
    <w:rsid w:val="571F6E4A"/>
    <w:rsid w:val="578CCCF6"/>
    <w:rsid w:val="5816839C"/>
    <w:rsid w:val="5818F1C1"/>
    <w:rsid w:val="583AF46E"/>
    <w:rsid w:val="586675DB"/>
    <w:rsid w:val="5884D953"/>
    <w:rsid w:val="58CC2E65"/>
    <w:rsid w:val="59C71344"/>
    <w:rsid w:val="5A25BECE"/>
    <w:rsid w:val="5A4259B2"/>
    <w:rsid w:val="5A5231BB"/>
    <w:rsid w:val="5AC1F088"/>
    <w:rsid w:val="5AD3F994"/>
    <w:rsid w:val="5AF0E6BD"/>
    <w:rsid w:val="5BA148D6"/>
    <w:rsid w:val="5CA00DF3"/>
    <w:rsid w:val="5D6CF8AC"/>
    <w:rsid w:val="5DE94466"/>
    <w:rsid w:val="5E498E53"/>
    <w:rsid w:val="5E545782"/>
    <w:rsid w:val="5E561A16"/>
    <w:rsid w:val="5F088110"/>
    <w:rsid w:val="5F8D4605"/>
    <w:rsid w:val="5FF599B1"/>
    <w:rsid w:val="601B042F"/>
    <w:rsid w:val="603C220A"/>
    <w:rsid w:val="60930489"/>
    <w:rsid w:val="610D7764"/>
    <w:rsid w:val="6158B8DB"/>
    <w:rsid w:val="61F70A69"/>
    <w:rsid w:val="62101ADD"/>
    <w:rsid w:val="624F95DE"/>
    <w:rsid w:val="629E8541"/>
    <w:rsid w:val="62E3C519"/>
    <w:rsid w:val="6302FA5D"/>
    <w:rsid w:val="6355FDFD"/>
    <w:rsid w:val="6490888F"/>
    <w:rsid w:val="64C1501D"/>
    <w:rsid w:val="64D85739"/>
    <w:rsid w:val="651385BC"/>
    <w:rsid w:val="655032C9"/>
    <w:rsid w:val="6555E5FE"/>
    <w:rsid w:val="66215711"/>
    <w:rsid w:val="66C5B3C1"/>
    <w:rsid w:val="66D1F437"/>
    <w:rsid w:val="67836819"/>
    <w:rsid w:val="67AC291A"/>
    <w:rsid w:val="6820A27F"/>
    <w:rsid w:val="68AC41B9"/>
    <w:rsid w:val="68B062E0"/>
    <w:rsid w:val="695DBAD3"/>
    <w:rsid w:val="6A1C0D36"/>
    <w:rsid w:val="6A5BB044"/>
    <w:rsid w:val="6AE998F1"/>
    <w:rsid w:val="6B366A3C"/>
    <w:rsid w:val="6B6CC05C"/>
    <w:rsid w:val="6BEC59B7"/>
    <w:rsid w:val="6C03E00B"/>
    <w:rsid w:val="6C76AE4A"/>
    <w:rsid w:val="6CE26E65"/>
    <w:rsid w:val="6CEFDBA1"/>
    <w:rsid w:val="6D1E7F8C"/>
    <w:rsid w:val="6D6D03F3"/>
    <w:rsid w:val="6D77A026"/>
    <w:rsid w:val="6DC184D0"/>
    <w:rsid w:val="6E1F03A4"/>
    <w:rsid w:val="6E3E4E9F"/>
    <w:rsid w:val="6ED7B9E8"/>
    <w:rsid w:val="6EF090A2"/>
    <w:rsid w:val="6F015A41"/>
    <w:rsid w:val="6F18BBF9"/>
    <w:rsid w:val="6F5268F9"/>
    <w:rsid w:val="6F5E2D78"/>
    <w:rsid w:val="6F5E6785"/>
    <w:rsid w:val="6F76087D"/>
    <w:rsid w:val="6F76C4A6"/>
    <w:rsid w:val="6F9891B5"/>
    <w:rsid w:val="6FB1C8BB"/>
    <w:rsid w:val="6FB3832F"/>
    <w:rsid w:val="6FC6DA0E"/>
    <w:rsid w:val="6FC86BB7"/>
    <w:rsid w:val="6FD5DBC1"/>
    <w:rsid w:val="6FDA9C20"/>
    <w:rsid w:val="700EBA7F"/>
    <w:rsid w:val="70BA128B"/>
    <w:rsid w:val="7117C2B5"/>
    <w:rsid w:val="71D8D0B3"/>
    <w:rsid w:val="71EC559C"/>
    <w:rsid w:val="72A70482"/>
    <w:rsid w:val="72E4C417"/>
    <w:rsid w:val="732833E8"/>
    <w:rsid w:val="733EB687"/>
    <w:rsid w:val="736B9681"/>
    <w:rsid w:val="7420287D"/>
    <w:rsid w:val="74995A0C"/>
    <w:rsid w:val="74A8EEED"/>
    <w:rsid w:val="74B52C7D"/>
    <w:rsid w:val="74FE56E0"/>
    <w:rsid w:val="7500F520"/>
    <w:rsid w:val="757E3B5B"/>
    <w:rsid w:val="75C35428"/>
    <w:rsid w:val="761572E9"/>
    <w:rsid w:val="761EEC25"/>
    <w:rsid w:val="76266A80"/>
    <w:rsid w:val="765773FD"/>
    <w:rsid w:val="769FC763"/>
    <w:rsid w:val="7713B042"/>
    <w:rsid w:val="772EE1C5"/>
    <w:rsid w:val="77382B44"/>
    <w:rsid w:val="7751E4D7"/>
    <w:rsid w:val="77622E6A"/>
    <w:rsid w:val="77FDA7A6"/>
    <w:rsid w:val="78013969"/>
    <w:rsid w:val="7837FA31"/>
    <w:rsid w:val="787E89FE"/>
    <w:rsid w:val="78CD0FF2"/>
    <w:rsid w:val="7968FB88"/>
    <w:rsid w:val="796F49BA"/>
    <w:rsid w:val="79ABF08F"/>
    <w:rsid w:val="79ED0F4B"/>
    <w:rsid w:val="7A0AF085"/>
    <w:rsid w:val="7A90F1BD"/>
    <w:rsid w:val="7AA10FF6"/>
    <w:rsid w:val="7AB1DB81"/>
    <w:rsid w:val="7ACFC7F3"/>
    <w:rsid w:val="7AE2FCA8"/>
    <w:rsid w:val="7B0B45CF"/>
    <w:rsid w:val="7B7A9A67"/>
    <w:rsid w:val="7B98EBFB"/>
    <w:rsid w:val="7BFA1957"/>
    <w:rsid w:val="7C28DCA6"/>
    <w:rsid w:val="7C725178"/>
    <w:rsid w:val="7CB960A5"/>
    <w:rsid w:val="7D0A2F90"/>
    <w:rsid w:val="7D3B7A49"/>
    <w:rsid w:val="7D3B8E1E"/>
    <w:rsid w:val="7DE51D94"/>
    <w:rsid w:val="7DFD6EA9"/>
    <w:rsid w:val="7E1ACF7C"/>
    <w:rsid w:val="7E1F0DA2"/>
    <w:rsid w:val="7EACCD17"/>
    <w:rsid w:val="7EFE0317"/>
    <w:rsid w:val="7F93DD12"/>
    <w:rsid w:val="7FBE36F2"/>
    <w:rsid w:val="7FC992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0852F"/>
  <w15:chartTrackingRefBased/>
  <w15:docId w15:val="{8B3F481E-5361-42EE-A875-BCD24A70AC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Harlee Campbell (2411343)</dc:creator>
  <keywords/>
  <dc:description/>
  <lastModifiedBy>Harlee Campbell (2411343)</lastModifiedBy>
  <revision>6</revision>
  <dcterms:created xsi:type="dcterms:W3CDTF">2025-04-29T18:45:15.1130377Z</dcterms:created>
  <dcterms:modified xsi:type="dcterms:W3CDTF">2025-07-17T12:24:22.8644592Z</dcterms:modified>
</coreProperties>
</file>