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A9A5B" w14:textId="1422CAFD" w:rsidR="003D0D6B" w:rsidRDefault="003D0D6B" w:rsidP="003D0D6B">
      <w:pPr>
        <w:jc w:val="center"/>
        <w:rPr>
          <w:rFonts w:ascii="Arial" w:hAnsi="Arial" w:cs="Arial"/>
          <w:b/>
          <w:bCs/>
          <w:sz w:val="32"/>
          <w:szCs w:val="32"/>
        </w:rPr>
      </w:pPr>
      <w:r>
        <w:rPr>
          <w:rFonts w:ascii="Arial" w:hAnsi="Arial" w:cs="Arial"/>
          <w:b/>
          <w:bCs/>
          <w:sz w:val="32"/>
          <w:szCs w:val="32"/>
        </w:rPr>
        <w:t xml:space="preserve">Name: </w:t>
      </w:r>
      <w:r w:rsidR="00153E5D">
        <w:rPr>
          <w:rFonts w:ascii="Arial" w:hAnsi="Arial" w:cs="Arial"/>
          <w:b/>
          <w:bCs/>
          <w:sz w:val="32"/>
          <w:szCs w:val="32"/>
        </w:rPr>
        <w:t>Samina Nazir</w:t>
      </w:r>
    </w:p>
    <w:p w14:paraId="6B406B00" w14:textId="47937C8C" w:rsidR="003D0D6B" w:rsidRPr="00105C97" w:rsidRDefault="003D0D6B" w:rsidP="003D0D6B">
      <w:pPr>
        <w:jc w:val="center"/>
        <w:rPr>
          <w:rFonts w:ascii="Arial" w:hAnsi="Arial" w:cs="Arial"/>
          <w:b/>
          <w:bCs/>
          <w:sz w:val="32"/>
          <w:szCs w:val="32"/>
        </w:rPr>
      </w:pPr>
      <w:r>
        <w:rPr>
          <w:rFonts w:ascii="Arial" w:hAnsi="Arial" w:cs="Arial"/>
          <w:b/>
          <w:bCs/>
          <w:sz w:val="32"/>
          <w:szCs w:val="32"/>
        </w:rPr>
        <w:t xml:space="preserve">Student Number: </w:t>
      </w:r>
      <w:r w:rsidR="006C35BB" w:rsidRPr="006C35BB">
        <w:rPr>
          <w:rFonts w:ascii="Arial" w:hAnsi="Arial" w:cs="Arial"/>
          <w:b/>
          <w:bCs/>
          <w:sz w:val="32"/>
          <w:szCs w:val="32"/>
        </w:rPr>
        <w:t>2215433</w:t>
      </w:r>
    </w:p>
    <w:p w14:paraId="2155C5F4" w14:textId="77777777" w:rsidR="003D0D6B" w:rsidRPr="00105C97" w:rsidRDefault="003D0D6B" w:rsidP="003D0D6B">
      <w:pPr>
        <w:spacing w:line="278" w:lineRule="auto"/>
        <w:jc w:val="center"/>
        <w:rPr>
          <w:b/>
          <w:bCs/>
          <w:sz w:val="32"/>
          <w:szCs w:val="32"/>
        </w:rPr>
      </w:pPr>
      <w:r w:rsidRPr="00105C97">
        <w:rPr>
          <w:b/>
          <w:bCs/>
          <w:sz w:val="32"/>
          <w:szCs w:val="32"/>
        </w:rPr>
        <w:t>Course: BSc (Hons) Health and Social Care</w:t>
      </w:r>
    </w:p>
    <w:p w14:paraId="7297EB4B" w14:textId="77777777" w:rsidR="003D0D6B" w:rsidRDefault="003D0D6B" w:rsidP="003D0D6B">
      <w:pPr>
        <w:spacing w:line="278" w:lineRule="auto"/>
        <w:jc w:val="center"/>
        <w:rPr>
          <w:b/>
          <w:bCs/>
          <w:sz w:val="32"/>
          <w:szCs w:val="32"/>
        </w:rPr>
      </w:pPr>
      <w:r w:rsidRPr="00105C97">
        <w:rPr>
          <w:b/>
          <w:bCs/>
          <w:sz w:val="32"/>
          <w:szCs w:val="32"/>
        </w:rPr>
        <w:t>Module: Independent Project (BMHP6020_BIRM)</w:t>
      </w:r>
    </w:p>
    <w:p w14:paraId="492A8B4A" w14:textId="77777777" w:rsidR="003D0D6B" w:rsidRDefault="003D0D6B" w:rsidP="003D0D6B">
      <w:pPr>
        <w:spacing w:line="278" w:lineRule="auto"/>
        <w:jc w:val="center"/>
        <w:rPr>
          <w:b/>
          <w:bCs/>
          <w:sz w:val="32"/>
          <w:szCs w:val="32"/>
        </w:rPr>
      </w:pPr>
      <w:r w:rsidRPr="00AF4477">
        <w:rPr>
          <w:b/>
          <w:bCs/>
          <w:sz w:val="32"/>
          <w:szCs w:val="32"/>
        </w:rPr>
        <w:t>Assignment Title:</w:t>
      </w:r>
      <w:r>
        <w:rPr>
          <w:b/>
          <w:bCs/>
          <w:sz w:val="32"/>
          <w:szCs w:val="32"/>
        </w:rPr>
        <w:t xml:space="preserve"> </w:t>
      </w:r>
      <w:r w:rsidRPr="00AF4477">
        <w:rPr>
          <w:b/>
          <w:bCs/>
          <w:sz w:val="32"/>
          <w:szCs w:val="32"/>
        </w:rPr>
        <w:t>Component 1: Portfolio (including 3 elements)</w:t>
      </w:r>
    </w:p>
    <w:p w14:paraId="002E7738" w14:textId="77777777" w:rsidR="003D0D6B" w:rsidRDefault="003D0D6B" w:rsidP="003D0D6B">
      <w:pPr>
        <w:spacing w:line="278" w:lineRule="auto"/>
        <w:jc w:val="center"/>
        <w:rPr>
          <w:b/>
          <w:bCs/>
          <w:sz w:val="32"/>
          <w:szCs w:val="32"/>
        </w:rPr>
      </w:pPr>
    </w:p>
    <w:p w14:paraId="11A050F3" w14:textId="77777777" w:rsidR="003D0D6B" w:rsidRPr="00AF4477" w:rsidRDefault="003D0D6B" w:rsidP="003D0D6B">
      <w:pPr>
        <w:spacing w:line="278" w:lineRule="auto"/>
        <w:jc w:val="center"/>
        <w:rPr>
          <w:b/>
          <w:bCs/>
          <w:sz w:val="32"/>
          <w:szCs w:val="32"/>
        </w:rPr>
      </w:pPr>
    </w:p>
    <w:p w14:paraId="4E4E3732" w14:textId="6DC707A1" w:rsidR="003D0D6B" w:rsidRDefault="003D0D6B" w:rsidP="003D0D6B">
      <w:pPr>
        <w:pStyle w:val="Heading1"/>
        <w:jc w:val="center"/>
      </w:pPr>
      <w:r w:rsidRPr="00420362">
        <w:t xml:space="preserve">Project Title: </w:t>
      </w:r>
      <w:r w:rsidRPr="003D0D6B">
        <w:t>Telemedicine and Digital Health as Tools for Advancing SDG in Rural Communities</w:t>
      </w:r>
    </w:p>
    <w:p w14:paraId="6FC643A7" w14:textId="14F3E26F" w:rsidR="00744D27" w:rsidRPr="00355A5F" w:rsidRDefault="003D0D6B" w:rsidP="00FE5525">
      <w:pPr>
        <w:spacing w:line="278" w:lineRule="auto"/>
        <w:rPr>
          <w:rFonts w:ascii="Arial" w:hAnsi="Arial" w:cs="Arial"/>
          <w:szCs w:val="22"/>
        </w:rPr>
      </w:pPr>
      <w:r>
        <w:rPr>
          <w:rFonts w:ascii="Arial" w:hAnsi="Arial" w:cs="Arial"/>
          <w:szCs w:val="22"/>
        </w:rPr>
        <w:br w:type="page"/>
      </w:r>
    </w:p>
    <w:p w14:paraId="4F64AADD"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lastRenderedPageBreak/>
        <w:t>CHAPTER 1: Introduction</w:t>
      </w:r>
    </w:p>
    <w:p w14:paraId="63FBBA6C"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t>1.1 Introduction</w:t>
      </w:r>
    </w:p>
    <w:p w14:paraId="4B2BAEC7" w14:textId="486E3556"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Telemedicine and wider digital health are promoted as ways to strengthen health systems and reduce long-standing inequalities in access to care. In rural communities, video consultations, remote monitoring, e-prescriptions and mobile health (mHealth) tools are presented as solutions to distance, workforce shortages and weak infrastructure</w:t>
      </w:r>
      <w:r w:rsidR="00D745DE" w:rsidRPr="00355A5F">
        <w:rPr>
          <w:rFonts w:ascii="Arial" w:eastAsia="Times New Roman" w:hAnsi="Arial" w:cs="Arial"/>
          <w:kern w:val="0"/>
          <w:szCs w:val="22"/>
          <w:lang w:eastAsia="en-GB"/>
          <w14:ligatures w14:val="none"/>
        </w:rPr>
        <w:t xml:space="preserve"> </w:t>
      </w:r>
      <w:r w:rsidR="001413F1" w:rsidRPr="00355A5F">
        <w:rPr>
          <w:rFonts w:ascii="Arial" w:hAnsi="Arial" w:cs="Arial"/>
          <w:szCs w:val="22"/>
        </w:rPr>
        <w:t xml:space="preserve">(Haleem </w:t>
      </w:r>
      <w:r w:rsidR="001413F1" w:rsidRPr="00355A5F">
        <w:rPr>
          <w:rFonts w:ascii="Arial" w:hAnsi="Arial" w:cs="Arial"/>
          <w:i/>
          <w:iCs/>
          <w:szCs w:val="22"/>
        </w:rPr>
        <w:t>et al.</w:t>
      </w:r>
      <w:r w:rsidR="001413F1" w:rsidRPr="00355A5F">
        <w:rPr>
          <w:rFonts w:ascii="Arial" w:hAnsi="Arial" w:cs="Arial"/>
          <w:szCs w:val="22"/>
        </w:rPr>
        <w:t>, 2021)</w:t>
      </w:r>
      <w:r w:rsidRPr="00B86E38">
        <w:rPr>
          <w:rFonts w:ascii="Arial" w:eastAsia="Times New Roman" w:hAnsi="Arial" w:cs="Arial"/>
          <w:kern w:val="0"/>
          <w:szCs w:val="22"/>
          <w:lang w:eastAsia="en-GB"/>
          <w14:ligatures w14:val="none"/>
        </w:rPr>
        <w:t>. However, critical work shows that digital health can reproduce or deepen existing divides when connectivity, affordability and digital skills are uneven. Rural households may lack stable electricity, internet coverage or private spaces for consultations, so those already marginalised may benefit least</w:t>
      </w:r>
      <w:r w:rsidR="001413F1" w:rsidRPr="00355A5F">
        <w:rPr>
          <w:rFonts w:ascii="Arial" w:eastAsia="Times New Roman" w:hAnsi="Arial" w:cs="Arial"/>
          <w:kern w:val="0"/>
          <w:szCs w:val="22"/>
          <w:lang w:eastAsia="en-GB"/>
          <w14:ligatures w14:val="none"/>
        </w:rPr>
        <w:t xml:space="preserve"> </w:t>
      </w:r>
      <w:r w:rsidR="001413F1" w:rsidRPr="00355A5F">
        <w:rPr>
          <w:rFonts w:ascii="Arial" w:hAnsi="Arial" w:cs="Arial"/>
          <w:szCs w:val="22"/>
        </w:rPr>
        <w:t>(Park, Freeman and Middleton, 2019)</w:t>
      </w:r>
      <w:r w:rsidRPr="00B86E38">
        <w:rPr>
          <w:rFonts w:ascii="Arial" w:eastAsia="Times New Roman" w:hAnsi="Arial" w:cs="Arial"/>
          <w:kern w:val="0"/>
          <w:szCs w:val="22"/>
          <w:lang w:eastAsia="en-GB"/>
          <w14:ligatures w14:val="none"/>
        </w:rPr>
        <w:t>.</w:t>
      </w:r>
    </w:p>
    <w:p w14:paraId="65DCF78F" w14:textId="1ECF460C"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Global policy agendas such as the Sustainable Development Goals (SDGs) frame digital innovation as central to improving health and reducing inequalities. SDG 3 focuses on health and well-being, SDG 9 on resilient infrastructure and innovation, and SDG 10 on reduced inequalities. Telemedicine and digital health sit at the intersection of these goals, yet the evidence on their real impact in rural settings is fragmented, context specific and sometimes overly optimistic</w:t>
      </w:r>
      <w:r w:rsidR="00886F55" w:rsidRPr="00355A5F">
        <w:rPr>
          <w:rFonts w:ascii="Arial" w:eastAsia="Times New Roman" w:hAnsi="Arial" w:cs="Arial"/>
          <w:kern w:val="0"/>
          <w:szCs w:val="22"/>
          <w:lang w:eastAsia="en-GB"/>
          <w14:ligatures w14:val="none"/>
        </w:rPr>
        <w:t xml:space="preserve"> </w:t>
      </w:r>
      <w:r w:rsidR="00886F55" w:rsidRPr="00355A5F">
        <w:rPr>
          <w:rFonts w:ascii="Arial" w:hAnsi="Arial" w:cs="Arial"/>
          <w:szCs w:val="22"/>
        </w:rPr>
        <w:t>(Merrell and Doarn, 2016)</w:t>
      </w:r>
      <w:r w:rsidRPr="00B86E38">
        <w:rPr>
          <w:rFonts w:ascii="Arial" w:eastAsia="Times New Roman" w:hAnsi="Arial" w:cs="Arial"/>
          <w:kern w:val="0"/>
          <w:szCs w:val="22"/>
          <w:lang w:eastAsia="en-GB"/>
          <w14:ligatures w14:val="none"/>
        </w:rPr>
        <w:t>.</w:t>
      </w:r>
    </w:p>
    <w:p w14:paraId="773D804C" w14:textId="109758E6"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This dissertation critically examines how telemedicine and digital-health interventions contribute to SDG-related outcomes in rural communities using secondary data. Rather than assuming that digital equals progress, it asks under what conditions telehealth improves access, quality and equity, and when it risks widening gaps. The study aims to generate nuanced, evidence-based recommendations for healthcare providers, policymakers and community organisations.</w:t>
      </w:r>
    </w:p>
    <w:p w14:paraId="0D6FD042"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t>1.2 Definitions and Terminology</w:t>
      </w:r>
    </w:p>
    <w:p w14:paraId="159535FE"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This dissertation uses several technical terms that are defined here to ensure clarity and consistency.</w:t>
      </w:r>
    </w:p>
    <w:p w14:paraId="184505BA" w14:textId="2F676622"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Telemedicine:</w:t>
      </w:r>
      <w:r w:rsidRPr="00B86E38">
        <w:rPr>
          <w:rFonts w:ascii="Arial" w:eastAsia="Times New Roman" w:hAnsi="Arial" w:cs="Arial"/>
          <w:kern w:val="0"/>
          <w:szCs w:val="22"/>
          <w:lang w:eastAsia="en-GB"/>
          <w14:ligatures w14:val="none"/>
        </w:rPr>
        <w:t xml:space="preserve"> delivery of clinical services at a distance using information and communication technologies, for example video or telephone consultations, remote diagnostics and tele-referrals. The focus is on clinical interaction between patients and health professionals</w:t>
      </w:r>
      <w:r w:rsidR="00E030E2" w:rsidRPr="00355A5F">
        <w:rPr>
          <w:rFonts w:ascii="Arial" w:eastAsia="Times New Roman" w:hAnsi="Arial" w:cs="Arial"/>
          <w:kern w:val="0"/>
          <w:szCs w:val="22"/>
          <w:lang w:eastAsia="en-GB"/>
          <w14:ligatures w14:val="none"/>
        </w:rPr>
        <w:t xml:space="preserve"> </w:t>
      </w:r>
      <w:r w:rsidR="00E030E2" w:rsidRPr="00355A5F">
        <w:rPr>
          <w:rFonts w:ascii="Arial" w:hAnsi="Arial" w:cs="Arial"/>
          <w:szCs w:val="22"/>
        </w:rPr>
        <w:t xml:space="preserve">(Haleem </w:t>
      </w:r>
      <w:r w:rsidR="00E030E2" w:rsidRPr="00355A5F">
        <w:rPr>
          <w:rFonts w:ascii="Arial" w:hAnsi="Arial" w:cs="Arial"/>
          <w:i/>
          <w:iCs/>
          <w:szCs w:val="22"/>
        </w:rPr>
        <w:t>et al.</w:t>
      </w:r>
      <w:r w:rsidR="00E030E2" w:rsidRPr="00355A5F">
        <w:rPr>
          <w:rFonts w:ascii="Arial" w:hAnsi="Arial" w:cs="Arial"/>
          <w:szCs w:val="22"/>
        </w:rPr>
        <w:t>, 2021)</w:t>
      </w:r>
      <w:r w:rsidRPr="00B86E38">
        <w:rPr>
          <w:rFonts w:ascii="Arial" w:eastAsia="Times New Roman" w:hAnsi="Arial" w:cs="Arial"/>
          <w:kern w:val="0"/>
          <w:szCs w:val="22"/>
          <w:lang w:eastAsia="en-GB"/>
          <w14:ligatures w14:val="none"/>
        </w:rPr>
        <w:t>.</w:t>
      </w:r>
    </w:p>
    <w:p w14:paraId="2AF969BE" w14:textId="10B7C316"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Digital health:</w:t>
      </w:r>
      <w:r w:rsidRPr="00B86E38">
        <w:rPr>
          <w:rFonts w:ascii="Arial" w:eastAsia="Times New Roman" w:hAnsi="Arial" w:cs="Arial"/>
          <w:kern w:val="0"/>
          <w:szCs w:val="22"/>
          <w:lang w:eastAsia="en-GB"/>
          <w14:ligatures w14:val="none"/>
        </w:rPr>
        <w:t xml:space="preserve"> a broader umbrella term that includes telemedicine but also mHealth apps, electronic health records, remote monitoring devices, decision-support systems and digital </w:t>
      </w:r>
      <w:r w:rsidRPr="00B86E38">
        <w:rPr>
          <w:rFonts w:ascii="Arial" w:eastAsia="Times New Roman" w:hAnsi="Arial" w:cs="Arial"/>
          <w:kern w:val="0"/>
          <w:szCs w:val="22"/>
          <w:lang w:eastAsia="en-GB"/>
          <w14:ligatures w14:val="none"/>
        </w:rPr>
        <w:lastRenderedPageBreak/>
        <w:t>supply-chain tools. It covers digital technologies used to support health promotion, prevention, treatment and system management</w:t>
      </w:r>
      <w:r w:rsidR="00E030E2" w:rsidRPr="00355A5F">
        <w:rPr>
          <w:rFonts w:ascii="Arial" w:eastAsia="Times New Roman" w:hAnsi="Arial" w:cs="Arial"/>
          <w:kern w:val="0"/>
          <w:szCs w:val="22"/>
          <w:lang w:eastAsia="en-GB"/>
          <w14:ligatures w14:val="none"/>
        </w:rPr>
        <w:t xml:space="preserve"> </w:t>
      </w:r>
      <w:r w:rsidR="00E030E2" w:rsidRPr="00355A5F">
        <w:rPr>
          <w:rFonts w:ascii="Arial" w:hAnsi="Arial" w:cs="Arial"/>
          <w:szCs w:val="22"/>
        </w:rPr>
        <w:t xml:space="preserve">(Ahmed </w:t>
      </w:r>
      <w:r w:rsidR="00E030E2" w:rsidRPr="00355A5F">
        <w:rPr>
          <w:rFonts w:ascii="Arial" w:hAnsi="Arial" w:cs="Arial"/>
          <w:i/>
          <w:iCs/>
          <w:szCs w:val="22"/>
        </w:rPr>
        <w:t>et al.</w:t>
      </w:r>
      <w:r w:rsidR="00E030E2" w:rsidRPr="00355A5F">
        <w:rPr>
          <w:rFonts w:ascii="Arial" w:hAnsi="Arial" w:cs="Arial"/>
          <w:szCs w:val="22"/>
        </w:rPr>
        <w:t>, 2025)</w:t>
      </w:r>
      <w:r w:rsidRPr="00B86E38">
        <w:rPr>
          <w:rFonts w:ascii="Arial" w:eastAsia="Times New Roman" w:hAnsi="Arial" w:cs="Arial"/>
          <w:kern w:val="0"/>
          <w:szCs w:val="22"/>
          <w:lang w:eastAsia="en-GB"/>
          <w14:ligatures w14:val="none"/>
        </w:rPr>
        <w:t>.</w:t>
      </w:r>
    </w:p>
    <w:p w14:paraId="3D5A6834" w14:textId="1D8DC9BC"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Rural communities:</w:t>
      </w:r>
      <w:r w:rsidRPr="00B86E38">
        <w:rPr>
          <w:rFonts w:ascii="Arial" w:eastAsia="Times New Roman" w:hAnsi="Arial" w:cs="Arial"/>
          <w:kern w:val="0"/>
          <w:szCs w:val="22"/>
          <w:lang w:eastAsia="en-GB"/>
          <w14:ligatures w14:val="none"/>
        </w:rPr>
        <w:t xml:space="preserve"> populations living in geographically remote or sparsely populated areas with limited access to secondary and tertiary health facilities and often weaker transport, digital and economic infrastructure. The term is used critically, recognising that “rural” covers diverse contexts rather than a single uniform category</w:t>
      </w:r>
      <w:r w:rsidR="00421F54" w:rsidRPr="00355A5F">
        <w:rPr>
          <w:rFonts w:ascii="Arial" w:eastAsia="Times New Roman" w:hAnsi="Arial" w:cs="Arial"/>
          <w:kern w:val="0"/>
          <w:szCs w:val="22"/>
          <w:lang w:eastAsia="en-GB"/>
          <w14:ligatures w14:val="none"/>
        </w:rPr>
        <w:t xml:space="preserve"> </w:t>
      </w:r>
      <w:r w:rsidR="00421F54" w:rsidRPr="00355A5F">
        <w:rPr>
          <w:rFonts w:ascii="Arial" w:hAnsi="Arial" w:cs="Arial"/>
          <w:szCs w:val="22"/>
        </w:rPr>
        <w:t>(Gizaw, Astale and Kassie, 2022)</w:t>
      </w:r>
      <w:r w:rsidRPr="00B86E38">
        <w:rPr>
          <w:rFonts w:ascii="Arial" w:eastAsia="Times New Roman" w:hAnsi="Arial" w:cs="Arial"/>
          <w:kern w:val="0"/>
          <w:szCs w:val="22"/>
          <w:lang w:eastAsia="en-GB"/>
          <w14:ligatures w14:val="none"/>
        </w:rPr>
        <w:t>.</w:t>
      </w:r>
    </w:p>
    <w:p w14:paraId="505C65FC" w14:textId="4F2778C6"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Sustainable Development Goals (SDGs):</w:t>
      </w:r>
      <w:r w:rsidRPr="00B86E38">
        <w:rPr>
          <w:rFonts w:ascii="Arial" w:eastAsia="Times New Roman" w:hAnsi="Arial" w:cs="Arial"/>
          <w:kern w:val="0"/>
          <w:szCs w:val="22"/>
          <w:lang w:eastAsia="en-GB"/>
          <w14:ligatures w14:val="none"/>
        </w:rPr>
        <w:t xml:space="preserve"> the United Nations framework of 17 goals adopted in 2015 to guide social, economic and environmental development. This study focuses on SDG 3 (health), SDG 9 (industry, innovation and infrastructure) and SDG 10 (reduced inequalities)</w:t>
      </w:r>
      <w:r w:rsidR="00390182" w:rsidRPr="00355A5F">
        <w:rPr>
          <w:rFonts w:ascii="Arial" w:eastAsia="Times New Roman" w:hAnsi="Arial" w:cs="Arial"/>
          <w:kern w:val="0"/>
          <w:szCs w:val="22"/>
          <w:lang w:eastAsia="en-GB"/>
          <w14:ligatures w14:val="none"/>
        </w:rPr>
        <w:t xml:space="preserve"> </w:t>
      </w:r>
      <w:r w:rsidR="00390182" w:rsidRPr="00355A5F">
        <w:rPr>
          <w:rFonts w:ascii="Arial" w:hAnsi="Arial" w:cs="Arial"/>
          <w:szCs w:val="22"/>
        </w:rPr>
        <w:t>(United Nations, 2015)</w:t>
      </w:r>
      <w:r w:rsidRPr="00B86E38">
        <w:rPr>
          <w:rFonts w:ascii="Arial" w:eastAsia="Times New Roman" w:hAnsi="Arial" w:cs="Arial"/>
          <w:kern w:val="0"/>
          <w:szCs w:val="22"/>
          <w:lang w:eastAsia="en-GB"/>
          <w14:ligatures w14:val="none"/>
        </w:rPr>
        <w:t>.</w:t>
      </w:r>
    </w:p>
    <w:p w14:paraId="03C15F40"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Acronyms used in this dissertation include:</w:t>
      </w:r>
    </w:p>
    <w:p w14:paraId="6970BE2D" w14:textId="77777777" w:rsidR="006662CB"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ICT – Information and Communication Technologies</w:t>
      </w:r>
    </w:p>
    <w:p w14:paraId="2B47B089" w14:textId="77777777" w:rsidR="006662CB"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mHealth – Mobile Health</w:t>
      </w:r>
    </w:p>
    <w:p w14:paraId="2B36673A" w14:textId="77777777" w:rsidR="006662CB"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LMICs – Low- and Middle-Income Countries</w:t>
      </w:r>
    </w:p>
    <w:p w14:paraId="4889CE93" w14:textId="77777777" w:rsidR="006662CB"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SDGs – Sustainable Development Goals</w:t>
      </w:r>
    </w:p>
    <w:p w14:paraId="2C6FC08A" w14:textId="69C6C5C6"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EHR – Electronic Health Record</w:t>
      </w:r>
    </w:p>
    <w:p w14:paraId="10EC6C8D"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t>1.3 Rationale for Research</w:t>
      </w:r>
    </w:p>
    <w:p w14:paraId="590D089B" w14:textId="3C167A40"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Rural health has long been shaped by structural disadvantage, yet digital-health debates often treat technology as a neutral, technical fix. Many strategies assume that once telehealth platforms are deployed, benefits will follow</w:t>
      </w:r>
      <w:r w:rsidR="002A708C" w:rsidRPr="00355A5F">
        <w:rPr>
          <w:rFonts w:ascii="Arial" w:eastAsia="Times New Roman" w:hAnsi="Arial" w:cs="Arial"/>
          <w:kern w:val="0"/>
          <w:szCs w:val="22"/>
          <w:lang w:eastAsia="en-GB"/>
          <w14:ligatures w14:val="none"/>
        </w:rPr>
        <w:t xml:space="preserve"> </w:t>
      </w:r>
      <w:r w:rsidR="002A708C" w:rsidRPr="00355A5F">
        <w:rPr>
          <w:rFonts w:ascii="Arial" w:hAnsi="Arial" w:cs="Arial"/>
          <w:szCs w:val="22"/>
        </w:rPr>
        <w:t xml:space="preserve">(Maita </w:t>
      </w:r>
      <w:r w:rsidR="002A708C" w:rsidRPr="00355A5F">
        <w:rPr>
          <w:rFonts w:ascii="Arial" w:hAnsi="Arial" w:cs="Arial"/>
          <w:i/>
          <w:iCs/>
          <w:szCs w:val="22"/>
        </w:rPr>
        <w:t>et al.</w:t>
      </w:r>
      <w:r w:rsidR="002A708C" w:rsidRPr="00355A5F">
        <w:rPr>
          <w:rFonts w:ascii="Arial" w:hAnsi="Arial" w:cs="Arial"/>
          <w:szCs w:val="22"/>
        </w:rPr>
        <w:t>, 2024)</w:t>
      </w:r>
      <w:r w:rsidRPr="00B86E38">
        <w:rPr>
          <w:rFonts w:ascii="Arial" w:eastAsia="Times New Roman" w:hAnsi="Arial" w:cs="Arial"/>
          <w:kern w:val="0"/>
          <w:szCs w:val="22"/>
          <w:lang w:eastAsia="en-GB"/>
          <w14:ligatures w14:val="none"/>
        </w:rPr>
        <w:t>. However, existing literature</w:t>
      </w:r>
      <w:r w:rsidR="002A708C" w:rsidRPr="00355A5F">
        <w:rPr>
          <w:rFonts w:ascii="Arial" w:eastAsia="Times New Roman" w:hAnsi="Arial" w:cs="Arial"/>
          <w:kern w:val="0"/>
          <w:szCs w:val="22"/>
          <w:lang w:eastAsia="en-GB"/>
          <w14:ligatures w14:val="none"/>
        </w:rPr>
        <w:t xml:space="preserve"> </w:t>
      </w:r>
      <w:r w:rsidR="002A708C" w:rsidRPr="00355A5F">
        <w:rPr>
          <w:rFonts w:ascii="Arial" w:hAnsi="Arial" w:cs="Arial"/>
          <w:szCs w:val="22"/>
        </w:rPr>
        <w:t xml:space="preserve">(Park, Freeman and Middleton, 2019; Woods </w:t>
      </w:r>
      <w:r w:rsidR="002A708C" w:rsidRPr="00355A5F">
        <w:rPr>
          <w:rFonts w:ascii="Arial" w:hAnsi="Arial" w:cs="Arial"/>
          <w:i/>
          <w:iCs/>
          <w:szCs w:val="22"/>
        </w:rPr>
        <w:t>et al.</w:t>
      </w:r>
      <w:r w:rsidR="002A708C" w:rsidRPr="00355A5F">
        <w:rPr>
          <w:rFonts w:ascii="Arial" w:hAnsi="Arial" w:cs="Arial"/>
          <w:szCs w:val="22"/>
        </w:rPr>
        <w:t>, 2024)</w:t>
      </w:r>
      <w:r w:rsidRPr="00B86E38">
        <w:rPr>
          <w:rFonts w:ascii="Arial" w:eastAsia="Times New Roman" w:hAnsi="Arial" w:cs="Arial"/>
          <w:kern w:val="0"/>
          <w:szCs w:val="22"/>
          <w:lang w:eastAsia="en-GB"/>
          <w14:ligatures w14:val="none"/>
        </w:rPr>
        <w:t xml:space="preserve"> points to uneven implementation, small-scale pilots and limited evaluation of long-term outcomes. Evidence is scattered across clinical specialties, countries and project types, which makes it difficult for decision-makers to judge what is transferable to their rural contexts.</w:t>
      </w:r>
    </w:p>
    <w:p w14:paraId="641002AA" w14:textId="57424481"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 xml:space="preserve">A second issue is that SDG language is widely adopted in policy documents without clear measurement of SDG-related outcomes. Projects claim contributions to SDG 3, 9 or 10 but often fail to specify how access, quality, equity or infrastructure have been assessed, or for </w:t>
      </w:r>
      <w:r w:rsidRPr="00B86E38">
        <w:rPr>
          <w:rFonts w:ascii="Arial" w:eastAsia="Times New Roman" w:hAnsi="Arial" w:cs="Arial"/>
          <w:kern w:val="0"/>
          <w:szCs w:val="22"/>
          <w:lang w:eastAsia="en-GB"/>
          <w14:ligatures w14:val="none"/>
        </w:rPr>
        <w:lastRenderedPageBreak/>
        <w:t>which groups. Equity dimensions such as gender, disability, caste or indigeneity are mentioned but not systematically analysed</w:t>
      </w:r>
      <w:r w:rsidR="009E5C37" w:rsidRPr="00355A5F">
        <w:rPr>
          <w:rFonts w:ascii="Arial" w:eastAsia="Times New Roman" w:hAnsi="Arial" w:cs="Arial"/>
          <w:kern w:val="0"/>
          <w:szCs w:val="22"/>
          <w:lang w:eastAsia="en-GB"/>
          <w14:ligatures w14:val="none"/>
        </w:rPr>
        <w:t xml:space="preserve"> </w:t>
      </w:r>
      <w:r w:rsidR="009E5C37" w:rsidRPr="00355A5F">
        <w:rPr>
          <w:rFonts w:ascii="Arial" w:hAnsi="Arial" w:cs="Arial"/>
          <w:szCs w:val="22"/>
        </w:rPr>
        <w:t>(Mohd, Rais and Syed, 2024)</w:t>
      </w:r>
      <w:r w:rsidRPr="00B86E38">
        <w:rPr>
          <w:rFonts w:ascii="Arial" w:eastAsia="Times New Roman" w:hAnsi="Arial" w:cs="Arial"/>
          <w:kern w:val="0"/>
          <w:szCs w:val="22"/>
          <w:lang w:eastAsia="en-GB"/>
          <w14:ligatures w14:val="none"/>
        </w:rPr>
        <w:t>.</w:t>
      </w:r>
    </w:p>
    <w:p w14:paraId="55432439" w14:textId="2568E184"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There is also a gap in linking implementation details with outcomes. Studies may describe technical platforms or clinical results but give less attention to workforce training, reimbursement models, data-governance arrangements and community engagement</w:t>
      </w:r>
      <w:r w:rsidR="009E5C37" w:rsidRPr="00355A5F">
        <w:rPr>
          <w:rFonts w:ascii="Arial" w:eastAsia="Times New Roman" w:hAnsi="Arial" w:cs="Arial"/>
          <w:kern w:val="0"/>
          <w:szCs w:val="22"/>
          <w:lang w:eastAsia="en-GB"/>
          <w14:ligatures w14:val="none"/>
        </w:rPr>
        <w:t xml:space="preserve"> </w:t>
      </w:r>
      <w:r w:rsidR="009E5C37" w:rsidRPr="00355A5F">
        <w:rPr>
          <w:rFonts w:ascii="Arial" w:hAnsi="Arial" w:cs="Arial"/>
          <w:szCs w:val="22"/>
        </w:rPr>
        <w:t xml:space="preserve">(Tan </w:t>
      </w:r>
      <w:r w:rsidR="009E5C37" w:rsidRPr="00355A5F">
        <w:rPr>
          <w:rFonts w:ascii="Arial" w:hAnsi="Arial" w:cs="Arial"/>
          <w:i/>
          <w:iCs/>
          <w:szCs w:val="22"/>
        </w:rPr>
        <w:t>et al.</w:t>
      </w:r>
      <w:r w:rsidR="009E5C37" w:rsidRPr="00355A5F">
        <w:rPr>
          <w:rFonts w:ascii="Arial" w:hAnsi="Arial" w:cs="Arial"/>
          <w:szCs w:val="22"/>
        </w:rPr>
        <w:t xml:space="preserve">, 2022; Woods </w:t>
      </w:r>
      <w:r w:rsidR="009E5C37" w:rsidRPr="00355A5F">
        <w:rPr>
          <w:rFonts w:ascii="Arial" w:hAnsi="Arial" w:cs="Arial"/>
          <w:i/>
          <w:iCs/>
          <w:szCs w:val="22"/>
        </w:rPr>
        <w:t>et al.</w:t>
      </w:r>
      <w:r w:rsidR="009E5C37" w:rsidRPr="00355A5F">
        <w:rPr>
          <w:rFonts w:ascii="Arial" w:hAnsi="Arial" w:cs="Arial"/>
          <w:szCs w:val="22"/>
        </w:rPr>
        <w:t>, 2024)</w:t>
      </w:r>
      <w:r w:rsidRPr="00B86E38">
        <w:rPr>
          <w:rFonts w:ascii="Arial" w:eastAsia="Times New Roman" w:hAnsi="Arial" w:cs="Arial"/>
          <w:kern w:val="0"/>
          <w:szCs w:val="22"/>
          <w:lang w:eastAsia="en-GB"/>
          <w14:ligatures w14:val="none"/>
        </w:rPr>
        <w:t>. Yet these factors shape whether digital health becomes embedded, trusted and sustainable, or remains a short-term project.</w:t>
      </w:r>
    </w:p>
    <w:p w14:paraId="01BC19FD" w14:textId="4401E59C"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These problems indicate a need for a critical synthesis that goes beyond success stories to examine both benefits and harms of telemedicine and digital health in rural areas. This dissertation responds to that need by mapping how interventions align with SDG-related outcomes, identifying contextual enablers and barriers, and drawing out lessons that can inform more equitable digital-health strategies.</w:t>
      </w:r>
    </w:p>
    <w:p w14:paraId="283DA4D3"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t>1.4 Aim and Objectives</w:t>
      </w:r>
    </w:p>
    <w:p w14:paraId="5FE9090C"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The overall aim of this dissertation is to investigate how telemedicine and wider digital-health solutions advance Sustainable Development Goals in rural communities, and to develop actionable, equity-focused recommendations for future practice and policy.</w:t>
      </w:r>
    </w:p>
    <w:p w14:paraId="0A0CEC67"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To achieve this aim, the study has the following objectives:</w:t>
      </w:r>
    </w:p>
    <w:p w14:paraId="2CD5D322" w14:textId="77777777" w:rsidR="00B86E38" w:rsidRPr="00B86E38" w:rsidRDefault="00B86E38" w:rsidP="00355A5F">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Objective 1:</w:t>
      </w:r>
      <w:r w:rsidRPr="00B86E38">
        <w:rPr>
          <w:rFonts w:ascii="Arial" w:eastAsia="Times New Roman" w:hAnsi="Arial" w:cs="Arial"/>
          <w:kern w:val="0"/>
          <w:szCs w:val="22"/>
          <w:lang w:eastAsia="en-GB"/>
          <w14:ligatures w14:val="none"/>
        </w:rPr>
        <w:t xml:space="preserve"> To define and examine telemedicine and digital-health concepts (platforms, services and infrastructure) and their prevalence and adoption in rural settings, as documented in research and official reports.</w:t>
      </w:r>
    </w:p>
    <w:p w14:paraId="22117D2B" w14:textId="77777777" w:rsidR="00B86E38" w:rsidRPr="00B86E38" w:rsidRDefault="00B86E38" w:rsidP="00355A5F">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Objective 2:</w:t>
      </w:r>
      <w:r w:rsidRPr="00B86E38">
        <w:rPr>
          <w:rFonts w:ascii="Arial" w:eastAsia="Times New Roman" w:hAnsi="Arial" w:cs="Arial"/>
          <w:kern w:val="0"/>
          <w:szCs w:val="22"/>
          <w:lang w:eastAsia="en-GB"/>
          <w14:ligatures w14:val="none"/>
        </w:rPr>
        <w:t xml:space="preserve"> To analyse impacts on outcomes aligned to SDG 3 (health), SDG 9 (infrastructure and innovation) and SDG 10 (reduced inequalities), including access, timeliness, quality, cost and user experience.</w:t>
      </w:r>
    </w:p>
    <w:p w14:paraId="13FBAED8" w14:textId="77777777" w:rsidR="00B86E38" w:rsidRPr="00B86E38" w:rsidRDefault="00B86E38" w:rsidP="00355A5F">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Objective 3:</w:t>
      </w:r>
      <w:r w:rsidRPr="00B86E38">
        <w:rPr>
          <w:rFonts w:ascii="Arial" w:eastAsia="Times New Roman" w:hAnsi="Arial" w:cs="Arial"/>
          <w:kern w:val="0"/>
          <w:szCs w:val="22"/>
          <w:lang w:eastAsia="en-GB"/>
          <w14:ligatures w14:val="none"/>
        </w:rPr>
        <w:t xml:space="preserve"> To evaluate the effectiveness of current interventions, implementation models and policy frameworks, such as reimbursement mechanisms, connectivity initiatives, workforce training and data-governance arrangements that enable or constrain rural digital health.</w:t>
      </w:r>
    </w:p>
    <w:p w14:paraId="7E1955B8" w14:textId="70BDBE19" w:rsidR="00B86E38" w:rsidRPr="00B86E38" w:rsidRDefault="00B86E38" w:rsidP="00355A5F">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b/>
          <w:bCs/>
          <w:kern w:val="0"/>
          <w:szCs w:val="22"/>
          <w:lang w:eastAsia="en-GB"/>
          <w14:ligatures w14:val="none"/>
        </w:rPr>
        <w:t>Objective 4:</w:t>
      </w:r>
      <w:r w:rsidRPr="00B86E38">
        <w:rPr>
          <w:rFonts w:ascii="Arial" w:eastAsia="Times New Roman" w:hAnsi="Arial" w:cs="Arial"/>
          <w:kern w:val="0"/>
          <w:szCs w:val="22"/>
          <w:lang w:eastAsia="en-GB"/>
          <w14:ligatures w14:val="none"/>
        </w:rPr>
        <w:t xml:space="preserve"> To provide recommendations for healthcare systems, policymakers and community partners on how to scale ethical, inclusive and sustainable telehealth that improves rural health and narrows inequities.</w:t>
      </w:r>
    </w:p>
    <w:p w14:paraId="2CFA72B3" w14:textId="77777777" w:rsidR="00B86E38" w:rsidRPr="00B86E38" w:rsidRDefault="00B86E38" w:rsidP="00355A5F">
      <w:pPr>
        <w:spacing w:before="100" w:beforeAutospacing="1" w:after="100" w:afterAutospacing="1"/>
        <w:jc w:val="both"/>
        <w:rPr>
          <w:rFonts w:ascii="Arial" w:eastAsia="Times New Roman" w:hAnsi="Arial" w:cs="Arial"/>
          <w:b/>
          <w:bCs/>
          <w:kern w:val="0"/>
          <w:szCs w:val="22"/>
          <w:lang w:eastAsia="en-GB"/>
          <w14:ligatures w14:val="none"/>
        </w:rPr>
      </w:pPr>
      <w:r w:rsidRPr="00B86E38">
        <w:rPr>
          <w:rFonts w:ascii="Arial" w:eastAsia="Times New Roman" w:hAnsi="Arial" w:cs="Arial"/>
          <w:b/>
          <w:bCs/>
          <w:kern w:val="0"/>
          <w:szCs w:val="22"/>
          <w:lang w:eastAsia="en-GB"/>
          <w14:ligatures w14:val="none"/>
        </w:rPr>
        <w:t>1.5 Conclusion</w:t>
      </w:r>
    </w:p>
    <w:p w14:paraId="1F0F0470"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lastRenderedPageBreak/>
        <w:t>This chapter has introduced the topic of telemedicine and digital health in rural communities and located it within wider debates on the SDGs, equity and health-system strengthening. It has highlighted that digital technologies are not inherently beneficial and may reinforce existing power imbalances if design and implementation are not sensitive to context. The chapter has outlined key definitions and acronyms, explained the rationale for focusing on rural settings and SDG-related outcomes, and presented the overall aim and objectives of the study.</w:t>
      </w:r>
    </w:p>
    <w:p w14:paraId="1E29F423" w14:textId="77777777" w:rsidR="00B86E38" w:rsidRPr="00B86E38" w:rsidRDefault="00B86E38" w:rsidP="00355A5F">
      <w:pPr>
        <w:spacing w:before="100" w:beforeAutospacing="1" w:after="100" w:afterAutospacing="1"/>
        <w:jc w:val="both"/>
        <w:rPr>
          <w:rFonts w:ascii="Arial" w:eastAsia="Times New Roman" w:hAnsi="Arial" w:cs="Arial"/>
          <w:kern w:val="0"/>
          <w:szCs w:val="22"/>
          <w:lang w:eastAsia="en-GB"/>
          <w14:ligatures w14:val="none"/>
        </w:rPr>
      </w:pPr>
      <w:r w:rsidRPr="00B86E38">
        <w:rPr>
          <w:rFonts w:ascii="Arial" w:eastAsia="Times New Roman" w:hAnsi="Arial" w:cs="Arial"/>
          <w:kern w:val="0"/>
          <w:szCs w:val="22"/>
          <w:lang w:eastAsia="en-GB"/>
          <w14:ligatures w14:val="none"/>
        </w:rPr>
        <w:t>The next chapter will review the existing literature on telemedicine, digital health and rural health systems. It will examine theoretical frameworks, empirical findings and policy debates, and will identify the main themes and gaps that shape the design of the research and the subsequent detailed analysis.</w:t>
      </w:r>
    </w:p>
    <w:p w14:paraId="5867D65C" w14:textId="77777777" w:rsidR="00744D27" w:rsidRPr="00355A5F" w:rsidRDefault="00744D27" w:rsidP="00355A5F">
      <w:pPr>
        <w:jc w:val="both"/>
        <w:rPr>
          <w:rFonts w:ascii="Arial" w:hAnsi="Arial" w:cs="Arial"/>
          <w:szCs w:val="22"/>
        </w:rPr>
      </w:pPr>
    </w:p>
    <w:p w14:paraId="609724B5" w14:textId="77777777" w:rsidR="00B86E38" w:rsidRPr="006662CB" w:rsidRDefault="00B86E38" w:rsidP="006662CB">
      <w:pPr>
        <w:rPr>
          <w:b/>
          <w:bCs/>
        </w:rPr>
      </w:pPr>
    </w:p>
    <w:p w14:paraId="6BBDE2ED" w14:textId="0BF849B2" w:rsidR="00B86E38" w:rsidRPr="006662CB" w:rsidRDefault="00A40E4C" w:rsidP="006662CB">
      <w:pPr>
        <w:rPr>
          <w:b/>
          <w:bCs/>
        </w:rPr>
      </w:pPr>
      <w:r w:rsidRPr="006662CB">
        <w:rPr>
          <w:b/>
          <w:bCs/>
          <w:kern w:val="0"/>
        </w:rPr>
        <w:t>CHAPTER 2 – Background Information and Analysis</w:t>
      </w:r>
    </w:p>
    <w:p w14:paraId="7ED3D968" w14:textId="77777777" w:rsidR="00B86E38" w:rsidRPr="006662CB" w:rsidRDefault="00B86E38" w:rsidP="006662CB">
      <w:pPr>
        <w:rPr>
          <w:b/>
          <w:bCs/>
        </w:rPr>
      </w:pPr>
      <w:r w:rsidRPr="006662CB">
        <w:rPr>
          <w:b/>
          <w:bCs/>
        </w:rPr>
        <w:t>2.1 Introduction</w:t>
      </w:r>
    </w:p>
    <w:p w14:paraId="20487613" w14:textId="7777777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This chapter provides the background needed to situate telemedicine and digital health within wider debates on rural health and the Sustainable Development Goals (SDGs). The purpose is to move beyond simple descriptions of technologies and to examine how historical trajectories, theoretical frameworks and policy contexts shape what digital health can and cannot achieve in rural communities.</w:t>
      </w:r>
    </w:p>
    <w:p w14:paraId="418C0122" w14:textId="44BA76B2" w:rsidR="00125C44"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The chapter first outlines how telemedicine and digital health have developed over time, highlighting how milestones, funding priorities and global agendas have directed attention towards rural settings. It then introduces key theories and concepts that help explain why some digital-health interventions are adopted, normalised or resisted, and how digital infrastructures interact with existing inequalities. Finally, the chapter sets out the international and UK context in which telemedicine policies and programmes are promoted. In doing so, it provides an overall foundation for the methodology and findings chapters, where evidence will be examined in more depth.</w:t>
      </w:r>
    </w:p>
    <w:p w14:paraId="5F44FA6C" w14:textId="77777777" w:rsidR="00B86E38" w:rsidRPr="006662CB" w:rsidRDefault="00B86E38" w:rsidP="006662CB">
      <w:pPr>
        <w:rPr>
          <w:b/>
          <w:bCs/>
        </w:rPr>
      </w:pPr>
      <w:r w:rsidRPr="006662CB">
        <w:rPr>
          <w:b/>
          <w:bCs/>
        </w:rPr>
        <w:t>2.2 Historical Background</w:t>
      </w:r>
    </w:p>
    <w:p w14:paraId="7447DD3E" w14:textId="59248CD1"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 xml:space="preserve">Telemedicine emerged in the mid-twentieth century when clinicians used telephone, radio and early video links to support patients in remote areas and on ships. Early projects were often </w:t>
      </w:r>
      <w:r w:rsidRPr="00355A5F">
        <w:rPr>
          <w:rFonts w:ascii="Arial" w:hAnsi="Arial" w:cs="Arial"/>
          <w:sz w:val="22"/>
          <w:szCs w:val="22"/>
        </w:rPr>
        <w:lastRenderedPageBreak/>
        <w:t>tied to military, aerospace and emergency services, where the cost of lacking specialist advice was high. In the 1960s and 1970s, space agencies and universities experimented with remote physiological monitoring and consultations, showing that distance need not block access to expert care. These initiatives were small and highly technical, and they tended to treat geography as the main problem rather than wider social and economic determinants of rural health</w:t>
      </w:r>
      <w:r w:rsidR="00C25896" w:rsidRPr="00355A5F">
        <w:rPr>
          <w:rFonts w:ascii="Arial" w:hAnsi="Arial" w:cs="Arial"/>
          <w:sz w:val="22"/>
          <w:szCs w:val="22"/>
        </w:rPr>
        <w:t xml:space="preserve"> (Anawade, Sharma and Gahane, 2024)</w:t>
      </w:r>
      <w:r w:rsidRPr="00355A5F">
        <w:rPr>
          <w:rFonts w:ascii="Arial" w:hAnsi="Arial" w:cs="Arial"/>
          <w:sz w:val="22"/>
          <w:szCs w:val="22"/>
        </w:rPr>
        <w:t>.</w:t>
      </w:r>
    </w:p>
    <w:p w14:paraId="03FF95D4" w14:textId="658A26FF"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From the 1990s, expansion of the internet and digital imaging extended telemedicine into teleradiology, telepsychiatry and remote specialist clinics. High-income countries funded projects that linked rural hospitals and primary-care centres with urban specialists</w:t>
      </w:r>
      <w:r w:rsidR="00C25896" w:rsidRPr="00355A5F">
        <w:rPr>
          <w:rFonts w:ascii="Arial" w:hAnsi="Arial" w:cs="Arial"/>
          <w:sz w:val="22"/>
          <w:szCs w:val="22"/>
        </w:rPr>
        <w:t xml:space="preserve"> (Bashshur </w:t>
      </w:r>
      <w:r w:rsidR="00C25896" w:rsidRPr="00355A5F">
        <w:rPr>
          <w:rFonts w:ascii="Arial" w:hAnsi="Arial" w:cs="Arial"/>
          <w:i/>
          <w:iCs/>
          <w:sz w:val="22"/>
          <w:szCs w:val="22"/>
        </w:rPr>
        <w:t>et al.</w:t>
      </w:r>
      <w:r w:rsidR="00C25896" w:rsidRPr="00355A5F">
        <w:rPr>
          <w:rFonts w:ascii="Arial" w:hAnsi="Arial" w:cs="Arial"/>
          <w:sz w:val="22"/>
          <w:szCs w:val="22"/>
        </w:rPr>
        <w:t>, 2016)</w:t>
      </w:r>
      <w:r w:rsidRPr="00355A5F">
        <w:rPr>
          <w:rFonts w:ascii="Arial" w:hAnsi="Arial" w:cs="Arial"/>
          <w:sz w:val="22"/>
          <w:szCs w:val="22"/>
        </w:rPr>
        <w:t>. At the same time, eHealth became a policy label for integrating information and communication technologies into health systems. Implementation, however, was uneven. Many programmes were technology-led, grant-funded and time limited, with weak evaluation and little focus on equity. Rural communities with poor infrastructure or limited workforce capacity were often the last to benefit, reinforcing existing service gaps</w:t>
      </w:r>
      <w:r w:rsidR="00C25896" w:rsidRPr="00355A5F">
        <w:rPr>
          <w:rFonts w:ascii="Arial" w:hAnsi="Arial" w:cs="Arial"/>
          <w:sz w:val="22"/>
          <w:szCs w:val="22"/>
        </w:rPr>
        <w:t xml:space="preserve"> (Mars and Scott, 2010)</w:t>
      </w:r>
      <w:r w:rsidRPr="00355A5F">
        <w:rPr>
          <w:rFonts w:ascii="Arial" w:hAnsi="Arial" w:cs="Arial"/>
          <w:sz w:val="22"/>
          <w:szCs w:val="22"/>
        </w:rPr>
        <w:t>.</w:t>
      </w:r>
    </w:p>
    <w:p w14:paraId="7F2394B1" w14:textId="3775D55D"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In the 2000s and 2010s, mobile phones and smartphones shifted attention towards mHealth and remote monitoring. Donor agencies, governments and private companies promoted SMS reminders, mobile decision-support tools and patient portals as ways to extend services into rural and low-resource settings</w:t>
      </w:r>
      <w:r w:rsidR="00E04550" w:rsidRPr="00355A5F">
        <w:rPr>
          <w:rFonts w:ascii="Arial" w:hAnsi="Arial" w:cs="Arial"/>
          <w:sz w:val="22"/>
          <w:szCs w:val="22"/>
        </w:rPr>
        <w:t xml:space="preserve"> (Eze, Gleasure and Heavin, 2018)</w:t>
      </w:r>
      <w:r w:rsidRPr="00355A5F">
        <w:rPr>
          <w:rFonts w:ascii="Arial" w:hAnsi="Arial" w:cs="Arial"/>
          <w:sz w:val="22"/>
          <w:szCs w:val="22"/>
        </w:rPr>
        <w:t>. International organisations such as the World Health Organization and the World Bank published digital-health strategies that linked telemedicine to universal health coverage and, later, to the Sustainable Development Goals</w:t>
      </w:r>
      <w:r w:rsidR="00E04550" w:rsidRPr="00355A5F">
        <w:rPr>
          <w:rFonts w:ascii="Arial" w:hAnsi="Arial" w:cs="Arial"/>
          <w:sz w:val="22"/>
          <w:szCs w:val="22"/>
        </w:rPr>
        <w:t xml:space="preserve"> (WHO, 2021; World Bank, 2023)</w:t>
      </w:r>
      <w:r w:rsidRPr="00355A5F">
        <w:rPr>
          <w:rFonts w:ascii="Arial" w:hAnsi="Arial" w:cs="Arial"/>
          <w:sz w:val="22"/>
          <w:szCs w:val="22"/>
        </w:rPr>
        <w:t>. Telemedicine was increasingly framed as a lever for SDG 3 on health, SDG 9 on infrastructure and SDG 10 on reduced inequalities. Yet many initiatives remained fragmented pilots rather than integrated services, and robust evidence on sustained population-level impact in rural areas stayed limited</w:t>
      </w:r>
      <w:r w:rsidR="00F5135E" w:rsidRPr="00355A5F">
        <w:rPr>
          <w:rFonts w:ascii="Arial" w:hAnsi="Arial" w:cs="Arial"/>
          <w:sz w:val="22"/>
          <w:szCs w:val="22"/>
        </w:rPr>
        <w:t xml:space="preserve"> (Havelikar </w:t>
      </w:r>
      <w:r w:rsidR="00F5135E" w:rsidRPr="00355A5F">
        <w:rPr>
          <w:rFonts w:ascii="Arial" w:hAnsi="Arial" w:cs="Arial"/>
          <w:i/>
          <w:iCs/>
          <w:sz w:val="22"/>
          <w:szCs w:val="22"/>
        </w:rPr>
        <w:t>et al.</w:t>
      </w:r>
      <w:r w:rsidR="00F5135E" w:rsidRPr="00355A5F">
        <w:rPr>
          <w:rFonts w:ascii="Arial" w:hAnsi="Arial" w:cs="Arial"/>
          <w:sz w:val="22"/>
          <w:szCs w:val="22"/>
        </w:rPr>
        <w:t>, 2025)</w:t>
      </w:r>
      <w:r w:rsidRPr="00355A5F">
        <w:rPr>
          <w:rFonts w:ascii="Arial" w:hAnsi="Arial" w:cs="Arial"/>
          <w:sz w:val="22"/>
          <w:szCs w:val="22"/>
        </w:rPr>
        <w:t>.</w:t>
      </w:r>
    </w:p>
    <w:p w14:paraId="130C50BA" w14:textId="0BF1FE04"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Professional organisations and technology firms have played a central role in shaping this trajectory. Clinical associations produced guidelines for remote consultations and teleradiology, largely focusing on liability, clinical safety and technical quality. Telecommunications and software companies influenced platforms and data infrastructures, often prioritising market expansion and proprietary systems. In response, rural health advocates and some non-governmental organisations promoted community-based telehealth models that involved local health workers and culturally grounded content</w:t>
      </w:r>
      <w:r w:rsidR="00F5135E" w:rsidRPr="00355A5F">
        <w:rPr>
          <w:rFonts w:ascii="Arial" w:hAnsi="Arial" w:cs="Arial"/>
          <w:sz w:val="22"/>
          <w:szCs w:val="22"/>
        </w:rPr>
        <w:t xml:space="preserve"> (Bashshur </w:t>
      </w:r>
      <w:r w:rsidR="00F5135E" w:rsidRPr="00355A5F">
        <w:rPr>
          <w:rFonts w:ascii="Arial" w:hAnsi="Arial" w:cs="Arial"/>
          <w:i/>
          <w:iCs/>
          <w:sz w:val="22"/>
          <w:szCs w:val="22"/>
        </w:rPr>
        <w:t>et al.</w:t>
      </w:r>
      <w:r w:rsidR="00F5135E" w:rsidRPr="00355A5F">
        <w:rPr>
          <w:rFonts w:ascii="Arial" w:hAnsi="Arial" w:cs="Arial"/>
          <w:sz w:val="22"/>
          <w:szCs w:val="22"/>
        </w:rPr>
        <w:t xml:space="preserve">, 2016; Chandramohan </w:t>
      </w:r>
      <w:r w:rsidR="00F5135E" w:rsidRPr="00355A5F">
        <w:rPr>
          <w:rFonts w:ascii="Arial" w:hAnsi="Arial" w:cs="Arial"/>
          <w:i/>
          <w:iCs/>
          <w:sz w:val="22"/>
          <w:szCs w:val="22"/>
        </w:rPr>
        <w:t>et al.</w:t>
      </w:r>
      <w:r w:rsidR="00F5135E" w:rsidRPr="00355A5F">
        <w:rPr>
          <w:rFonts w:ascii="Arial" w:hAnsi="Arial" w:cs="Arial"/>
          <w:sz w:val="22"/>
          <w:szCs w:val="22"/>
        </w:rPr>
        <w:t>, 2023)</w:t>
      </w:r>
      <w:r w:rsidRPr="00355A5F">
        <w:rPr>
          <w:rFonts w:ascii="Arial" w:hAnsi="Arial" w:cs="Arial"/>
          <w:sz w:val="22"/>
          <w:szCs w:val="22"/>
        </w:rPr>
        <w:t>.</w:t>
      </w:r>
    </w:p>
    <w:p w14:paraId="398F9E16" w14:textId="69EEAC15"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lastRenderedPageBreak/>
        <w:t>The COVID-19 pandemic marked another turning point. Lockdowns and infection-control measures prompted rapid expansion of teleconsultations, remote triage and digital prescribing. This confirmed that large-scale change is possible but exposed persistent gaps in connectivity, digital literacy and regulation, particularly in rural communities</w:t>
      </w:r>
      <w:r w:rsidR="00E13E7E" w:rsidRPr="00355A5F">
        <w:rPr>
          <w:rFonts w:ascii="Arial" w:hAnsi="Arial" w:cs="Arial"/>
          <w:sz w:val="22"/>
          <w:szCs w:val="22"/>
        </w:rPr>
        <w:t xml:space="preserve"> </w:t>
      </w:r>
      <w:r w:rsidR="00D8685B" w:rsidRPr="00355A5F">
        <w:rPr>
          <w:rFonts w:ascii="Arial" w:hAnsi="Arial" w:cs="Arial"/>
          <w:sz w:val="22"/>
          <w:szCs w:val="22"/>
        </w:rPr>
        <w:t xml:space="preserve">(Omboni </w:t>
      </w:r>
      <w:r w:rsidR="00D8685B" w:rsidRPr="00355A5F">
        <w:rPr>
          <w:rFonts w:ascii="Arial" w:hAnsi="Arial" w:cs="Arial"/>
          <w:i/>
          <w:iCs/>
          <w:sz w:val="22"/>
          <w:szCs w:val="22"/>
        </w:rPr>
        <w:t>et al.</w:t>
      </w:r>
      <w:r w:rsidR="00D8685B" w:rsidRPr="00355A5F">
        <w:rPr>
          <w:rFonts w:ascii="Arial" w:hAnsi="Arial" w:cs="Arial"/>
          <w:sz w:val="22"/>
          <w:szCs w:val="22"/>
        </w:rPr>
        <w:t>, 2022)</w:t>
      </w:r>
      <w:r w:rsidRPr="00355A5F">
        <w:rPr>
          <w:rFonts w:ascii="Arial" w:hAnsi="Arial" w:cs="Arial"/>
          <w:sz w:val="22"/>
          <w:szCs w:val="22"/>
        </w:rPr>
        <w:t>. Overall, the historical development of telemedicine and digital health reveals a pattern of technological optimism outpacing careful attention to context, governance and equity, which this dissertation aims to scrutinise in relation to rural SDG commitments and outcomes.</w:t>
      </w:r>
    </w:p>
    <w:p w14:paraId="55B078F3" w14:textId="77777777" w:rsidR="00B86E38" w:rsidRPr="006662CB" w:rsidRDefault="00B86E38" w:rsidP="006662CB">
      <w:pPr>
        <w:rPr>
          <w:b/>
          <w:bCs/>
        </w:rPr>
      </w:pPr>
      <w:r w:rsidRPr="006662CB">
        <w:rPr>
          <w:b/>
          <w:bCs/>
        </w:rPr>
        <w:t>2.3 Theoretical Background</w:t>
      </w:r>
    </w:p>
    <w:p w14:paraId="6E1CDCA3" w14:textId="7777777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This study draws on two main theories and one key concept to frame analysis of telemedicine and digital health in rural communities: Diffusion of Innovation theory, the Technology Acceptance Model and the concept of the digital divide. Together, they explain how digital-health interventions spread, why people use them and who benefits. Using theory in this way supports a critical reading of the evidence base rather than assuming that technology use is automatically positive.</w:t>
      </w:r>
    </w:p>
    <w:p w14:paraId="64495BAA" w14:textId="49E91F1F"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Diffusion of Innovation theory, developed by Rogers, describes how new ideas and technologies spread through a social system over time. It highlights the perceived attributes of an innovation</w:t>
      </w:r>
      <w:r w:rsidR="00C94DB6" w:rsidRPr="00355A5F">
        <w:rPr>
          <w:rFonts w:ascii="Arial" w:hAnsi="Arial" w:cs="Arial"/>
          <w:sz w:val="22"/>
          <w:szCs w:val="22"/>
        </w:rPr>
        <w:t xml:space="preserve">: </w:t>
      </w:r>
      <w:r w:rsidRPr="00355A5F">
        <w:rPr>
          <w:rFonts w:ascii="Arial" w:hAnsi="Arial" w:cs="Arial"/>
          <w:sz w:val="22"/>
          <w:szCs w:val="22"/>
        </w:rPr>
        <w:t>relative advantage, compatibility, complexity, trialability and observability</w:t>
      </w:r>
      <w:r w:rsidR="00C94DB6" w:rsidRPr="00355A5F">
        <w:rPr>
          <w:rFonts w:ascii="Arial" w:hAnsi="Arial" w:cs="Arial"/>
          <w:sz w:val="22"/>
          <w:szCs w:val="22"/>
        </w:rPr>
        <w:t xml:space="preserve"> </w:t>
      </w:r>
      <w:r w:rsidRPr="00355A5F">
        <w:rPr>
          <w:rFonts w:ascii="Arial" w:hAnsi="Arial" w:cs="Arial"/>
          <w:sz w:val="22"/>
          <w:szCs w:val="22"/>
        </w:rPr>
        <w:t>as key influences on adoption</w:t>
      </w:r>
      <w:r w:rsidR="00340DB6" w:rsidRPr="00355A5F">
        <w:rPr>
          <w:rFonts w:ascii="Arial" w:hAnsi="Arial" w:cs="Arial"/>
          <w:sz w:val="22"/>
          <w:szCs w:val="22"/>
        </w:rPr>
        <w:t xml:space="preserve"> (Dearing, 2009)</w:t>
      </w:r>
      <w:r w:rsidRPr="00355A5F">
        <w:rPr>
          <w:rFonts w:ascii="Arial" w:hAnsi="Arial" w:cs="Arial"/>
          <w:sz w:val="22"/>
          <w:szCs w:val="22"/>
        </w:rPr>
        <w:t>. Telemedicine studies use this framework to analyse how stakeholders judge the value of remote care. Telehealth tends to be adopted more readily in rural clinics when it is seen as compatible with existing workflows, clearly reduces travel for patients and produces visible positive outcomes. The theory also draws attention to opinion leaders and professional networks, which can either champion or block digital-health initiatives</w:t>
      </w:r>
      <w:r w:rsidR="00C94DB6" w:rsidRPr="00355A5F">
        <w:rPr>
          <w:rFonts w:ascii="Arial" w:hAnsi="Arial" w:cs="Arial"/>
          <w:sz w:val="22"/>
          <w:szCs w:val="22"/>
        </w:rPr>
        <w:t xml:space="preserve"> (Spaulding </w:t>
      </w:r>
      <w:r w:rsidR="00C94DB6" w:rsidRPr="00355A5F">
        <w:rPr>
          <w:rFonts w:ascii="Arial" w:hAnsi="Arial" w:cs="Arial"/>
          <w:i/>
          <w:iCs/>
          <w:sz w:val="22"/>
          <w:szCs w:val="22"/>
        </w:rPr>
        <w:t>et al.</w:t>
      </w:r>
      <w:r w:rsidR="00C94DB6" w:rsidRPr="00355A5F">
        <w:rPr>
          <w:rFonts w:ascii="Arial" w:hAnsi="Arial" w:cs="Arial"/>
          <w:sz w:val="22"/>
          <w:szCs w:val="22"/>
        </w:rPr>
        <w:t>, 2005)</w:t>
      </w:r>
      <w:r w:rsidRPr="00355A5F">
        <w:rPr>
          <w:rFonts w:ascii="Arial" w:hAnsi="Arial" w:cs="Arial"/>
          <w:sz w:val="22"/>
          <w:szCs w:val="22"/>
        </w:rPr>
        <w:t>. However, diffusion research has been criticised for a pro-innovation bias and for underplaying power relations. In many rural telemedicine programmes, decisions about design and rollout are made by central authorities or external donors, not by communities themselves, and diffusion theory has limited capacity to address these structural dynamics</w:t>
      </w:r>
      <w:r w:rsidR="00C94DB6" w:rsidRPr="00355A5F">
        <w:rPr>
          <w:rFonts w:ascii="Arial" w:hAnsi="Arial" w:cs="Arial"/>
          <w:sz w:val="22"/>
          <w:szCs w:val="22"/>
        </w:rPr>
        <w:t xml:space="preserve"> (Zhang </w:t>
      </w:r>
      <w:r w:rsidR="00C94DB6" w:rsidRPr="00355A5F">
        <w:rPr>
          <w:rFonts w:ascii="Arial" w:hAnsi="Arial" w:cs="Arial"/>
          <w:i/>
          <w:iCs/>
          <w:sz w:val="22"/>
          <w:szCs w:val="22"/>
        </w:rPr>
        <w:t>et al.</w:t>
      </w:r>
      <w:r w:rsidR="00C94DB6" w:rsidRPr="00355A5F">
        <w:rPr>
          <w:rFonts w:ascii="Arial" w:hAnsi="Arial" w:cs="Arial"/>
          <w:sz w:val="22"/>
          <w:szCs w:val="22"/>
        </w:rPr>
        <w:t>, 2015)</w:t>
      </w:r>
      <w:r w:rsidRPr="00355A5F">
        <w:rPr>
          <w:rFonts w:ascii="Arial" w:hAnsi="Arial" w:cs="Arial"/>
          <w:sz w:val="22"/>
          <w:szCs w:val="22"/>
        </w:rPr>
        <w:t>.</w:t>
      </w:r>
    </w:p>
    <w:p w14:paraId="6D4E6BBC" w14:textId="09BFEECE"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The Technology Acceptance Model (TAM) focuses on how perceived usefulness and perceived ease of use shape users’ intentions and actual use of technology. TAM has been widely applied in digital-health research with clinicians and patients</w:t>
      </w:r>
      <w:r w:rsidR="00430BE3" w:rsidRPr="00355A5F">
        <w:rPr>
          <w:rFonts w:ascii="Arial" w:hAnsi="Arial" w:cs="Arial"/>
          <w:sz w:val="22"/>
          <w:szCs w:val="22"/>
        </w:rPr>
        <w:t xml:space="preserve"> (Lee, Ramasamy and Subbarao, 2025)</w:t>
      </w:r>
      <w:r w:rsidRPr="00355A5F">
        <w:rPr>
          <w:rFonts w:ascii="Arial" w:hAnsi="Arial" w:cs="Arial"/>
          <w:sz w:val="22"/>
          <w:szCs w:val="22"/>
        </w:rPr>
        <w:t xml:space="preserve">. </w:t>
      </w:r>
      <w:r w:rsidR="00430BE3" w:rsidRPr="00355A5F">
        <w:rPr>
          <w:rFonts w:ascii="Arial" w:hAnsi="Arial" w:cs="Arial"/>
          <w:sz w:val="22"/>
          <w:szCs w:val="22"/>
        </w:rPr>
        <w:t xml:space="preserve">Ma </w:t>
      </w:r>
      <w:r w:rsidR="00430BE3" w:rsidRPr="00355A5F">
        <w:rPr>
          <w:rFonts w:ascii="Arial" w:hAnsi="Arial" w:cs="Arial"/>
          <w:i/>
          <w:iCs/>
          <w:sz w:val="22"/>
          <w:szCs w:val="22"/>
        </w:rPr>
        <w:t>et al.</w:t>
      </w:r>
      <w:r w:rsidR="00430BE3" w:rsidRPr="00355A5F">
        <w:rPr>
          <w:rFonts w:ascii="Arial" w:hAnsi="Arial" w:cs="Arial"/>
          <w:sz w:val="22"/>
          <w:szCs w:val="22"/>
        </w:rPr>
        <w:t xml:space="preserve"> (2022) </w:t>
      </w:r>
      <w:r w:rsidRPr="00355A5F">
        <w:rPr>
          <w:rFonts w:ascii="Arial" w:hAnsi="Arial" w:cs="Arial"/>
          <w:sz w:val="22"/>
          <w:szCs w:val="22"/>
        </w:rPr>
        <w:t xml:space="preserve">use surveys to test how strongly these perceptions predict willingness to use telemedicine. Findings show that even when infrastructure is present, low perceived usefulness or concerns about usability can restrict uptake. TAM is valuable for making user experience visible and for highlighting the importance of training, interface design </w:t>
      </w:r>
      <w:r w:rsidRPr="00355A5F">
        <w:rPr>
          <w:rFonts w:ascii="Arial" w:hAnsi="Arial" w:cs="Arial"/>
          <w:sz w:val="22"/>
          <w:szCs w:val="22"/>
        </w:rPr>
        <w:lastRenderedPageBreak/>
        <w:t>and workflow integration. Yet it is narrow. It treats acceptance mainly as an individual decision and pays less attention to institutional constraints, data governance or cultural meanings of face-to-face care that are highly relevant in rural settings</w:t>
      </w:r>
      <w:r w:rsidR="0028135C" w:rsidRPr="00355A5F">
        <w:rPr>
          <w:rFonts w:ascii="Arial" w:hAnsi="Arial" w:cs="Arial"/>
          <w:sz w:val="22"/>
          <w:szCs w:val="22"/>
        </w:rPr>
        <w:t xml:space="preserve"> (Wang </w:t>
      </w:r>
      <w:r w:rsidR="0028135C" w:rsidRPr="00355A5F">
        <w:rPr>
          <w:rFonts w:ascii="Arial" w:hAnsi="Arial" w:cs="Arial"/>
          <w:i/>
          <w:iCs/>
          <w:sz w:val="22"/>
          <w:szCs w:val="22"/>
        </w:rPr>
        <w:t>et al.</w:t>
      </w:r>
      <w:r w:rsidR="0028135C" w:rsidRPr="00355A5F">
        <w:rPr>
          <w:rFonts w:ascii="Arial" w:hAnsi="Arial" w:cs="Arial"/>
          <w:sz w:val="22"/>
          <w:szCs w:val="22"/>
        </w:rPr>
        <w:t>, 2025)</w:t>
      </w:r>
      <w:r w:rsidRPr="00355A5F">
        <w:rPr>
          <w:rFonts w:ascii="Arial" w:hAnsi="Arial" w:cs="Arial"/>
          <w:sz w:val="22"/>
          <w:szCs w:val="22"/>
        </w:rPr>
        <w:t>.</w:t>
      </w:r>
    </w:p>
    <w:p w14:paraId="74880979" w14:textId="489902C9"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The concept of the digital divide complements these theories by centring inequities in access, skills and outcomes related to digital technologies. Research on telehealth often distinguishes first-level divides (physical access to devices and connectivity), second-level divides (digital literacy) and third-level divides (differences in the benefits gained). In rural communities, these divides intersect with income, gender, age, disability and ethnicity</w:t>
      </w:r>
      <w:r w:rsidR="00550A91" w:rsidRPr="00355A5F">
        <w:rPr>
          <w:rFonts w:ascii="Arial" w:hAnsi="Arial" w:cs="Arial"/>
          <w:sz w:val="22"/>
          <w:szCs w:val="22"/>
        </w:rPr>
        <w:t xml:space="preserve"> (Wang </w:t>
      </w:r>
      <w:r w:rsidR="00550A91" w:rsidRPr="00355A5F">
        <w:rPr>
          <w:rFonts w:ascii="Arial" w:hAnsi="Arial" w:cs="Arial"/>
          <w:i/>
          <w:iCs/>
          <w:sz w:val="22"/>
          <w:szCs w:val="22"/>
        </w:rPr>
        <w:t>et al.</w:t>
      </w:r>
      <w:r w:rsidR="00550A91" w:rsidRPr="00355A5F">
        <w:rPr>
          <w:rFonts w:ascii="Arial" w:hAnsi="Arial" w:cs="Arial"/>
          <w:sz w:val="22"/>
          <w:szCs w:val="22"/>
        </w:rPr>
        <w:t xml:space="preserve">, 2025; Zhang </w:t>
      </w:r>
      <w:r w:rsidR="00550A91" w:rsidRPr="00355A5F">
        <w:rPr>
          <w:rFonts w:ascii="Arial" w:hAnsi="Arial" w:cs="Arial"/>
          <w:i/>
          <w:iCs/>
          <w:sz w:val="22"/>
          <w:szCs w:val="22"/>
        </w:rPr>
        <w:t>et al.</w:t>
      </w:r>
      <w:r w:rsidR="00550A91" w:rsidRPr="00355A5F">
        <w:rPr>
          <w:rFonts w:ascii="Arial" w:hAnsi="Arial" w:cs="Arial"/>
          <w:sz w:val="22"/>
          <w:szCs w:val="22"/>
        </w:rPr>
        <w:t>, 2015)</w:t>
      </w:r>
      <w:r w:rsidRPr="00355A5F">
        <w:rPr>
          <w:rFonts w:ascii="Arial" w:hAnsi="Arial" w:cs="Arial"/>
          <w:sz w:val="22"/>
          <w:szCs w:val="22"/>
        </w:rPr>
        <w:t>. While diffusion and TAM may suggest that an innovation is spreading, digital-divide analysis can reveal that the poorest households, older adults or minority groups are being left behind. The concept is useful for linking SDG 9 and SDG 10, but on its own it can become descriptive and deficit-focused, framing communities as lacking rather than questioning why infrastructures and policies remain unequal</w:t>
      </w:r>
      <w:r w:rsidR="00AD3044" w:rsidRPr="00355A5F">
        <w:rPr>
          <w:rFonts w:ascii="Arial" w:hAnsi="Arial" w:cs="Arial"/>
          <w:sz w:val="22"/>
          <w:szCs w:val="22"/>
        </w:rPr>
        <w:t xml:space="preserve"> (Maita </w:t>
      </w:r>
      <w:r w:rsidR="00AD3044" w:rsidRPr="00355A5F">
        <w:rPr>
          <w:rFonts w:ascii="Arial" w:hAnsi="Arial" w:cs="Arial"/>
          <w:i/>
          <w:iCs/>
          <w:sz w:val="22"/>
          <w:szCs w:val="22"/>
        </w:rPr>
        <w:t>et al.</w:t>
      </w:r>
      <w:r w:rsidR="00AD3044" w:rsidRPr="00355A5F">
        <w:rPr>
          <w:rFonts w:ascii="Arial" w:hAnsi="Arial" w:cs="Arial"/>
          <w:sz w:val="22"/>
          <w:szCs w:val="22"/>
        </w:rPr>
        <w:t xml:space="preserve">, 2024; Wang </w:t>
      </w:r>
      <w:r w:rsidR="00AD3044" w:rsidRPr="00355A5F">
        <w:rPr>
          <w:rFonts w:ascii="Arial" w:hAnsi="Arial" w:cs="Arial"/>
          <w:i/>
          <w:iCs/>
          <w:sz w:val="22"/>
          <w:szCs w:val="22"/>
        </w:rPr>
        <w:t>et al.</w:t>
      </w:r>
      <w:r w:rsidR="00AD3044" w:rsidRPr="00355A5F">
        <w:rPr>
          <w:rFonts w:ascii="Arial" w:hAnsi="Arial" w:cs="Arial"/>
          <w:sz w:val="22"/>
          <w:szCs w:val="22"/>
        </w:rPr>
        <w:t xml:space="preserve">, 2025; Zhang </w:t>
      </w:r>
      <w:r w:rsidR="00AD3044" w:rsidRPr="00355A5F">
        <w:rPr>
          <w:rFonts w:ascii="Arial" w:hAnsi="Arial" w:cs="Arial"/>
          <w:i/>
          <w:iCs/>
          <w:sz w:val="22"/>
          <w:szCs w:val="22"/>
        </w:rPr>
        <w:t>et al.</w:t>
      </w:r>
      <w:r w:rsidR="00AD3044" w:rsidRPr="00355A5F">
        <w:rPr>
          <w:rFonts w:ascii="Arial" w:hAnsi="Arial" w:cs="Arial"/>
          <w:sz w:val="22"/>
          <w:szCs w:val="22"/>
        </w:rPr>
        <w:t>, 2015)</w:t>
      </w:r>
      <w:r w:rsidRPr="00355A5F">
        <w:rPr>
          <w:rFonts w:ascii="Arial" w:hAnsi="Arial" w:cs="Arial"/>
          <w:sz w:val="22"/>
          <w:szCs w:val="22"/>
        </w:rPr>
        <w:t>. Taken together, these theoretical tools support a critical reading of telemedicine evidence by highlighting adoption processes, user experience and structural inequalities rather than assuming linear progress, and for analysing SDG outcomes in rural health in practice.</w:t>
      </w:r>
    </w:p>
    <w:p w14:paraId="36DB10F2" w14:textId="64F74384" w:rsidR="00B86E38" w:rsidRPr="006662CB" w:rsidRDefault="00B86E38" w:rsidP="006662CB">
      <w:pPr>
        <w:rPr>
          <w:b/>
          <w:bCs/>
        </w:rPr>
      </w:pPr>
      <w:r w:rsidRPr="006662CB">
        <w:rPr>
          <w:b/>
          <w:bCs/>
        </w:rPr>
        <w:t xml:space="preserve">2.4 International Context </w:t>
      </w:r>
    </w:p>
    <w:p w14:paraId="0D25DC39" w14:textId="572EA578"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 xml:space="preserve">Telemedicine and digital health have become prominent in health policy agendas across regions, but their framing and implementation differ. </w:t>
      </w:r>
      <w:r w:rsidR="008308AF" w:rsidRPr="00355A5F">
        <w:rPr>
          <w:rFonts w:ascii="Arial" w:hAnsi="Arial" w:cs="Arial"/>
          <w:sz w:val="22"/>
          <w:szCs w:val="22"/>
        </w:rPr>
        <w:t>WHO and World Bank</w:t>
      </w:r>
      <w:r w:rsidRPr="00355A5F">
        <w:rPr>
          <w:rFonts w:ascii="Arial" w:hAnsi="Arial" w:cs="Arial"/>
          <w:sz w:val="22"/>
          <w:szCs w:val="22"/>
        </w:rPr>
        <w:t xml:space="preserve"> present digital health as a key tool for achieving universal health coverage and the Sustainable Development Goals, especially for groups who are geographically isolated</w:t>
      </w:r>
      <w:r w:rsidR="008308AF" w:rsidRPr="00355A5F">
        <w:rPr>
          <w:rFonts w:ascii="Arial" w:hAnsi="Arial" w:cs="Arial"/>
          <w:sz w:val="22"/>
          <w:szCs w:val="22"/>
        </w:rPr>
        <w:t xml:space="preserve"> (WHO, 2021; World Bank, 2023)</w:t>
      </w:r>
      <w:r w:rsidRPr="00355A5F">
        <w:rPr>
          <w:rFonts w:ascii="Arial" w:hAnsi="Arial" w:cs="Arial"/>
          <w:sz w:val="22"/>
          <w:szCs w:val="22"/>
        </w:rPr>
        <w:t xml:space="preserve">. Many countries </w:t>
      </w:r>
      <w:r w:rsidR="008308AF" w:rsidRPr="00355A5F">
        <w:rPr>
          <w:rFonts w:ascii="Arial" w:hAnsi="Arial" w:cs="Arial"/>
          <w:sz w:val="22"/>
          <w:szCs w:val="22"/>
        </w:rPr>
        <w:t xml:space="preserve">like India and Australia </w:t>
      </w:r>
      <w:r w:rsidRPr="00355A5F">
        <w:rPr>
          <w:rFonts w:ascii="Arial" w:hAnsi="Arial" w:cs="Arial"/>
          <w:sz w:val="22"/>
          <w:szCs w:val="22"/>
        </w:rPr>
        <w:t>now have national digital-health strategies that include teleconsultations, remote monitoring, electronic records and mHealth interventions, with explicit reference to rural service gaps. However, investment patterns often favour urban centres, hospitals and specialist services, and rural deployment is treated as a later phase</w:t>
      </w:r>
      <w:r w:rsidR="008308AF" w:rsidRPr="00355A5F">
        <w:rPr>
          <w:rFonts w:ascii="Arial" w:hAnsi="Arial" w:cs="Arial"/>
          <w:sz w:val="22"/>
          <w:szCs w:val="22"/>
        </w:rPr>
        <w:t xml:space="preserve"> (Krahe </w:t>
      </w:r>
      <w:r w:rsidR="008308AF" w:rsidRPr="00355A5F">
        <w:rPr>
          <w:rFonts w:ascii="Arial" w:hAnsi="Arial" w:cs="Arial"/>
          <w:i/>
          <w:iCs/>
          <w:sz w:val="22"/>
          <w:szCs w:val="22"/>
        </w:rPr>
        <w:t>et al.</w:t>
      </w:r>
      <w:r w:rsidR="008308AF" w:rsidRPr="00355A5F">
        <w:rPr>
          <w:rFonts w:ascii="Arial" w:hAnsi="Arial" w:cs="Arial"/>
          <w:sz w:val="22"/>
          <w:szCs w:val="22"/>
        </w:rPr>
        <w:t>, 2025)</w:t>
      </w:r>
      <w:r w:rsidRPr="00355A5F">
        <w:rPr>
          <w:rFonts w:ascii="Arial" w:hAnsi="Arial" w:cs="Arial"/>
          <w:sz w:val="22"/>
          <w:szCs w:val="22"/>
        </w:rPr>
        <w:t>.</w:t>
      </w:r>
    </w:p>
    <w:p w14:paraId="007E350D" w14:textId="485E1173"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In high-income countries, telemedicine growth has been driven by ageing populations, workforce shortages and cost pressures. Common trends include regulatory reform to allow remote prescribing, reimbursement for virtual visits, and standards for data security. During the COVID-19 pandemic, telephone and video consultations expanded rapidly and were later integrated to different degrees into routine care</w:t>
      </w:r>
      <w:r w:rsidR="00136CAF" w:rsidRPr="00355A5F">
        <w:rPr>
          <w:rFonts w:ascii="Arial" w:hAnsi="Arial" w:cs="Arial"/>
          <w:sz w:val="22"/>
          <w:szCs w:val="22"/>
        </w:rPr>
        <w:t xml:space="preserve"> (Omboni </w:t>
      </w:r>
      <w:r w:rsidR="00136CAF" w:rsidRPr="00355A5F">
        <w:rPr>
          <w:rFonts w:ascii="Arial" w:hAnsi="Arial" w:cs="Arial"/>
          <w:i/>
          <w:iCs/>
          <w:sz w:val="22"/>
          <w:szCs w:val="22"/>
        </w:rPr>
        <w:t>et al.</w:t>
      </w:r>
      <w:r w:rsidR="00136CAF" w:rsidRPr="00355A5F">
        <w:rPr>
          <w:rFonts w:ascii="Arial" w:hAnsi="Arial" w:cs="Arial"/>
          <w:sz w:val="22"/>
          <w:szCs w:val="22"/>
        </w:rPr>
        <w:t>, 2022)</w:t>
      </w:r>
      <w:r w:rsidRPr="00355A5F">
        <w:rPr>
          <w:rFonts w:ascii="Arial" w:hAnsi="Arial" w:cs="Arial"/>
          <w:sz w:val="22"/>
          <w:szCs w:val="22"/>
        </w:rPr>
        <w:t>. Critical evaluations show that while many rural patients valued reduced travel and faster access, digital exclusion remained for people without devices, connectivity or confidence.</w:t>
      </w:r>
    </w:p>
    <w:p w14:paraId="04C5EBFF" w14:textId="1AAB2C89"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lastRenderedPageBreak/>
        <w:t>In many low- and middle-income countries, digital health is linked to efforts to strengthen primary care and community health. Governments and donors have supported SMS reminders for maternal and child health, tele-mentoring for rural clinicians, and digital supply-chain systems for medicines. These programmes show that technologies can improve communication and continuity of care</w:t>
      </w:r>
      <w:r w:rsidR="008C1243" w:rsidRPr="00355A5F">
        <w:rPr>
          <w:rFonts w:ascii="Arial" w:hAnsi="Arial" w:cs="Arial"/>
          <w:sz w:val="22"/>
          <w:szCs w:val="22"/>
        </w:rPr>
        <w:t xml:space="preserve"> (Till </w:t>
      </w:r>
      <w:r w:rsidR="008C1243" w:rsidRPr="00355A5F">
        <w:rPr>
          <w:rFonts w:ascii="Arial" w:hAnsi="Arial" w:cs="Arial"/>
          <w:i/>
          <w:iCs/>
          <w:sz w:val="22"/>
          <w:szCs w:val="22"/>
        </w:rPr>
        <w:t>et al.</w:t>
      </w:r>
      <w:r w:rsidR="008C1243" w:rsidRPr="00355A5F">
        <w:rPr>
          <w:rFonts w:ascii="Arial" w:hAnsi="Arial" w:cs="Arial"/>
          <w:sz w:val="22"/>
          <w:szCs w:val="22"/>
        </w:rPr>
        <w:t xml:space="preserve">, 2022; Woods </w:t>
      </w:r>
      <w:r w:rsidR="008C1243" w:rsidRPr="00355A5F">
        <w:rPr>
          <w:rFonts w:ascii="Arial" w:hAnsi="Arial" w:cs="Arial"/>
          <w:i/>
          <w:iCs/>
          <w:sz w:val="22"/>
          <w:szCs w:val="22"/>
        </w:rPr>
        <w:t>et al.</w:t>
      </w:r>
      <w:r w:rsidR="008C1243" w:rsidRPr="00355A5F">
        <w:rPr>
          <w:rFonts w:ascii="Arial" w:hAnsi="Arial" w:cs="Arial"/>
          <w:sz w:val="22"/>
          <w:szCs w:val="22"/>
        </w:rPr>
        <w:t>, 2024)</w:t>
      </w:r>
      <w:r w:rsidRPr="00355A5F">
        <w:rPr>
          <w:rFonts w:ascii="Arial" w:hAnsi="Arial" w:cs="Arial"/>
          <w:sz w:val="22"/>
          <w:szCs w:val="22"/>
        </w:rPr>
        <w:t>. At the same time, dependence on external funding, fragmented pilots and weak maintenance strategies undermine sustainability. Power imbalances between international partners and local communities can limit ownership and adaptation</w:t>
      </w:r>
      <w:r w:rsidR="00DA27DE" w:rsidRPr="00355A5F">
        <w:rPr>
          <w:rFonts w:ascii="Arial" w:hAnsi="Arial" w:cs="Arial"/>
          <w:sz w:val="22"/>
          <w:szCs w:val="22"/>
        </w:rPr>
        <w:t xml:space="preserve"> (Kyambade </w:t>
      </w:r>
      <w:r w:rsidR="00DA27DE" w:rsidRPr="00355A5F">
        <w:rPr>
          <w:rFonts w:ascii="Arial" w:hAnsi="Arial" w:cs="Arial"/>
          <w:i/>
          <w:iCs/>
          <w:sz w:val="22"/>
          <w:szCs w:val="22"/>
        </w:rPr>
        <w:t>et al.</w:t>
      </w:r>
      <w:r w:rsidR="00DA27DE" w:rsidRPr="00355A5F">
        <w:rPr>
          <w:rFonts w:ascii="Arial" w:hAnsi="Arial" w:cs="Arial"/>
          <w:sz w:val="22"/>
          <w:szCs w:val="22"/>
        </w:rPr>
        <w:t>, 2025)</w:t>
      </w:r>
      <w:r w:rsidRPr="00355A5F">
        <w:rPr>
          <w:rFonts w:ascii="Arial" w:hAnsi="Arial" w:cs="Arial"/>
          <w:sz w:val="22"/>
          <w:szCs w:val="22"/>
        </w:rPr>
        <w:t>.</w:t>
      </w:r>
    </w:p>
    <w:p w14:paraId="37FB58ED" w14:textId="2DC9C032"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Global initiatives, including multi-country digital-health partnerships and open-source software platforms, aim to promote standards, interoperability and shared learning. They offer opportunities for rural-focused solutions but can also push generic models that are poorly aligned with local languages, cultures and structures. Funding cycles are short, and evaluation frameworks rarely capture equity impacts</w:t>
      </w:r>
      <w:r w:rsidR="005771A2" w:rsidRPr="00355A5F">
        <w:rPr>
          <w:rFonts w:ascii="Arial" w:hAnsi="Arial" w:cs="Arial"/>
          <w:sz w:val="22"/>
          <w:szCs w:val="22"/>
        </w:rPr>
        <w:t xml:space="preserve"> (Erku </w:t>
      </w:r>
      <w:r w:rsidR="005771A2" w:rsidRPr="00355A5F">
        <w:rPr>
          <w:rFonts w:ascii="Arial" w:hAnsi="Arial" w:cs="Arial"/>
          <w:i/>
          <w:iCs/>
          <w:sz w:val="22"/>
          <w:szCs w:val="22"/>
        </w:rPr>
        <w:t>et al.</w:t>
      </w:r>
      <w:r w:rsidR="005771A2" w:rsidRPr="00355A5F">
        <w:rPr>
          <w:rFonts w:ascii="Arial" w:hAnsi="Arial" w:cs="Arial"/>
          <w:sz w:val="22"/>
          <w:szCs w:val="22"/>
        </w:rPr>
        <w:t>, 2023)</w:t>
      </w:r>
      <w:r w:rsidRPr="00355A5F">
        <w:rPr>
          <w:rFonts w:ascii="Arial" w:hAnsi="Arial" w:cs="Arial"/>
          <w:sz w:val="22"/>
          <w:szCs w:val="22"/>
        </w:rPr>
        <w:t>.</w:t>
      </w:r>
    </w:p>
    <w:p w14:paraId="5280E0C2" w14:textId="1DE3AC6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Short case examples illustrate these patterns. In countries such as India, large-scale public teleconsultation platforms have increased the volume of rural consultations but face challenges of clinical quality, workload and digital literacy</w:t>
      </w:r>
      <w:r w:rsidR="00BF27B4" w:rsidRPr="00355A5F">
        <w:rPr>
          <w:rFonts w:ascii="Arial" w:hAnsi="Arial" w:cs="Arial"/>
          <w:sz w:val="22"/>
          <w:szCs w:val="22"/>
        </w:rPr>
        <w:t xml:space="preserve"> (Sinha and Rahul, 2024)</w:t>
      </w:r>
      <w:r w:rsidRPr="00355A5F">
        <w:rPr>
          <w:rFonts w:ascii="Arial" w:hAnsi="Arial" w:cs="Arial"/>
          <w:sz w:val="22"/>
          <w:szCs w:val="22"/>
        </w:rPr>
        <w:t>. In contrast, some Scandinavian and Canadian provinces have integrated telehealth into regional care pathways with emphasis on continuity and coordination, but equity issues remain for remote Indigenous communities</w:t>
      </w:r>
      <w:r w:rsidR="001E1A81" w:rsidRPr="00355A5F">
        <w:rPr>
          <w:rFonts w:ascii="Arial" w:hAnsi="Arial" w:cs="Arial"/>
          <w:sz w:val="22"/>
          <w:szCs w:val="22"/>
        </w:rPr>
        <w:t xml:space="preserve"> (Muttitt, Vigneault and Loewen, 2021)</w:t>
      </w:r>
      <w:r w:rsidRPr="00355A5F">
        <w:rPr>
          <w:rFonts w:ascii="Arial" w:hAnsi="Arial" w:cs="Arial"/>
          <w:sz w:val="22"/>
          <w:szCs w:val="22"/>
        </w:rPr>
        <w:t>. Across contexts, international experience suggests that telemedicine can support SDG-related goals for rural areas, but only when digital investments align with wider strategies for infrastructure, regulation and social protection, rather than being used as narrow stand-alone technical fixes in practice.</w:t>
      </w:r>
    </w:p>
    <w:p w14:paraId="353B5A1A" w14:textId="4259A5CA" w:rsidR="00B86E38" w:rsidRPr="006662CB" w:rsidRDefault="00B86E38" w:rsidP="006662CB">
      <w:pPr>
        <w:rPr>
          <w:b/>
          <w:bCs/>
        </w:rPr>
      </w:pPr>
      <w:r w:rsidRPr="006662CB">
        <w:rPr>
          <w:b/>
          <w:bCs/>
        </w:rPr>
        <w:t xml:space="preserve">2.5 National / Local UK </w:t>
      </w:r>
    </w:p>
    <w:p w14:paraId="40FC794D" w14:textId="7CE6D31A"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In the UK, telemedicine and digital health are widely framed as tools to modernise the National Health Service (NHS), manage demand and improve access, including for rural and coastal communities. Policy documents emphasise digital-first primary care, the NHS App, remote triage and virtual wards</w:t>
      </w:r>
      <w:r w:rsidR="00B365DE" w:rsidRPr="00355A5F">
        <w:rPr>
          <w:rFonts w:ascii="Arial" w:hAnsi="Arial" w:cs="Arial"/>
          <w:sz w:val="22"/>
          <w:szCs w:val="22"/>
        </w:rPr>
        <w:t xml:space="preserve"> (Gobburi </w:t>
      </w:r>
      <w:r w:rsidR="00B365DE" w:rsidRPr="00355A5F">
        <w:rPr>
          <w:rFonts w:ascii="Arial" w:hAnsi="Arial" w:cs="Arial"/>
          <w:i/>
          <w:iCs/>
          <w:sz w:val="22"/>
          <w:szCs w:val="22"/>
        </w:rPr>
        <w:t>et al.</w:t>
      </w:r>
      <w:r w:rsidR="00B365DE" w:rsidRPr="00355A5F">
        <w:rPr>
          <w:rFonts w:ascii="Arial" w:hAnsi="Arial" w:cs="Arial"/>
          <w:sz w:val="22"/>
          <w:szCs w:val="22"/>
        </w:rPr>
        <w:t>, 2025)</w:t>
      </w:r>
      <w:r w:rsidRPr="00355A5F">
        <w:rPr>
          <w:rFonts w:ascii="Arial" w:hAnsi="Arial" w:cs="Arial"/>
          <w:sz w:val="22"/>
          <w:szCs w:val="22"/>
        </w:rPr>
        <w:t>. Rural and remote areas in Scotland, Wales, Northern Ireland and parts of England are often cited as priority settings because of long travel distances, recruitment challenges and hospital centralisation. However, digital strategies frequently adopt a national lens that assumes stable broadband and device access, which does not match conditions in many rural households and can further widen rural health inequalities</w:t>
      </w:r>
      <w:r w:rsidR="00B365DE" w:rsidRPr="00355A5F">
        <w:rPr>
          <w:rFonts w:ascii="Arial" w:hAnsi="Arial" w:cs="Arial"/>
          <w:sz w:val="22"/>
          <w:szCs w:val="22"/>
        </w:rPr>
        <w:t xml:space="preserve"> (Maclaren </w:t>
      </w:r>
      <w:r w:rsidR="00B365DE" w:rsidRPr="00355A5F">
        <w:rPr>
          <w:rFonts w:ascii="Arial" w:hAnsi="Arial" w:cs="Arial"/>
          <w:i/>
          <w:iCs/>
          <w:sz w:val="22"/>
          <w:szCs w:val="22"/>
        </w:rPr>
        <w:t>et al.</w:t>
      </w:r>
      <w:r w:rsidR="00B365DE" w:rsidRPr="00355A5F">
        <w:rPr>
          <w:rFonts w:ascii="Arial" w:hAnsi="Arial" w:cs="Arial"/>
          <w:sz w:val="22"/>
          <w:szCs w:val="22"/>
        </w:rPr>
        <w:t>, 2024)</w:t>
      </w:r>
      <w:r w:rsidRPr="00355A5F">
        <w:rPr>
          <w:rFonts w:ascii="Arial" w:hAnsi="Arial" w:cs="Arial"/>
          <w:sz w:val="22"/>
          <w:szCs w:val="22"/>
        </w:rPr>
        <w:t>.</w:t>
      </w:r>
    </w:p>
    <w:p w14:paraId="30C6615B" w14:textId="718D9C3D"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lastRenderedPageBreak/>
        <w:t>Recent trends include telephone and video consultations, remote monitoring for long-term conditions and electronic prescribing. During and after the COVID-19 pandemic, there was a rapid shift to remote-by-default models in many GP practices. Evaluations show mixed results for rural patients. Some welcomed reduced travel and greater flexibility, while others experienced difficulties with connectivity, lack of privacy at home, or navigating complex digital systems. Concerns remain that remote access may reduce continuity of care and weaken trust, which are particularly important in small rural communities</w:t>
      </w:r>
      <w:r w:rsidR="00CB5FA6" w:rsidRPr="00355A5F">
        <w:rPr>
          <w:rFonts w:ascii="Arial" w:hAnsi="Arial" w:cs="Arial"/>
          <w:sz w:val="22"/>
          <w:szCs w:val="22"/>
        </w:rPr>
        <w:t xml:space="preserve"> (Chaloner </w:t>
      </w:r>
      <w:r w:rsidR="00CB5FA6" w:rsidRPr="00355A5F">
        <w:rPr>
          <w:rFonts w:ascii="Arial" w:hAnsi="Arial" w:cs="Arial"/>
          <w:i/>
          <w:iCs/>
          <w:sz w:val="22"/>
          <w:szCs w:val="22"/>
        </w:rPr>
        <w:t>et al.</w:t>
      </w:r>
      <w:r w:rsidR="00CB5FA6" w:rsidRPr="00355A5F">
        <w:rPr>
          <w:rFonts w:ascii="Arial" w:hAnsi="Arial" w:cs="Arial"/>
          <w:sz w:val="22"/>
          <w:szCs w:val="22"/>
        </w:rPr>
        <w:t xml:space="preserve">, 2025; Omboni </w:t>
      </w:r>
      <w:r w:rsidR="00CB5FA6" w:rsidRPr="00355A5F">
        <w:rPr>
          <w:rFonts w:ascii="Arial" w:hAnsi="Arial" w:cs="Arial"/>
          <w:i/>
          <w:iCs/>
          <w:sz w:val="22"/>
          <w:szCs w:val="22"/>
        </w:rPr>
        <w:t>et al.</w:t>
      </w:r>
      <w:r w:rsidR="00CB5FA6" w:rsidRPr="00355A5F">
        <w:rPr>
          <w:rFonts w:ascii="Arial" w:hAnsi="Arial" w:cs="Arial"/>
          <w:sz w:val="22"/>
          <w:szCs w:val="22"/>
        </w:rPr>
        <w:t>, 2022)</w:t>
      </w:r>
      <w:r w:rsidRPr="00355A5F">
        <w:rPr>
          <w:rFonts w:ascii="Arial" w:hAnsi="Arial" w:cs="Arial"/>
          <w:sz w:val="22"/>
          <w:szCs w:val="22"/>
        </w:rPr>
        <w:t>.</w:t>
      </w:r>
    </w:p>
    <w:p w14:paraId="4591A67E" w14:textId="47947B1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The UK operates within a strong regulatory framework for data protection and clinical governance. Legislation and guidance set standards for data security, consent, record-keeping and information sharing across NHS and social-care providers. These frameworks are important for protecting rural residents, who may be more easily identifiable within small populations</w:t>
      </w:r>
      <w:r w:rsidR="00390486" w:rsidRPr="00355A5F">
        <w:rPr>
          <w:rFonts w:ascii="Arial" w:hAnsi="Arial" w:cs="Arial"/>
          <w:sz w:val="22"/>
          <w:szCs w:val="22"/>
        </w:rPr>
        <w:t xml:space="preserve"> (NHS England, 2023)</w:t>
      </w:r>
      <w:r w:rsidRPr="00355A5F">
        <w:rPr>
          <w:rFonts w:ascii="Arial" w:hAnsi="Arial" w:cs="Arial"/>
          <w:sz w:val="22"/>
          <w:szCs w:val="22"/>
        </w:rPr>
        <w:t>. At the same time, stringent requirements can slow the adoption of new models, especially for small rural practices with limited technical support. Commercial partnerships with technology vendors raise additional questions about data ownership, reliance on proprietary platforms and long-term costs for the NHS</w:t>
      </w:r>
      <w:r w:rsidR="00A564C6" w:rsidRPr="00355A5F">
        <w:rPr>
          <w:rFonts w:ascii="Arial" w:hAnsi="Arial" w:cs="Arial"/>
          <w:sz w:val="22"/>
          <w:szCs w:val="22"/>
        </w:rPr>
        <w:t xml:space="preserve"> </w:t>
      </w:r>
      <w:r w:rsidR="00E655BF" w:rsidRPr="00355A5F">
        <w:rPr>
          <w:rFonts w:ascii="Arial" w:hAnsi="Arial" w:cs="Arial"/>
          <w:sz w:val="22"/>
          <w:szCs w:val="22"/>
        </w:rPr>
        <w:t>(Sinha and Rahul, 2024)</w:t>
      </w:r>
      <w:r w:rsidRPr="00355A5F">
        <w:rPr>
          <w:rFonts w:ascii="Arial" w:hAnsi="Arial" w:cs="Arial"/>
          <w:sz w:val="22"/>
          <w:szCs w:val="22"/>
        </w:rPr>
        <w:t>.</w:t>
      </w:r>
    </w:p>
    <w:p w14:paraId="7FACFFB8" w14:textId="30426039"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Workforce and professional-regulation issues also shape the UK digital-health landscape. Rural clinicians often manage broad case-mixes with limited specialist back-up. Teleconsultations and virtual multidisciplinary meetings can extend access to specialist advice, but they can also add workload, require new skills and blur boundaries between work and non-work time. Incentives and training programmes have not always kept pace with expectations placed on rural teams</w:t>
      </w:r>
      <w:r w:rsidR="00E655BF" w:rsidRPr="00355A5F">
        <w:rPr>
          <w:rFonts w:ascii="Arial" w:hAnsi="Arial" w:cs="Arial"/>
          <w:sz w:val="22"/>
          <w:szCs w:val="22"/>
        </w:rPr>
        <w:t xml:space="preserve"> (GOV.UK, 2021; NHS England, 2023)</w:t>
      </w:r>
      <w:r w:rsidRPr="00355A5F">
        <w:rPr>
          <w:rFonts w:ascii="Arial" w:hAnsi="Arial" w:cs="Arial"/>
          <w:sz w:val="22"/>
          <w:szCs w:val="22"/>
        </w:rPr>
        <w:t>.</w:t>
      </w:r>
    </w:p>
    <w:p w14:paraId="359E6894" w14:textId="2BAD2E76"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Local initiatives reveal substantial variation within the UK. Some rural health boards in Scotland and Wales have integrated telehealth into specialist outreach, mental-health services and rehabilitation programmes, often combining digital support with community-based staff</w:t>
      </w:r>
      <w:r w:rsidR="00831A75" w:rsidRPr="00355A5F">
        <w:rPr>
          <w:rFonts w:ascii="Arial" w:hAnsi="Arial" w:cs="Arial"/>
          <w:sz w:val="22"/>
          <w:szCs w:val="22"/>
        </w:rPr>
        <w:t xml:space="preserve"> (Hill, 2010)</w:t>
      </w:r>
      <w:r w:rsidRPr="00355A5F">
        <w:rPr>
          <w:rFonts w:ascii="Arial" w:hAnsi="Arial" w:cs="Arial"/>
          <w:sz w:val="22"/>
          <w:szCs w:val="22"/>
        </w:rPr>
        <w:t>. In contrast, other areas report fragmented pilots and short-term funding that do not translate into stable services. Digital inclusion programmes led by local authorities and voluntary organisations attempt to address gaps in connectivity, access to devices and digital skills, but coverage is uneven</w:t>
      </w:r>
      <w:r w:rsidR="0026054D" w:rsidRPr="00355A5F">
        <w:rPr>
          <w:rFonts w:ascii="Arial" w:hAnsi="Arial" w:cs="Arial"/>
          <w:sz w:val="22"/>
          <w:szCs w:val="22"/>
        </w:rPr>
        <w:t xml:space="preserve"> (Department for Science, Innovation and Technology, Bryant and Kyle, 2025)</w:t>
      </w:r>
      <w:r w:rsidRPr="00355A5F">
        <w:rPr>
          <w:rFonts w:ascii="Arial" w:hAnsi="Arial" w:cs="Arial"/>
          <w:sz w:val="22"/>
          <w:szCs w:val="22"/>
        </w:rPr>
        <w:t xml:space="preserve">. </w:t>
      </w:r>
    </w:p>
    <w:p w14:paraId="191EB8E7" w14:textId="7416C62B" w:rsidR="00B86E38" w:rsidRPr="006662CB" w:rsidRDefault="00B86E38" w:rsidP="006662CB">
      <w:pPr>
        <w:rPr>
          <w:b/>
          <w:bCs/>
        </w:rPr>
      </w:pPr>
      <w:r w:rsidRPr="006662CB">
        <w:rPr>
          <w:b/>
          <w:bCs/>
        </w:rPr>
        <w:t xml:space="preserve">2.6 Conclusion </w:t>
      </w:r>
    </w:p>
    <w:p w14:paraId="4AA8462A" w14:textId="7777777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lastRenderedPageBreak/>
        <w:t>This chapter has located telemedicine and digital health within wider historical, theoretical and policy debates about rural health and sustainable development. It has shown that telemedicine has evolved from small experiments to a central feature of digital-health strategies, but this evolution has often neglected equity and local context. Theoretical perspectives on innovation, technology acceptance and the digital divide highlight how adoption is shaped by perceived usefulness, social networks and structural inequalities rather than by technology alone.</w:t>
      </w:r>
    </w:p>
    <w:p w14:paraId="3498A7B4" w14:textId="77777777" w:rsidR="00B86E38" w:rsidRPr="00355A5F" w:rsidRDefault="00B86E38" w:rsidP="00355A5F">
      <w:pPr>
        <w:pStyle w:val="NormalWeb"/>
        <w:spacing w:line="360" w:lineRule="auto"/>
        <w:jc w:val="both"/>
        <w:rPr>
          <w:rFonts w:ascii="Arial" w:hAnsi="Arial" w:cs="Arial"/>
          <w:sz w:val="22"/>
          <w:szCs w:val="22"/>
        </w:rPr>
      </w:pPr>
      <w:r w:rsidRPr="00355A5F">
        <w:rPr>
          <w:rFonts w:ascii="Arial" w:hAnsi="Arial" w:cs="Arial"/>
          <w:sz w:val="22"/>
          <w:szCs w:val="22"/>
        </w:rPr>
        <w:t>International evidence suggests that digital health can extend services to rural communities but is implemented through fragmented pilots, driven agendas and generic models that fail to fit local realities. The UK case illustrates similar tensions between national digital ambitions, strong regulatory frameworks and uneven rural implementation. These insights now inform the next chapter, which sets out the methods for a structured, critical review of secondary literature on telemedicine and digital health in rural communities.</w:t>
      </w:r>
    </w:p>
    <w:p w14:paraId="11655E1C" w14:textId="77777777" w:rsidR="00B86E38" w:rsidRPr="00355A5F" w:rsidRDefault="00B86E38" w:rsidP="00355A5F">
      <w:pPr>
        <w:jc w:val="both"/>
        <w:rPr>
          <w:rFonts w:ascii="Arial" w:hAnsi="Arial" w:cs="Arial"/>
          <w:szCs w:val="22"/>
        </w:rPr>
      </w:pPr>
    </w:p>
    <w:p w14:paraId="7AC8FE4B" w14:textId="77777777" w:rsidR="002A6881" w:rsidRPr="00355A5F" w:rsidRDefault="002A6881" w:rsidP="00355A5F">
      <w:pPr>
        <w:jc w:val="both"/>
        <w:rPr>
          <w:rFonts w:ascii="Arial" w:hAnsi="Arial" w:cs="Arial"/>
          <w:szCs w:val="22"/>
        </w:rPr>
      </w:pPr>
    </w:p>
    <w:p w14:paraId="58F3A8A9" w14:textId="3C202A14" w:rsidR="002A6881" w:rsidRPr="00355A5F" w:rsidRDefault="00951F43" w:rsidP="00355A5F">
      <w:pPr>
        <w:jc w:val="both"/>
        <w:rPr>
          <w:rFonts w:ascii="Arial" w:hAnsi="Arial" w:cs="Arial"/>
          <w:b/>
          <w:bCs/>
          <w:szCs w:val="22"/>
        </w:rPr>
      </w:pPr>
      <w:r w:rsidRPr="00355A5F">
        <w:rPr>
          <w:rFonts w:ascii="Arial" w:hAnsi="Arial" w:cs="Arial"/>
          <w:b/>
          <w:bCs/>
          <w:szCs w:val="22"/>
        </w:rPr>
        <w:t>References</w:t>
      </w:r>
    </w:p>
    <w:p w14:paraId="7FB9E4FA"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Ahmed, M.M. </w:t>
      </w:r>
      <w:r w:rsidRPr="00355A5F">
        <w:rPr>
          <w:rFonts w:ascii="Arial" w:hAnsi="Arial" w:cs="Arial"/>
          <w:i/>
          <w:iCs/>
          <w:sz w:val="22"/>
          <w:szCs w:val="22"/>
        </w:rPr>
        <w:t>et al.</w:t>
      </w:r>
      <w:r w:rsidRPr="00355A5F">
        <w:rPr>
          <w:rFonts w:ascii="Arial" w:hAnsi="Arial" w:cs="Arial"/>
          <w:sz w:val="22"/>
          <w:szCs w:val="22"/>
        </w:rPr>
        <w:t xml:space="preserve"> (2025) ‘Integrating Digital Health Innovations to Achieve Universal Health Coverage: Promoting Health Outcomes and Quality Through Global Public Health Equity’, </w:t>
      </w:r>
      <w:r w:rsidRPr="00355A5F">
        <w:rPr>
          <w:rFonts w:ascii="Arial" w:hAnsi="Arial" w:cs="Arial"/>
          <w:i/>
          <w:iCs/>
          <w:sz w:val="22"/>
          <w:szCs w:val="22"/>
        </w:rPr>
        <w:t>Healthcare</w:t>
      </w:r>
      <w:r w:rsidRPr="00355A5F">
        <w:rPr>
          <w:rFonts w:ascii="Arial" w:hAnsi="Arial" w:cs="Arial"/>
          <w:sz w:val="22"/>
          <w:szCs w:val="22"/>
        </w:rPr>
        <w:t>, 13(9), p. 1060. doi:https://doi.org/10.3390/healthcare13091060.</w:t>
      </w:r>
    </w:p>
    <w:p w14:paraId="19924B40"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Anawade, P.A., Sharma, D. and Gahane, S. (2024) ‘A comprehensive review on exploring the impact of telemedicine on healthcare accessibility’, </w:t>
      </w:r>
      <w:r w:rsidRPr="00355A5F">
        <w:rPr>
          <w:rFonts w:ascii="Arial" w:hAnsi="Arial" w:cs="Arial"/>
          <w:i/>
          <w:iCs/>
          <w:sz w:val="22"/>
          <w:szCs w:val="22"/>
        </w:rPr>
        <w:t>Cureus</w:t>
      </w:r>
      <w:r w:rsidRPr="00355A5F">
        <w:rPr>
          <w:rFonts w:ascii="Arial" w:hAnsi="Arial" w:cs="Arial"/>
          <w:sz w:val="22"/>
          <w:szCs w:val="22"/>
        </w:rPr>
        <w:t>, 16(3). doi:https://doi.org/10.7759/cureus.55996.</w:t>
      </w:r>
    </w:p>
    <w:p w14:paraId="1C5D9677"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Bashshur, R.L. </w:t>
      </w:r>
      <w:r w:rsidRPr="00355A5F">
        <w:rPr>
          <w:rFonts w:ascii="Arial" w:hAnsi="Arial" w:cs="Arial"/>
          <w:i/>
          <w:iCs/>
          <w:sz w:val="22"/>
          <w:szCs w:val="22"/>
        </w:rPr>
        <w:t>et al.</w:t>
      </w:r>
      <w:r w:rsidRPr="00355A5F">
        <w:rPr>
          <w:rFonts w:ascii="Arial" w:hAnsi="Arial" w:cs="Arial"/>
          <w:sz w:val="22"/>
          <w:szCs w:val="22"/>
        </w:rPr>
        <w:t xml:space="preserve"> (2016) ‘The Empirical Foundations of Teleradiology and Related Applications: A Review of the Evidence’, </w:t>
      </w:r>
      <w:r w:rsidRPr="00355A5F">
        <w:rPr>
          <w:rFonts w:ascii="Arial" w:hAnsi="Arial" w:cs="Arial"/>
          <w:i/>
          <w:iCs/>
          <w:sz w:val="22"/>
          <w:szCs w:val="22"/>
        </w:rPr>
        <w:t>Telemedicine and e-Health</w:t>
      </w:r>
      <w:r w:rsidRPr="00355A5F">
        <w:rPr>
          <w:rFonts w:ascii="Arial" w:hAnsi="Arial" w:cs="Arial"/>
          <w:sz w:val="22"/>
          <w:szCs w:val="22"/>
        </w:rPr>
        <w:t>, 22(11), pp. 868–898. doi:https://doi.org/10.1089/tmj.2016.0149.</w:t>
      </w:r>
    </w:p>
    <w:p w14:paraId="4D622042"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Chaloner, C. </w:t>
      </w:r>
      <w:r w:rsidRPr="00355A5F">
        <w:rPr>
          <w:rFonts w:ascii="Arial" w:hAnsi="Arial" w:cs="Arial"/>
          <w:i/>
          <w:iCs/>
          <w:sz w:val="22"/>
          <w:szCs w:val="22"/>
        </w:rPr>
        <w:t>et al.</w:t>
      </w:r>
      <w:r w:rsidRPr="00355A5F">
        <w:rPr>
          <w:rFonts w:ascii="Arial" w:hAnsi="Arial" w:cs="Arial"/>
          <w:sz w:val="22"/>
          <w:szCs w:val="22"/>
        </w:rPr>
        <w:t xml:space="preserve"> (2025) ‘What is the impact of a shift to remote consultations? A qualitative interview study in primary and secondary healthcare’, </w:t>
      </w:r>
      <w:r w:rsidRPr="00355A5F">
        <w:rPr>
          <w:rFonts w:ascii="Arial" w:hAnsi="Arial" w:cs="Arial"/>
          <w:i/>
          <w:iCs/>
          <w:sz w:val="22"/>
          <w:szCs w:val="22"/>
        </w:rPr>
        <w:t>BMJ Open</w:t>
      </w:r>
      <w:r w:rsidRPr="00355A5F">
        <w:rPr>
          <w:rFonts w:ascii="Arial" w:hAnsi="Arial" w:cs="Arial"/>
          <w:sz w:val="22"/>
          <w:szCs w:val="22"/>
        </w:rPr>
        <w:t>, 15(6), p. e097633. doi:https://doi.org/10.1136/bmjopen-2024-097633.</w:t>
      </w:r>
    </w:p>
    <w:p w14:paraId="487C5353"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Chandramohan, A. </w:t>
      </w:r>
      <w:r w:rsidRPr="00355A5F">
        <w:rPr>
          <w:rFonts w:ascii="Arial" w:hAnsi="Arial" w:cs="Arial"/>
          <w:i/>
          <w:iCs/>
          <w:sz w:val="22"/>
          <w:szCs w:val="22"/>
        </w:rPr>
        <w:t>et al.</w:t>
      </w:r>
      <w:r w:rsidRPr="00355A5F">
        <w:rPr>
          <w:rFonts w:ascii="Arial" w:hAnsi="Arial" w:cs="Arial"/>
          <w:sz w:val="22"/>
          <w:szCs w:val="22"/>
        </w:rPr>
        <w:t xml:space="preserve"> (2023) ‘Teleradiology and technology innovations in radiology: status in India and its role in increasing access to primary health care’, </w:t>
      </w:r>
      <w:r w:rsidRPr="00355A5F">
        <w:rPr>
          <w:rFonts w:ascii="Arial" w:hAnsi="Arial" w:cs="Arial"/>
          <w:i/>
          <w:iCs/>
          <w:sz w:val="22"/>
          <w:szCs w:val="22"/>
        </w:rPr>
        <w:t>The Lancet Regional Health - Europe</w:t>
      </w:r>
      <w:r w:rsidRPr="00355A5F">
        <w:rPr>
          <w:rFonts w:ascii="Arial" w:hAnsi="Arial" w:cs="Arial"/>
          <w:sz w:val="22"/>
          <w:szCs w:val="22"/>
        </w:rPr>
        <w:t>, 23, pp. 100195–100195. doi:https://doi.org/10.1016/j.lansea.2023.100195.</w:t>
      </w:r>
    </w:p>
    <w:p w14:paraId="64957EB4"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Dearing, J.W. (2009) ‘Applying Diffusion of Innovation Theory to Intervention Development’, </w:t>
      </w:r>
      <w:r w:rsidRPr="00355A5F">
        <w:rPr>
          <w:rFonts w:ascii="Arial" w:hAnsi="Arial" w:cs="Arial"/>
          <w:i/>
          <w:iCs/>
          <w:sz w:val="22"/>
          <w:szCs w:val="22"/>
        </w:rPr>
        <w:t>Research on Social Work Practice</w:t>
      </w:r>
      <w:r w:rsidRPr="00355A5F">
        <w:rPr>
          <w:rFonts w:ascii="Arial" w:hAnsi="Arial" w:cs="Arial"/>
          <w:sz w:val="22"/>
          <w:szCs w:val="22"/>
        </w:rPr>
        <w:t>, 19(5), pp. 503–518. doi:https://doi.org/10.1177/1049731509335569.</w:t>
      </w:r>
    </w:p>
    <w:p w14:paraId="562A9A47"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Department for Science, Innovation and Technology, Bryant, C. and Kyle, H.P. (2025) </w:t>
      </w:r>
      <w:r w:rsidRPr="00355A5F">
        <w:rPr>
          <w:rFonts w:ascii="Arial" w:hAnsi="Arial" w:cs="Arial"/>
          <w:i/>
          <w:iCs/>
          <w:sz w:val="22"/>
          <w:szCs w:val="22"/>
        </w:rPr>
        <w:t>Plan to increase digital skills to deliver growth and opportunity for all</w:t>
      </w:r>
      <w:r w:rsidRPr="00355A5F">
        <w:rPr>
          <w:rFonts w:ascii="Arial" w:hAnsi="Arial" w:cs="Arial"/>
          <w:sz w:val="22"/>
          <w:szCs w:val="22"/>
        </w:rPr>
        <w:t xml:space="preserve">, </w:t>
      </w:r>
      <w:r w:rsidRPr="00355A5F">
        <w:rPr>
          <w:rFonts w:ascii="Arial" w:hAnsi="Arial" w:cs="Arial"/>
          <w:i/>
          <w:iCs/>
          <w:sz w:val="22"/>
          <w:szCs w:val="22"/>
        </w:rPr>
        <w:t>GOV.UK</w:t>
      </w:r>
      <w:r w:rsidRPr="00355A5F">
        <w:rPr>
          <w:rFonts w:ascii="Arial" w:hAnsi="Arial" w:cs="Arial"/>
          <w:sz w:val="22"/>
          <w:szCs w:val="22"/>
        </w:rPr>
        <w:t>. Available at: https://www.gov.uk/government/news/plan-to-increase-digital-skills-to-deliver-growth-and-opportunity-for-all (Accessed: 1 December 2025).</w:t>
      </w:r>
    </w:p>
    <w:p w14:paraId="3B6D7C4C"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Erku, D. </w:t>
      </w:r>
      <w:r w:rsidRPr="00355A5F">
        <w:rPr>
          <w:rFonts w:ascii="Arial" w:hAnsi="Arial" w:cs="Arial"/>
          <w:i/>
          <w:iCs/>
          <w:sz w:val="22"/>
          <w:szCs w:val="22"/>
        </w:rPr>
        <w:t>et al.</w:t>
      </w:r>
      <w:r w:rsidRPr="00355A5F">
        <w:rPr>
          <w:rFonts w:ascii="Arial" w:hAnsi="Arial" w:cs="Arial"/>
          <w:sz w:val="22"/>
          <w:szCs w:val="22"/>
        </w:rPr>
        <w:t xml:space="preserve"> (2023) ‘Digital Health Interventions to Improve Access to and Quality of Primary Health Care Services: A Scoping Review’, </w:t>
      </w:r>
      <w:r w:rsidRPr="00355A5F">
        <w:rPr>
          <w:rFonts w:ascii="Arial" w:hAnsi="Arial" w:cs="Arial"/>
          <w:i/>
          <w:iCs/>
          <w:sz w:val="22"/>
          <w:szCs w:val="22"/>
        </w:rPr>
        <w:t>International Journal of Environmental Research and Public Health</w:t>
      </w:r>
      <w:r w:rsidRPr="00355A5F">
        <w:rPr>
          <w:rFonts w:ascii="Arial" w:hAnsi="Arial" w:cs="Arial"/>
          <w:sz w:val="22"/>
          <w:szCs w:val="22"/>
        </w:rPr>
        <w:t>, 20(19), p. 6854. doi:https://doi.org/10.3390/ijerph20196854.</w:t>
      </w:r>
    </w:p>
    <w:p w14:paraId="724635AA"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Eze, E., Gleasure, R. and Heavin, C. (2018) ‘Mobile health solutions in developing countries: a stakeholder perspective’, </w:t>
      </w:r>
      <w:r w:rsidRPr="00355A5F">
        <w:rPr>
          <w:rFonts w:ascii="Arial" w:hAnsi="Arial" w:cs="Arial"/>
          <w:i/>
          <w:iCs/>
          <w:sz w:val="22"/>
          <w:szCs w:val="22"/>
        </w:rPr>
        <w:t>Health Systems</w:t>
      </w:r>
      <w:r w:rsidRPr="00355A5F">
        <w:rPr>
          <w:rFonts w:ascii="Arial" w:hAnsi="Arial" w:cs="Arial"/>
          <w:sz w:val="22"/>
          <w:szCs w:val="22"/>
        </w:rPr>
        <w:t>, 9(3), pp. 179–201. doi:https://doi.org/10.1080/20476965.2018.1457134.</w:t>
      </w:r>
    </w:p>
    <w:p w14:paraId="0A85B498"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Gizaw, Z., Astale, T. and Kassie, G.M. (2022) ‘What Improves Access to Primary Healthcare Services in Rural communities? a Systematic Review’, </w:t>
      </w:r>
      <w:r w:rsidRPr="00355A5F">
        <w:rPr>
          <w:rFonts w:ascii="Arial" w:hAnsi="Arial" w:cs="Arial"/>
          <w:i/>
          <w:iCs/>
          <w:sz w:val="22"/>
          <w:szCs w:val="22"/>
        </w:rPr>
        <w:t>Biomed Central Primary Care</w:t>
      </w:r>
      <w:r w:rsidRPr="00355A5F">
        <w:rPr>
          <w:rFonts w:ascii="Arial" w:hAnsi="Arial" w:cs="Arial"/>
          <w:sz w:val="22"/>
          <w:szCs w:val="22"/>
        </w:rPr>
        <w:t>, 23(1), pp. 1–16. doi:https://doi.org/10.1186/s12875-022-01919-0.</w:t>
      </w:r>
    </w:p>
    <w:p w14:paraId="466DEC08"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Gobburi, R.K. </w:t>
      </w:r>
      <w:r w:rsidRPr="00355A5F">
        <w:rPr>
          <w:rFonts w:ascii="Arial" w:hAnsi="Arial" w:cs="Arial"/>
          <w:i/>
          <w:iCs/>
          <w:sz w:val="22"/>
          <w:szCs w:val="22"/>
        </w:rPr>
        <w:t>et al.</w:t>
      </w:r>
      <w:r w:rsidRPr="00355A5F">
        <w:rPr>
          <w:rFonts w:ascii="Arial" w:hAnsi="Arial" w:cs="Arial"/>
          <w:sz w:val="22"/>
          <w:szCs w:val="22"/>
        </w:rPr>
        <w:t xml:space="preserve"> (2025) ‘Telemedicine use in rural areas of the United Kingdom to improve access to healthcare facilities: A review of current evidence’, </w:t>
      </w:r>
      <w:r w:rsidRPr="00355A5F">
        <w:rPr>
          <w:rFonts w:ascii="Arial" w:hAnsi="Arial" w:cs="Arial"/>
          <w:i/>
          <w:iCs/>
          <w:sz w:val="22"/>
          <w:szCs w:val="22"/>
        </w:rPr>
        <w:t>Informatics and Health</w:t>
      </w:r>
      <w:r w:rsidRPr="00355A5F">
        <w:rPr>
          <w:rFonts w:ascii="Arial" w:hAnsi="Arial" w:cs="Arial"/>
          <w:sz w:val="22"/>
          <w:szCs w:val="22"/>
        </w:rPr>
        <w:t>, 2(1), pp. 41–48.</w:t>
      </w:r>
    </w:p>
    <w:p w14:paraId="0204CD52"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GOV.UK (2021) </w:t>
      </w:r>
      <w:r w:rsidRPr="00355A5F">
        <w:rPr>
          <w:rFonts w:ascii="Arial" w:hAnsi="Arial" w:cs="Arial"/>
          <w:i/>
          <w:iCs/>
          <w:sz w:val="22"/>
          <w:szCs w:val="22"/>
        </w:rPr>
        <w:t>Harnessing technology for the long-term sustainability of the UK’s healthcare system: report</w:t>
      </w:r>
      <w:r w:rsidRPr="00355A5F">
        <w:rPr>
          <w:rFonts w:ascii="Arial" w:hAnsi="Arial" w:cs="Arial"/>
          <w:sz w:val="22"/>
          <w:szCs w:val="22"/>
        </w:rPr>
        <w:t xml:space="preserve">, </w:t>
      </w:r>
      <w:r w:rsidRPr="00355A5F">
        <w:rPr>
          <w:rFonts w:ascii="Arial" w:hAnsi="Arial" w:cs="Arial"/>
          <w:i/>
          <w:iCs/>
          <w:sz w:val="22"/>
          <w:szCs w:val="22"/>
        </w:rPr>
        <w:t>GOV.UK</w:t>
      </w:r>
      <w:r w:rsidRPr="00355A5F">
        <w:rPr>
          <w:rFonts w:ascii="Arial" w:hAnsi="Arial" w:cs="Arial"/>
          <w:sz w:val="22"/>
          <w:szCs w:val="22"/>
        </w:rPr>
        <w:t>. Available at: https://www.gov.uk/government/publications/harnessing-technology-for-the-long-term-sustainability-of-the-uks-healthcare-system/harnessing-technology-for-the-long-term-sustainability-of-the-uks-healthcare-system-report (Accessed: 1 December 2025).</w:t>
      </w:r>
    </w:p>
    <w:p w14:paraId="0D45712C"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Haleem, A. </w:t>
      </w:r>
      <w:r w:rsidRPr="00355A5F">
        <w:rPr>
          <w:rFonts w:ascii="Arial" w:hAnsi="Arial" w:cs="Arial"/>
          <w:i/>
          <w:iCs/>
          <w:sz w:val="22"/>
          <w:szCs w:val="22"/>
        </w:rPr>
        <w:t>et al.</w:t>
      </w:r>
      <w:r w:rsidRPr="00355A5F">
        <w:rPr>
          <w:rFonts w:ascii="Arial" w:hAnsi="Arial" w:cs="Arial"/>
          <w:sz w:val="22"/>
          <w:szCs w:val="22"/>
        </w:rPr>
        <w:t xml:space="preserve"> (2021) ‘Telemedicine for healthcare: Capabilities, features, barriers, and Applications’, </w:t>
      </w:r>
      <w:r w:rsidRPr="00355A5F">
        <w:rPr>
          <w:rFonts w:ascii="Arial" w:hAnsi="Arial" w:cs="Arial"/>
          <w:i/>
          <w:iCs/>
          <w:sz w:val="22"/>
          <w:szCs w:val="22"/>
        </w:rPr>
        <w:t>Sensors International</w:t>
      </w:r>
      <w:r w:rsidRPr="00355A5F">
        <w:rPr>
          <w:rFonts w:ascii="Arial" w:hAnsi="Arial" w:cs="Arial"/>
          <w:sz w:val="22"/>
          <w:szCs w:val="22"/>
        </w:rPr>
        <w:t>, 2(2), pp. 100–117.</w:t>
      </w:r>
    </w:p>
    <w:p w14:paraId="3C13692C"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Havelikar, U. </w:t>
      </w:r>
      <w:r w:rsidRPr="00355A5F">
        <w:rPr>
          <w:rFonts w:ascii="Arial" w:hAnsi="Arial" w:cs="Arial"/>
          <w:i/>
          <w:iCs/>
          <w:sz w:val="22"/>
          <w:szCs w:val="22"/>
        </w:rPr>
        <w:t>et al.</w:t>
      </w:r>
      <w:r w:rsidRPr="00355A5F">
        <w:rPr>
          <w:rFonts w:ascii="Arial" w:hAnsi="Arial" w:cs="Arial"/>
          <w:sz w:val="22"/>
          <w:szCs w:val="22"/>
        </w:rPr>
        <w:t xml:space="preserve"> (2025) ‘Comparative overview of telemedicine use in Asian countries: Trends, challenges, and future directions’, </w:t>
      </w:r>
      <w:r w:rsidRPr="00355A5F">
        <w:rPr>
          <w:rFonts w:ascii="Arial" w:hAnsi="Arial" w:cs="Arial"/>
          <w:i/>
          <w:iCs/>
          <w:sz w:val="22"/>
          <w:szCs w:val="22"/>
        </w:rPr>
        <w:t>Intelligent Hospital</w:t>
      </w:r>
      <w:r w:rsidRPr="00355A5F">
        <w:rPr>
          <w:rFonts w:ascii="Arial" w:hAnsi="Arial" w:cs="Arial"/>
          <w:sz w:val="22"/>
          <w:szCs w:val="22"/>
        </w:rPr>
        <w:t>, p. 100031. doi:https://doi.org/10.1016/j.inhs.2025.100031.</w:t>
      </w:r>
    </w:p>
    <w:p w14:paraId="4FB692B1"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Hill, A. (2010) ‘Telerehabilitation in Scotland: Current Initiatives and Recommendations for Future Development’, </w:t>
      </w:r>
      <w:r w:rsidRPr="00355A5F">
        <w:rPr>
          <w:rFonts w:ascii="Arial" w:hAnsi="Arial" w:cs="Arial"/>
          <w:i/>
          <w:iCs/>
          <w:sz w:val="22"/>
          <w:szCs w:val="22"/>
        </w:rPr>
        <w:t>International Journal of Telerehabilitation</w:t>
      </w:r>
      <w:r w:rsidRPr="00355A5F">
        <w:rPr>
          <w:rFonts w:ascii="Arial" w:hAnsi="Arial" w:cs="Arial"/>
          <w:sz w:val="22"/>
          <w:szCs w:val="22"/>
        </w:rPr>
        <w:t>, 2(1). doi:https://doi.org/10.5195/ijt.2010.6055.</w:t>
      </w:r>
    </w:p>
    <w:p w14:paraId="2A26796D"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Krahe, M.A. </w:t>
      </w:r>
      <w:r w:rsidRPr="00355A5F">
        <w:rPr>
          <w:rFonts w:ascii="Arial" w:hAnsi="Arial" w:cs="Arial"/>
          <w:i/>
          <w:iCs/>
          <w:sz w:val="22"/>
          <w:szCs w:val="22"/>
        </w:rPr>
        <w:t>et al.</w:t>
      </w:r>
      <w:r w:rsidRPr="00355A5F">
        <w:rPr>
          <w:rFonts w:ascii="Arial" w:hAnsi="Arial" w:cs="Arial"/>
          <w:sz w:val="22"/>
          <w:szCs w:val="22"/>
        </w:rPr>
        <w:t xml:space="preserve"> (2025) ‘Factors That Influence Digital Health Implementation in Rural, Regional, and Remote Australia: An Overview of Reviews and Recommended Strategies’, </w:t>
      </w:r>
      <w:r w:rsidRPr="00355A5F">
        <w:rPr>
          <w:rFonts w:ascii="Arial" w:hAnsi="Arial" w:cs="Arial"/>
          <w:i/>
          <w:iCs/>
          <w:sz w:val="22"/>
          <w:szCs w:val="22"/>
        </w:rPr>
        <w:t>Australian Journal of Rural Health</w:t>
      </w:r>
      <w:r w:rsidRPr="00355A5F">
        <w:rPr>
          <w:rFonts w:ascii="Arial" w:hAnsi="Arial" w:cs="Arial"/>
          <w:sz w:val="22"/>
          <w:szCs w:val="22"/>
        </w:rPr>
        <w:t>, 33(2). doi:https://doi.org/10.1111/ajr.70045.</w:t>
      </w:r>
    </w:p>
    <w:p w14:paraId="210D1E5F"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Kyambade, M. </w:t>
      </w:r>
      <w:r w:rsidRPr="00355A5F">
        <w:rPr>
          <w:rFonts w:ascii="Arial" w:hAnsi="Arial" w:cs="Arial"/>
          <w:i/>
          <w:iCs/>
          <w:sz w:val="22"/>
          <w:szCs w:val="22"/>
        </w:rPr>
        <w:t>et al.</w:t>
      </w:r>
      <w:r w:rsidRPr="00355A5F">
        <w:rPr>
          <w:rFonts w:ascii="Arial" w:hAnsi="Arial" w:cs="Arial"/>
          <w:sz w:val="22"/>
          <w:szCs w:val="22"/>
        </w:rPr>
        <w:t xml:space="preserve"> (2025) ‘Drivers of sustainability performance in health and sanitation projects: A systematic literature review’, </w:t>
      </w:r>
      <w:r w:rsidRPr="00355A5F">
        <w:rPr>
          <w:rFonts w:ascii="Arial" w:hAnsi="Arial" w:cs="Arial"/>
          <w:i/>
          <w:iCs/>
          <w:sz w:val="22"/>
          <w:szCs w:val="22"/>
        </w:rPr>
        <w:t>Social Sciences &amp; Humanities Open</w:t>
      </w:r>
      <w:r w:rsidRPr="00355A5F">
        <w:rPr>
          <w:rFonts w:ascii="Arial" w:hAnsi="Arial" w:cs="Arial"/>
          <w:sz w:val="22"/>
          <w:szCs w:val="22"/>
        </w:rPr>
        <w:t>, 12, p. 102046. doi:https://doi.org/10.1016/j.ssaho.2025.102046.</w:t>
      </w:r>
    </w:p>
    <w:p w14:paraId="0F52D8D7"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Lee, A.T., Ramasamy, R.K. and Subbarao, A. (2025) ‘Understanding Psychosocial Barriers to Healthcare Technology Adoption: A Review of TAM Technology Acceptance Model and Unified Theory of Acceptance and Use of Technology and UTAUT Frameworks’, </w:t>
      </w:r>
      <w:r w:rsidRPr="00355A5F">
        <w:rPr>
          <w:rFonts w:ascii="Arial" w:hAnsi="Arial" w:cs="Arial"/>
          <w:i/>
          <w:iCs/>
          <w:sz w:val="22"/>
          <w:szCs w:val="22"/>
        </w:rPr>
        <w:t>Healthcare</w:t>
      </w:r>
      <w:r w:rsidRPr="00355A5F">
        <w:rPr>
          <w:rFonts w:ascii="Arial" w:hAnsi="Arial" w:cs="Arial"/>
          <w:sz w:val="22"/>
          <w:szCs w:val="22"/>
        </w:rPr>
        <w:t>, 13(3), p. 250. doi:https://doi.org/10.3390/healthcare13030250.</w:t>
      </w:r>
    </w:p>
    <w:p w14:paraId="785557AA"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Ma, Q. </w:t>
      </w:r>
      <w:r w:rsidRPr="00355A5F">
        <w:rPr>
          <w:rFonts w:ascii="Arial" w:hAnsi="Arial" w:cs="Arial"/>
          <w:i/>
          <w:iCs/>
          <w:sz w:val="22"/>
          <w:szCs w:val="22"/>
        </w:rPr>
        <w:t>et al.</w:t>
      </w:r>
      <w:r w:rsidRPr="00355A5F">
        <w:rPr>
          <w:rFonts w:ascii="Arial" w:hAnsi="Arial" w:cs="Arial"/>
          <w:sz w:val="22"/>
          <w:szCs w:val="22"/>
        </w:rPr>
        <w:t xml:space="preserve"> (2022) ‘Usage and perceptions of telemedicine among health care professionals in China’, </w:t>
      </w:r>
      <w:r w:rsidRPr="00355A5F">
        <w:rPr>
          <w:rFonts w:ascii="Arial" w:hAnsi="Arial" w:cs="Arial"/>
          <w:i/>
          <w:iCs/>
          <w:sz w:val="22"/>
          <w:szCs w:val="22"/>
        </w:rPr>
        <w:t>International Journal of Medical Informatics</w:t>
      </w:r>
      <w:r w:rsidRPr="00355A5F">
        <w:rPr>
          <w:rFonts w:ascii="Arial" w:hAnsi="Arial" w:cs="Arial"/>
          <w:sz w:val="22"/>
          <w:szCs w:val="22"/>
        </w:rPr>
        <w:t>, 166, p. 104856. doi:https://doi.org/10.1016/j.ijmedinf.2022.104856.</w:t>
      </w:r>
    </w:p>
    <w:p w14:paraId="7D11115C"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Maclaren, A.S. </w:t>
      </w:r>
      <w:r w:rsidRPr="00355A5F">
        <w:rPr>
          <w:rFonts w:ascii="Arial" w:hAnsi="Arial" w:cs="Arial"/>
          <w:i/>
          <w:iCs/>
          <w:sz w:val="22"/>
          <w:szCs w:val="22"/>
        </w:rPr>
        <w:t>et al.</w:t>
      </w:r>
      <w:r w:rsidRPr="00355A5F">
        <w:rPr>
          <w:rFonts w:ascii="Arial" w:hAnsi="Arial" w:cs="Arial"/>
          <w:sz w:val="22"/>
          <w:szCs w:val="22"/>
        </w:rPr>
        <w:t xml:space="preserve"> (2024) ‘Rurality, healthcare and crises: Investigating experiences, differences, and changes to medical care for people living in rural areas’, </w:t>
      </w:r>
      <w:r w:rsidRPr="00355A5F">
        <w:rPr>
          <w:rFonts w:ascii="Arial" w:hAnsi="Arial" w:cs="Arial"/>
          <w:i/>
          <w:iCs/>
          <w:sz w:val="22"/>
          <w:szCs w:val="22"/>
        </w:rPr>
        <w:t>Health &amp; Place</w:t>
      </w:r>
      <w:r w:rsidRPr="00355A5F">
        <w:rPr>
          <w:rFonts w:ascii="Arial" w:hAnsi="Arial" w:cs="Arial"/>
          <w:sz w:val="22"/>
          <w:szCs w:val="22"/>
        </w:rPr>
        <w:t>, 87, pp. 103217–103217. doi:https://doi.org/10.1016/j.healthplace.2024.103217.</w:t>
      </w:r>
    </w:p>
    <w:p w14:paraId="12D3F953"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Maita, K.C. </w:t>
      </w:r>
      <w:r w:rsidRPr="00355A5F">
        <w:rPr>
          <w:rFonts w:ascii="Arial" w:hAnsi="Arial" w:cs="Arial"/>
          <w:i/>
          <w:iCs/>
          <w:sz w:val="22"/>
          <w:szCs w:val="22"/>
        </w:rPr>
        <w:t>et al.</w:t>
      </w:r>
      <w:r w:rsidRPr="00355A5F">
        <w:rPr>
          <w:rFonts w:ascii="Arial" w:hAnsi="Arial" w:cs="Arial"/>
          <w:sz w:val="22"/>
          <w:szCs w:val="22"/>
        </w:rPr>
        <w:t xml:space="preserve"> (2024) ‘The impact of digital health solutions on bridging the health care gap in rural areas: A scoping review’, </w:t>
      </w:r>
      <w:r w:rsidRPr="00355A5F">
        <w:rPr>
          <w:rFonts w:ascii="Arial" w:hAnsi="Arial" w:cs="Arial"/>
          <w:i/>
          <w:iCs/>
          <w:sz w:val="22"/>
          <w:szCs w:val="22"/>
        </w:rPr>
        <w:t>The Permanente Journal</w:t>
      </w:r>
      <w:r w:rsidRPr="00355A5F">
        <w:rPr>
          <w:rFonts w:ascii="Arial" w:hAnsi="Arial" w:cs="Arial"/>
          <w:sz w:val="22"/>
          <w:szCs w:val="22"/>
        </w:rPr>
        <w:t>, 28(3), pp. 1–14. doi:https://doi.org/10.7812/tpp/23.134.</w:t>
      </w:r>
    </w:p>
    <w:p w14:paraId="6910A537"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Mars, M. and Scott, R.E. (2010) ‘Global E-Health Policy: A Work In Progress’, </w:t>
      </w:r>
      <w:r w:rsidRPr="00355A5F">
        <w:rPr>
          <w:rFonts w:ascii="Arial" w:hAnsi="Arial" w:cs="Arial"/>
          <w:i/>
          <w:iCs/>
          <w:sz w:val="22"/>
          <w:szCs w:val="22"/>
        </w:rPr>
        <w:t>Health Affairs</w:t>
      </w:r>
      <w:r w:rsidRPr="00355A5F">
        <w:rPr>
          <w:rFonts w:ascii="Arial" w:hAnsi="Arial" w:cs="Arial"/>
          <w:sz w:val="22"/>
          <w:szCs w:val="22"/>
        </w:rPr>
        <w:t>, 29(2), pp. 237–243. doi:https://doi.org/10.1377/hlthaff.2009.0945.</w:t>
      </w:r>
    </w:p>
    <w:p w14:paraId="3E9F146F"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Merrell, R.C. and Doarn, C.R. (2016) ‘Sustainable Development Goals and Telemedicine’, </w:t>
      </w:r>
      <w:r w:rsidRPr="00355A5F">
        <w:rPr>
          <w:rFonts w:ascii="Arial" w:hAnsi="Arial" w:cs="Arial"/>
          <w:i/>
          <w:iCs/>
          <w:sz w:val="22"/>
          <w:szCs w:val="22"/>
        </w:rPr>
        <w:t>Telemedicine and e-Health</w:t>
      </w:r>
      <w:r w:rsidRPr="00355A5F">
        <w:rPr>
          <w:rFonts w:ascii="Arial" w:hAnsi="Arial" w:cs="Arial"/>
          <w:sz w:val="22"/>
          <w:szCs w:val="22"/>
        </w:rPr>
        <w:t>, 22(10). doi:https://doi.org/10.1089/tmj.2016.29013.rcm.</w:t>
      </w:r>
    </w:p>
    <w:p w14:paraId="77DFBDEA"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Mohd, S., Rais, A. and Syed, F. (2024) ‘Research Impact Assessment on Sustainable Development Goals in Higher Education Institutions: A Qualitative Study’, </w:t>
      </w:r>
      <w:r w:rsidRPr="00355A5F">
        <w:rPr>
          <w:rFonts w:ascii="Arial" w:hAnsi="Arial" w:cs="Arial"/>
          <w:i/>
          <w:iCs/>
          <w:sz w:val="22"/>
          <w:szCs w:val="22"/>
        </w:rPr>
        <w:t>SAGE Open</w:t>
      </w:r>
      <w:r w:rsidRPr="00355A5F">
        <w:rPr>
          <w:rFonts w:ascii="Arial" w:hAnsi="Arial" w:cs="Arial"/>
          <w:sz w:val="22"/>
          <w:szCs w:val="22"/>
        </w:rPr>
        <w:t>, 14(3). doi:https://doi.org/10.1177/21582440241281095.</w:t>
      </w:r>
    </w:p>
    <w:p w14:paraId="5D85A0CF"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Muttitt, S., Vigneault, R. and Loewen, L. (2021) ‘Integrating telehealth into Aboriginal healthcare: the Canadian experience’, </w:t>
      </w:r>
      <w:r w:rsidRPr="00355A5F">
        <w:rPr>
          <w:rFonts w:ascii="Arial" w:hAnsi="Arial" w:cs="Arial"/>
          <w:i/>
          <w:iCs/>
          <w:sz w:val="22"/>
          <w:szCs w:val="22"/>
        </w:rPr>
        <w:t>International Journal of Circumpolar Health</w:t>
      </w:r>
      <w:r w:rsidRPr="00355A5F">
        <w:rPr>
          <w:rFonts w:ascii="Arial" w:hAnsi="Arial" w:cs="Arial"/>
          <w:sz w:val="22"/>
          <w:szCs w:val="22"/>
        </w:rPr>
        <w:t>, 63(4), pp. 401–414. doi:https://doi.org/10.3402/ijch.v63i4.17757.</w:t>
      </w:r>
    </w:p>
    <w:p w14:paraId="6A770721"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NHS England (2023) </w:t>
      </w:r>
      <w:r w:rsidRPr="00355A5F">
        <w:rPr>
          <w:rFonts w:ascii="Arial" w:hAnsi="Arial" w:cs="Arial"/>
          <w:i/>
          <w:iCs/>
          <w:sz w:val="22"/>
          <w:szCs w:val="22"/>
        </w:rPr>
        <w:t>NHS England» Information governance and data protection</w:t>
      </w:r>
      <w:r w:rsidRPr="00355A5F">
        <w:rPr>
          <w:rFonts w:ascii="Arial" w:hAnsi="Arial" w:cs="Arial"/>
          <w:sz w:val="22"/>
          <w:szCs w:val="22"/>
        </w:rPr>
        <w:t xml:space="preserve">, </w:t>
      </w:r>
      <w:r w:rsidRPr="00355A5F">
        <w:rPr>
          <w:rFonts w:ascii="Arial" w:hAnsi="Arial" w:cs="Arial"/>
          <w:i/>
          <w:iCs/>
          <w:sz w:val="22"/>
          <w:szCs w:val="22"/>
        </w:rPr>
        <w:t>www.england.nhs.uk</w:t>
      </w:r>
      <w:r w:rsidRPr="00355A5F">
        <w:rPr>
          <w:rFonts w:ascii="Arial" w:hAnsi="Arial" w:cs="Arial"/>
          <w:sz w:val="22"/>
          <w:szCs w:val="22"/>
        </w:rPr>
        <w:t>. Available at: https://www.england.nhs.uk/long-read/information-governance-and-data-protection/ (Accessed: 1 December 2025).</w:t>
      </w:r>
    </w:p>
    <w:p w14:paraId="73596656"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Omboni, S. </w:t>
      </w:r>
      <w:r w:rsidRPr="00355A5F">
        <w:rPr>
          <w:rFonts w:ascii="Arial" w:hAnsi="Arial" w:cs="Arial"/>
          <w:i/>
          <w:iCs/>
          <w:sz w:val="22"/>
          <w:szCs w:val="22"/>
        </w:rPr>
        <w:t>et al.</w:t>
      </w:r>
      <w:r w:rsidRPr="00355A5F">
        <w:rPr>
          <w:rFonts w:ascii="Arial" w:hAnsi="Arial" w:cs="Arial"/>
          <w:sz w:val="22"/>
          <w:szCs w:val="22"/>
        </w:rPr>
        <w:t xml:space="preserve"> (2022) ‘The worldwide impact of telemedicine during COVID-19: current evidence and recommendations for the future’, </w:t>
      </w:r>
      <w:r w:rsidRPr="00355A5F">
        <w:rPr>
          <w:rFonts w:ascii="Arial" w:hAnsi="Arial" w:cs="Arial"/>
          <w:i/>
          <w:iCs/>
          <w:sz w:val="22"/>
          <w:szCs w:val="22"/>
        </w:rPr>
        <w:t>Connected Health</w:t>
      </w:r>
      <w:r w:rsidRPr="00355A5F">
        <w:rPr>
          <w:rFonts w:ascii="Arial" w:hAnsi="Arial" w:cs="Arial"/>
          <w:sz w:val="22"/>
          <w:szCs w:val="22"/>
        </w:rPr>
        <w:t>, 1(1). doi:https://doi.org/10.20517/ch.2021.03.</w:t>
      </w:r>
    </w:p>
    <w:p w14:paraId="47B7D9EB"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Park, S., Freeman, J. and Middleton, C. (2019) ‘Intersections between connectivity and digital inclusion in rural communities’, </w:t>
      </w:r>
      <w:r w:rsidRPr="00355A5F">
        <w:rPr>
          <w:rFonts w:ascii="Arial" w:hAnsi="Arial" w:cs="Arial"/>
          <w:i/>
          <w:iCs/>
          <w:sz w:val="22"/>
          <w:szCs w:val="22"/>
        </w:rPr>
        <w:t>Communication Research and Practice</w:t>
      </w:r>
      <w:r w:rsidRPr="00355A5F">
        <w:rPr>
          <w:rFonts w:ascii="Arial" w:hAnsi="Arial" w:cs="Arial"/>
          <w:sz w:val="22"/>
          <w:szCs w:val="22"/>
        </w:rPr>
        <w:t>, 5(2), pp. 139–155. doi:https://doi.org/10.1080/22041451.2019.1601493.</w:t>
      </w:r>
    </w:p>
    <w:p w14:paraId="732FDCC4"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Sinha, N. and Rahul, R. (2024) ‘India’s Digital Health Transformation: Advancements and Challenges in Telemedicine’, </w:t>
      </w:r>
      <w:r w:rsidRPr="00355A5F">
        <w:rPr>
          <w:rFonts w:ascii="Arial" w:hAnsi="Arial" w:cs="Arial"/>
          <w:i/>
          <w:iCs/>
          <w:sz w:val="22"/>
          <w:szCs w:val="22"/>
        </w:rPr>
        <w:t>Jurnal Kebidanan Manna</w:t>
      </w:r>
      <w:r w:rsidRPr="00355A5F">
        <w:rPr>
          <w:rFonts w:ascii="Arial" w:hAnsi="Arial" w:cs="Arial"/>
          <w:sz w:val="22"/>
          <w:szCs w:val="22"/>
        </w:rPr>
        <w:t>, 3(2), pp. 55–66. doi:https://doi.org/10.58222/jkm.v3i2.1200.</w:t>
      </w:r>
    </w:p>
    <w:p w14:paraId="0E354796"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Spaulding, R.J. </w:t>
      </w:r>
      <w:r w:rsidRPr="00355A5F">
        <w:rPr>
          <w:rFonts w:ascii="Arial" w:hAnsi="Arial" w:cs="Arial"/>
          <w:i/>
          <w:iCs/>
          <w:sz w:val="22"/>
          <w:szCs w:val="22"/>
        </w:rPr>
        <w:t>et al.</w:t>
      </w:r>
      <w:r w:rsidRPr="00355A5F">
        <w:rPr>
          <w:rFonts w:ascii="Arial" w:hAnsi="Arial" w:cs="Arial"/>
          <w:sz w:val="22"/>
          <w:szCs w:val="22"/>
        </w:rPr>
        <w:t xml:space="preserve"> (2005) ‘Diffusion theory and telemedicine adoption by Kansas health-care providers: Critical factors in telemedicine adoption for improved patient access’, </w:t>
      </w:r>
      <w:r w:rsidRPr="00355A5F">
        <w:rPr>
          <w:rFonts w:ascii="Arial" w:hAnsi="Arial" w:cs="Arial"/>
          <w:i/>
          <w:iCs/>
          <w:sz w:val="22"/>
          <w:szCs w:val="22"/>
        </w:rPr>
        <w:t>Journal of Telemedicine and Telecare</w:t>
      </w:r>
      <w:r w:rsidRPr="00355A5F">
        <w:rPr>
          <w:rFonts w:ascii="Arial" w:hAnsi="Arial" w:cs="Arial"/>
          <w:sz w:val="22"/>
          <w:szCs w:val="22"/>
        </w:rPr>
        <w:t>, 11(1_suppl), pp. 107–109. doi:https://doi.org/10.1258/1357633054461903.</w:t>
      </w:r>
    </w:p>
    <w:p w14:paraId="2D080D0D"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Tan, R.K.J. </w:t>
      </w:r>
      <w:r w:rsidRPr="00355A5F">
        <w:rPr>
          <w:rFonts w:ascii="Arial" w:hAnsi="Arial" w:cs="Arial"/>
          <w:i/>
          <w:iCs/>
          <w:sz w:val="22"/>
          <w:szCs w:val="22"/>
        </w:rPr>
        <w:t>et al.</w:t>
      </w:r>
      <w:r w:rsidRPr="00355A5F">
        <w:rPr>
          <w:rFonts w:ascii="Arial" w:hAnsi="Arial" w:cs="Arial"/>
          <w:sz w:val="22"/>
          <w:szCs w:val="22"/>
        </w:rPr>
        <w:t xml:space="preserve"> (2022) ‘Digital approaches to enhancing community engagement in clinical trials’, </w:t>
      </w:r>
      <w:r w:rsidRPr="00355A5F">
        <w:rPr>
          <w:rFonts w:ascii="Arial" w:hAnsi="Arial" w:cs="Arial"/>
          <w:i/>
          <w:iCs/>
          <w:sz w:val="22"/>
          <w:szCs w:val="22"/>
        </w:rPr>
        <w:t>npj Digital Medicine</w:t>
      </w:r>
      <w:r w:rsidRPr="00355A5F">
        <w:rPr>
          <w:rFonts w:ascii="Arial" w:hAnsi="Arial" w:cs="Arial"/>
          <w:sz w:val="22"/>
          <w:szCs w:val="22"/>
        </w:rPr>
        <w:t>, 5(1). doi:https://doi.org/10.1038/s41746-022-00581-1.</w:t>
      </w:r>
    </w:p>
    <w:p w14:paraId="28E9711C"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Till, S. </w:t>
      </w:r>
      <w:r w:rsidRPr="00355A5F">
        <w:rPr>
          <w:rFonts w:ascii="Arial" w:hAnsi="Arial" w:cs="Arial"/>
          <w:i/>
          <w:iCs/>
          <w:sz w:val="22"/>
          <w:szCs w:val="22"/>
        </w:rPr>
        <w:t>et al.</w:t>
      </w:r>
      <w:r w:rsidRPr="00355A5F">
        <w:rPr>
          <w:rFonts w:ascii="Arial" w:hAnsi="Arial" w:cs="Arial"/>
          <w:sz w:val="22"/>
          <w:szCs w:val="22"/>
        </w:rPr>
        <w:t xml:space="preserve"> (2022) ‘Digital Health Technologies for Maternal and Child Health in Africa and Other Low- and Middle-Income Countries: Cross-disciplinary Scoping Review With Stakeholder Consultation’, </w:t>
      </w:r>
      <w:r w:rsidRPr="00355A5F">
        <w:rPr>
          <w:rFonts w:ascii="Arial" w:hAnsi="Arial" w:cs="Arial"/>
          <w:i/>
          <w:iCs/>
          <w:sz w:val="22"/>
          <w:szCs w:val="22"/>
        </w:rPr>
        <w:t>Journal of Medical Internet Research</w:t>
      </w:r>
      <w:r w:rsidRPr="00355A5F">
        <w:rPr>
          <w:rFonts w:ascii="Arial" w:hAnsi="Arial" w:cs="Arial"/>
          <w:sz w:val="22"/>
          <w:szCs w:val="22"/>
        </w:rPr>
        <w:t>, 25, p. 42161. doi:https://doi.org/10.2196/42161.</w:t>
      </w:r>
    </w:p>
    <w:p w14:paraId="1EA4FA4B"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United Nations (2015) </w:t>
      </w:r>
      <w:r w:rsidRPr="00355A5F">
        <w:rPr>
          <w:rFonts w:ascii="Arial" w:hAnsi="Arial" w:cs="Arial"/>
          <w:i/>
          <w:iCs/>
          <w:sz w:val="22"/>
          <w:szCs w:val="22"/>
        </w:rPr>
        <w:t>The 17 sustainable development goals</w:t>
      </w:r>
      <w:r w:rsidRPr="00355A5F">
        <w:rPr>
          <w:rFonts w:ascii="Arial" w:hAnsi="Arial" w:cs="Arial"/>
          <w:sz w:val="22"/>
          <w:szCs w:val="22"/>
        </w:rPr>
        <w:t xml:space="preserve">, </w:t>
      </w:r>
      <w:r w:rsidRPr="00355A5F">
        <w:rPr>
          <w:rFonts w:ascii="Arial" w:hAnsi="Arial" w:cs="Arial"/>
          <w:i/>
          <w:iCs/>
          <w:sz w:val="22"/>
          <w:szCs w:val="22"/>
        </w:rPr>
        <w:t>United Nations</w:t>
      </w:r>
      <w:r w:rsidRPr="00355A5F">
        <w:rPr>
          <w:rFonts w:ascii="Arial" w:hAnsi="Arial" w:cs="Arial"/>
          <w:sz w:val="22"/>
          <w:szCs w:val="22"/>
        </w:rPr>
        <w:t>. Available at: https://sdgs.un.org/goals (Accessed: 1 December 2025).</w:t>
      </w:r>
    </w:p>
    <w:p w14:paraId="3A22CEC9"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Wang, M. </w:t>
      </w:r>
      <w:r w:rsidRPr="00355A5F">
        <w:rPr>
          <w:rFonts w:ascii="Arial" w:hAnsi="Arial" w:cs="Arial"/>
          <w:i/>
          <w:iCs/>
          <w:sz w:val="22"/>
          <w:szCs w:val="22"/>
        </w:rPr>
        <w:t>et al.</w:t>
      </w:r>
      <w:r w:rsidRPr="00355A5F">
        <w:rPr>
          <w:rFonts w:ascii="Arial" w:hAnsi="Arial" w:cs="Arial"/>
          <w:sz w:val="22"/>
          <w:szCs w:val="22"/>
        </w:rPr>
        <w:t xml:space="preserve"> (2025) ‘Development and TAM-Based Validation of a User Experience Scale for Actual System Use in Online Courses’, </w:t>
      </w:r>
      <w:r w:rsidRPr="00355A5F">
        <w:rPr>
          <w:rFonts w:ascii="Arial" w:hAnsi="Arial" w:cs="Arial"/>
          <w:i/>
          <w:iCs/>
          <w:sz w:val="22"/>
          <w:szCs w:val="22"/>
        </w:rPr>
        <w:t>Education Sciences</w:t>
      </w:r>
      <w:r w:rsidRPr="00355A5F">
        <w:rPr>
          <w:rFonts w:ascii="Arial" w:hAnsi="Arial" w:cs="Arial"/>
          <w:sz w:val="22"/>
          <w:szCs w:val="22"/>
        </w:rPr>
        <w:t>, 15(7), pp. 855–855. doi:https://doi.org/10.3390/educsci15070855.</w:t>
      </w:r>
    </w:p>
    <w:p w14:paraId="6463D00E"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WHO (2021) </w:t>
      </w:r>
      <w:r w:rsidRPr="00355A5F">
        <w:rPr>
          <w:rFonts w:ascii="Arial" w:hAnsi="Arial" w:cs="Arial"/>
          <w:i/>
          <w:iCs/>
          <w:sz w:val="22"/>
          <w:szCs w:val="22"/>
        </w:rPr>
        <w:t>Global strategy on digital health 2020-2025</w:t>
      </w:r>
      <w:r w:rsidRPr="00355A5F">
        <w:rPr>
          <w:rFonts w:ascii="Arial" w:hAnsi="Arial" w:cs="Arial"/>
          <w:sz w:val="22"/>
          <w:szCs w:val="22"/>
        </w:rPr>
        <w:t>. Available at: https://www.who.int/docs/default-source/documents/gs4dhdaa2a9f352b0445bafbc79ca799dce4d.pdf (Accessed: 1 December 2025).</w:t>
      </w:r>
    </w:p>
    <w:p w14:paraId="64319D86"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Woods, L. </w:t>
      </w:r>
      <w:r w:rsidRPr="00355A5F">
        <w:rPr>
          <w:rFonts w:ascii="Arial" w:hAnsi="Arial" w:cs="Arial"/>
          <w:i/>
          <w:iCs/>
          <w:sz w:val="22"/>
          <w:szCs w:val="22"/>
        </w:rPr>
        <w:t>et al.</w:t>
      </w:r>
      <w:r w:rsidRPr="00355A5F">
        <w:rPr>
          <w:rFonts w:ascii="Arial" w:hAnsi="Arial" w:cs="Arial"/>
          <w:sz w:val="22"/>
          <w:szCs w:val="22"/>
        </w:rPr>
        <w:t xml:space="preserve"> (2024) ‘Strengthening rural healthcare outcomes through digital health: qualitative multi-site case study’, </w:t>
      </w:r>
      <w:r w:rsidRPr="00355A5F">
        <w:rPr>
          <w:rFonts w:ascii="Arial" w:hAnsi="Arial" w:cs="Arial"/>
          <w:i/>
          <w:iCs/>
          <w:sz w:val="22"/>
          <w:szCs w:val="22"/>
        </w:rPr>
        <w:t>BMC Health Services Research</w:t>
      </w:r>
      <w:r w:rsidRPr="00355A5F">
        <w:rPr>
          <w:rFonts w:ascii="Arial" w:hAnsi="Arial" w:cs="Arial"/>
          <w:sz w:val="22"/>
          <w:szCs w:val="22"/>
        </w:rPr>
        <w:t>, 24(1). doi:https://doi.org/10.1186/s12913-024-11402-4.</w:t>
      </w:r>
    </w:p>
    <w:p w14:paraId="5E7501DB"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World Bank (2023) </w:t>
      </w:r>
      <w:r w:rsidRPr="00355A5F">
        <w:rPr>
          <w:rFonts w:ascii="Arial" w:hAnsi="Arial" w:cs="Arial"/>
          <w:i/>
          <w:iCs/>
          <w:sz w:val="22"/>
          <w:szCs w:val="22"/>
        </w:rPr>
        <w:t>DIGITAL-IN-HEALTH Unlocking the Value for Everyone</w:t>
      </w:r>
      <w:r w:rsidRPr="00355A5F">
        <w:rPr>
          <w:rFonts w:ascii="Arial" w:hAnsi="Arial" w:cs="Arial"/>
          <w:sz w:val="22"/>
          <w:szCs w:val="22"/>
        </w:rPr>
        <w:t>. Available at: https://documents1.worldbank.org/curated/en/099081723223033632/pdf/P17507505033520b109f180abcad94cfd14.pdf (Accessed: 1 December 2025).</w:t>
      </w:r>
    </w:p>
    <w:p w14:paraId="49D52924" w14:textId="77777777" w:rsidR="00951F43" w:rsidRPr="00355A5F" w:rsidRDefault="00951F43" w:rsidP="00355A5F">
      <w:pPr>
        <w:pStyle w:val="NormalWeb"/>
        <w:spacing w:before="0" w:beforeAutospacing="0" w:after="240" w:afterAutospacing="0" w:line="360" w:lineRule="auto"/>
        <w:jc w:val="both"/>
        <w:rPr>
          <w:rFonts w:ascii="Arial" w:hAnsi="Arial" w:cs="Arial"/>
          <w:sz w:val="22"/>
          <w:szCs w:val="22"/>
        </w:rPr>
      </w:pPr>
      <w:r w:rsidRPr="00355A5F">
        <w:rPr>
          <w:rFonts w:ascii="Arial" w:hAnsi="Arial" w:cs="Arial"/>
          <w:sz w:val="22"/>
          <w:szCs w:val="22"/>
        </w:rPr>
        <w:t xml:space="preserve">Zhang, X. </w:t>
      </w:r>
      <w:r w:rsidRPr="00355A5F">
        <w:rPr>
          <w:rFonts w:ascii="Arial" w:hAnsi="Arial" w:cs="Arial"/>
          <w:i/>
          <w:iCs/>
          <w:sz w:val="22"/>
          <w:szCs w:val="22"/>
        </w:rPr>
        <w:t>et al.</w:t>
      </w:r>
      <w:r w:rsidRPr="00355A5F">
        <w:rPr>
          <w:rFonts w:ascii="Arial" w:hAnsi="Arial" w:cs="Arial"/>
          <w:sz w:val="22"/>
          <w:szCs w:val="22"/>
        </w:rPr>
        <w:t xml:space="preserve"> (2015) ‘Using diffusion of innovation theory to understand the factors impacting patient acceptance and use of consumer e-health innovations: a case study in a primary care clinic’, </w:t>
      </w:r>
      <w:r w:rsidRPr="00355A5F">
        <w:rPr>
          <w:rFonts w:ascii="Arial" w:hAnsi="Arial" w:cs="Arial"/>
          <w:i/>
          <w:iCs/>
          <w:sz w:val="22"/>
          <w:szCs w:val="22"/>
        </w:rPr>
        <w:t>BMC Health Services Research</w:t>
      </w:r>
      <w:r w:rsidRPr="00355A5F">
        <w:rPr>
          <w:rFonts w:ascii="Arial" w:hAnsi="Arial" w:cs="Arial"/>
          <w:sz w:val="22"/>
          <w:szCs w:val="22"/>
        </w:rPr>
        <w:t>, 15(1). doi:https://doi.org/10.1186/s12913-015-0726-2.</w:t>
      </w:r>
    </w:p>
    <w:p w14:paraId="782A14F7" w14:textId="77777777" w:rsidR="00951F43" w:rsidRPr="00355A5F" w:rsidRDefault="00951F43" w:rsidP="00355A5F">
      <w:pPr>
        <w:jc w:val="both"/>
        <w:rPr>
          <w:rFonts w:ascii="Arial" w:hAnsi="Arial" w:cs="Arial"/>
          <w:b/>
          <w:bCs/>
          <w:szCs w:val="22"/>
        </w:rPr>
      </w:pPr>
    </w:p>
    <w:sectPr w:rsidR="00951F43" w:rsidRPr="00355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B5456"/>
    <w:multiLevelType w:val="multilevel"/>
    <w:tmpl w:val="723CF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859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A46"/>
    <w:rsid w:val="000363C5"/>
    <w:rsid w:val="000B743B"/>
    <w:rsid w:val="00125C44"/>
    <w:rsid w:val="00136CAF"/>
    <w:rsid w:val="001413F1"/>
    <w:rsid w:val="00153E5D"/>
    <w:rsid w:val="001E1A81"/>
    <w:rsid w:val="0026054D"/>
    <w:rsid w:val="0028135C"/>
    <w:rsid w:val="002A5235"/>
    <w:rsid w:val="002A6881"/>
    <w:rsid w:val="002A708C"/>
    <w:rsid w:val="002B53DA"/>
    <w:rsid w:val="00340028"/>
    <w:rsid w:val="00340DB6"/>
    <w:rsid w:val="00355A5F"/>
    <w:rsid w:val="00390182"/>
    <w:rsid w:val="00390486"/>
    <w:rsid w:val="003D0D6B"/>
    <w:rsid w:val="00421F54"/>
    <w:rsid w:val="00430BE3"/>
    <w:rsid w:val="00436C80"/>
    <w:rsid w:val="00437888"/>
    <w:rsid w:val="00461624"/>
    <w:rsid w:val="004A386A"/>
    <w:rsid w:val="00550A91"/>
    <w:rsid w:val="005771A2"/>
    <w:rsid w:val="006662CB"/>
    <w:rsid w:val="006C35BB"/>
    <w:rsid w:val="006D1F99"/>
    <w:rsid w:val="006F156F"/>
    <w:rsid w:val="00744D27"/>
    <w:rsid w:val="007F01CB"/>
    <w:rsid w:val="00804503"/>
    <w:rsid w:val="008308AF"/>
    <w:rsid w:val="00831A75"/>
    <w:rsid w:val="00831E83"/>
    <w:rsid w:val="00886F55"/>
    <w:rsid w:val="008C1243"/>
    <w:rsid w:val="00951F43"/>
    <w:rsid w:val="009B14D7"/>
    <w:rsid w:val="009E5C37"/>
    <w:rsid w:val="00A40E4C"/>
    <w:rsid w:val="00A564C6"/>
    <w:rsid w:val="00AB41D3"/>
    <w:rsid w:val="00AD3044"/>
    <w:rsid w:val="00B365DE"/>
    <w:rsid w:val="00B44BEF"/>
    <w:rsid w:val="00B86E38"/>
    <w:rsid w:val="00BE4882"/>
    <w:rsid w:val="00BF27B4"/>
    <w:rsid w:val="00C25896"/>
    <w:rsid w:val="00C67A46"/>
    <w:rsid w:val="00C94DB6"/>
    <w:rsid w:val="00CB5FA6"/>
    <w:rsid w:val="00D07BB3"/>
    <w:rsid w:val="00D745DE"/>
    <w:rsid w:val="00D8685B"/>
    <w:rsid w:val="00D95A10"/>
    <w:rsid w:val="00DA27DE"/>
    <w:rsid w:val="00E030E2"/>
    <w:rsid w:val="00E04550"/>
    <w:rsid w:val="00E13E7E"/>
    <w:rsid w:val="00E655BF"/>
    <w:rsid w:val="00E947F1"/>
    <w:rsid w:val="00ED4A77"/>
    <w:rsid w:val="00F5135E"/>
    <w:rsid w:val="00FB6C67"/>
    <w:rsid w:val="00FE55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0A3BB"/>
  <w15:chartTrackingRefBased/>
  <w15:docId w15:val="{6E1B1F58-DA3D-6A44-AD15-D7575C5E2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D27"/>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C67A4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67A4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67A4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7A4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7A4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7A4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C67A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A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A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A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A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A46"/>
    <w:rPr>
      <w:rFonts w:eastAsiaTheme="majorEastAsia" w:cstheme="majorBidi"/>
      <w:color w:val="272727" w:themeColor="text1" w:themeTint="D8"/>
    </w:rPr>
  </w:style>
  <w:style w:type="paragraph" w:styleId="Title">
    <w:name w:val="Title"/>
    <w:basedOn w:val="Normal"/>
    <w:next w:val="Normal"/>
    <w:link w:val="TitleChar"/>
    <w:uiPriority w:val="10"/>
    <w:qFormat/>
    <w:rsid w:val="00C67A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A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A4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A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A46"/>
    <w:pPr>
      <w:spacing w:before="160"/>
      <w:jc w:val="center"/>
    </w:pPr>
    <w:rPr>
      <w:i/>
      <w:iCs/>
      <w:color w:val="404040" w:themeColor="text1" w:themeTint="BF"/>
    </w:rPr>
  </w:style>
  <w:style w:type="character" w:customStyle="1" w:styleId="QuoteChar">
    <w:name w:val="Quote Char"/>
    <w:basedOn w:val="DefaultParagraphFont"/>
    <w:link w:val="Quote"/>
    <w:uiPriority w:val="29"/>
    <w:rsid w:val="00C67A46"/>
    <w:rPr>
      <w:rFonts w:asciiTheme="majorBidi" w:hAnsiTheme="majorBidi"/>
      <w:i/>
      <w:iCs/>
      <w:color w:val="404040" w:themeColor="text1" w:themeTint="BF"/>
    </w:rPr>
  </w:style>
  <w:style w:type="paragraph" w:styleId="ListParagraph">
    <w:name w:val="List Paragraph"/>
    <w:basedOn w:val="Normal"/>
    <w:uiPriority w:val="34"/>
    <w:qFormat/>
    <w:rsid w:val="00C67A46"/>
    <w:pPr>
      <w:ind w:left="720"/>
      <w:contextualSpacing/>
    </w:pPr>
  </w:style>
  <w:style w:type="character" w:styleId="IntenseEmphasis">
    <w:name w:val="Intense Emphasis"/>
    <w:basedOn w:val="DefaultParagraphFont"/>
    <w:uiPriority w:val="21"/>
    <w:qFormat/>
    <w:rsid w:val="00C67A46"/>
    <w:rPr>
      <w:i/>
      <w:iCs/>
      <w:color w:val="0F4761" w:themeColor="accent1" w:themeShade="BF"/>
    </w:rPr>
  </w:style>
  <w:style w:type="paragraph" w:styleId="IntenseQuote">
    <w:name w:val="Intense Quote"/>
    <w:basedOn w:val="Normal"/>
    <w:next w:val="Normal"/>
    <w:link w:val="IntenseQuoteChar"/>
    <w:uiPriority w:val="30"/>
    <w:qFormat/>
    <w:rsid w:val="00C67A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A46"/>
    <w:rPr>
      <w:rFonts w:asciiTheme="majorBidi" w:hAnsiTheme="majorBidi"/>
      <w:i/>
      <w:iCs/>
      <w:color w:val="0F4761" w:themeColor="accent1" w:themeShade="BF"/>
    </w:rPr>
  </w:style>
  <w:style w:type="character" w:styleId="IntenseReference">
    <w:name w:val="Intense Reference"/>
    <w:basedOn w:val="DefaultParagraphFont"/>
    <w:uiPriority w:val="32"/>
    <w:qFormat/>
    <w:rsid w:val="00C67A46"/>
    <w:rPr>
      <w:b/>
      <w:bCs/>
      <w:smallCaps/>
      <w:color w:val="0F4761" w:themeColor="accent1" w:themeShade="BF"/>
      <w:spacing w:val="5"/>
    </w:rPr>
  </w:style>
  <w:style w:type="paragraph" w:styleId="NormalWeb">
    <w:name w:val="Normal (Web)"/>
    <w:basedOn w:val="Normal"/>
    <w:uiPriority w:val="99"/>
    <w:unhideWhenUsed/>
    <w:rsid w:val="00B86E38"/>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B86E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4888</Words>
  <Characters>27865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Samina Nazir (2215433)</cp:lastModifiedBy>
  <cp:revision>2</cp:revision>
  <dcterms:created xsi:type="dcterms:W3CDTF">2025-12-04T17:59:00Z</dcterms:created>
  <dcterms:modified xsi:type="dcterms:W3CDTF">2025-12-04T17:59:00Z</dcterms:modified>
</cp:coreProperties>
</file>