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F07A4" w14:textId="77777777" w:rsidR="001E7BDD" w:rsidRPr="00460B54" w:rsidRDefault="001E7BDD" w:rsidP="001E7BDD">
      <w:pPr>
        <w:jc w:val="center"/>
        <w:rPr>
          <w:rFonts w:ascii="Arial" w:hAnsi="Arial" w:cs="Arial"/>
          <w:color w:val="1D2125"/>
          <w:shd w:val="clear" w:color="auto" w:fill="FFFFFF"/>
        </w:rPr>
      </w:pPr>
      <w:r w:rsidRPr="00460B54">
        <w:rPr>
          <w:rFonts w:ascii="Arial" w:hAnsi="Arial" w:cs="Arial"/>
          <w:b/>
          <w:bCs/>
          <w:color w:val="1D2125"/>
          <w:shd w:val="clear" w:color="auto" w:fill="FFFFFF"/>
        </w:rPr>
        <w:t>Trace the origins and development of the cult of any saint from the Celtic regions paying particular attention to the literary texts and the key sites associated with them.</w:t>
      </w:r>
    </w:p>
    <w:p w14:paraId="4804D833" w14:textId="77777777" w:rsidR="00A225B8" w:rsidRPr="003638F1" w:rsidRDefault="00A225B8" w:rsidP="003E710F"/>
    <w:p w14:paraId="7CE6EA26" w14:textId="77777777" w:rsidR="00A225B8" w:rsidRPr="003638F1" w:rsidRDefault="00A225B8" w:rsidP="003E710F"/>
    <w:p w14:paraId="41B1BAE7" w14:textId="77777777" w:rsidR="00A225B8" w:rsidRPr="003638F1" w:rsidRDefault="00A225B8" w:rsidP="003E710F"/>
    <w:p w14:paraId="5A5BF693" w14:textId="4FA0A8B0" w:rsidR="00A225B8" w:rsidRDefault="003638F1" w:rsidP="003E710F">
      <w:r>
        <w:rPr>
          <w:b/>
          <w:bCs/>
        </w:rPr>
        <w:tab/>
      </w:r>
      <w:r>
        <w:t xml:space="preserve">Among the Celtic saints, it is difficult to think of more than a few who gained </w:t>
      </w:r>
      <w:r w:rsidR="004C5942">
        <w:t>the same</w:t>
      </w:r>
      <w:r>
        <w:t xml:space="preserve"> influence and </w:t>
      </w:r>
      <w:r w:rsidR="004C5942">
        <w:t>devotion</w:t>
      </w:r>
      <w:r>
        <w:t xml:space="preserve"> </w:t>
      </w:r>
      <w:r w:rsidR="004C5942">
        <w:t>as</w:t>
      </w:r>
      <w:r>
        <w:t xml:space="preserve"> Gwenfrewi</w:t>
      </w:r>
      <w:r w:rsidR="0011466C">
        <w:t>, k</w:t>
      </w:r>
      <w:r w:rsidR="00661C71">
        <w:t xml:space="preserve">nown in English as </w:t>
      </w:r>
      <w:r w:rsidR="0011466C">
        <w:t>‘</w:t>
      </w:r>
      <w:proofErr w:type="spellStart"/>
      <w:r w:rsidR="00661C71">
        <w:t>Winefride</w:t>
      </w:r>
      <w:proofErr w:type="spellEnd"/>
      <w:r w:rsidR="0011466C">
        <w:t>’</w:t>
      </w:r>
      <w:r>
        <w:t xml:space="preserve">. </w:t>
      </w:r>
      <w:r w:rsidR="00655673">
        <w:t>She is one of only two native Welsh saints for whom a detailed prose narrative survives.</w:t>
      </w:r>
      <w:r w:rsidR="00655673">
        <w:rPr>
          <w:rStyle w:val="FootnoteReference"/>
        </w:rPr>
        <w:footnoteReference w:id="1"/>
      </w:r>
      <w:r w:rsidR="00655673">
        <w:t xml:space="preserve"> Her cult </w:t>
      </w:r>
      <w:r w:rsidR="00155990">
        <w:t xml:space="preserve">originated in </w:t>
      </w:r>
      <w:r w:rsidR="00F528F4">
        <w:t>7</w:t>
      </w:r>
      <w:r w:rsidR="00F528F4" w:rsidRPr="00F528F4">
        <w:rPr>
          <w:vertAlign w:val="superscript"/>
        </w:rPr>
        <w:t>th</w:t>
      </w:r>
      <w:r w:rsidR="00F528F4">
        <w:t xml:space="preserve"> century </w:t>
      </w:r>
      <w:r w:rsidR="00155990">
        <w:t xml:space="preserve">North Wales </w:t>
      </w:r>
      <w:r w:rsidR="00F528F4">
        <w:t xml:space="preserve">between the </w:t>
      </w:r>
      <w:r w:rsidR="00155990">
        <w:t>sites of Holywell and Gwytherin</w:t>
      </w:r>
      <w:r w:rsidR="007214D6">
        <w:t>.</w:t>
      </w:r>
      <w:r w:rsidR="00155990">
        <w:t xml:space="preserve"> </w:t>
      </w:r>
      <w:r w:rsidR="007214D6">
        <w:t>However,</w:t>
      </w:r>
      <w:r w:rsidR="00155990">
        <w:t xml:space="preserve"> over the 12</w:t>
      </w:r>
      <w:r w:rsidR="00155990" w:rsidRPr="00155990">
        <w:rPr>
          <w:vertAlign w:val="superscript"/>
        </w:rPr>
        <w:t>th</w:t>
      </w:r>
      <w:r w:rsidR="00155990">
        <w:t xml:space="preserve"> centur</w:t>
      </w:r>
      <w:r w:rsidR="00F528F4">
        <w:t>y</w:t>
      </w:r>
      <w:r w:rsidR="007214D6">
        <w:t>, it spread rapidly into England</w:t>
      </w:r>
      <w:r w:rsidR="00155990">
        <w:t xml:space="preserve"> </w:t>
      </w:r>
      <w:r w:rsidR="007214D6">
        <w:t>through</w:t>
      </w:r>
      <w:r w:rsidR="00155990">
        <w:t xml:space="preserve"> the </w:t>
      </w:r>
      <w:r w:rsidR="002D6076">
        <w:t xml:space="preserve">monasteries </w:t>
      </w:r>
      <w:r w:rsidR="00155990">
        <w:t xml:space="preserve">of St. </w:t>
      </w:r>
      <w:proofErr w:type="spellStart"/>
      <w:r w:rsidR="00155990">
        <w:t>Werbe</w:t>
      </w:r>
      <w:r w:rsidR="002D6076">
        <w:t>rghs</w:t>
      </w:r>
      <w:proofErr w:type="spellEnd"/>
      <w:r w:rsidR="002D6076">
        <w:t xml:space="preserve"> and Shrewsbury.</w:t>
      </w:r>
      <w:r w:rsidR="002D6076">
        <w:rPr>
          <w:rStyle w:val="FootnoteReference"/>
        </w:rPr>
        <w:footnoteReference w:id="2"/>
      </w:r>
      <w:r w:rsidR="000B02DA">
        <w:t xml:space="preserve"> over the late middle-ages and early 16</w:t>
      </w:r>
      <w:r w:rsidR="000B02DA" w:rsidRPr="000B02DA">
        <w:rPr>
          <w:vertAlign w:val="superscript"/>
        </w:rPr>
        <w:t>th</w:t>
      </w:r>
      <w:r w:rsidR="000B02DA">
        <w:t xml:space="preserve"> century, </w:t>
      </w:r>
      <w:r w:rsidR="00391DDD">
        <w:t xml:space="preserve">her following grew massively again. Her story is recorded in </w:t>
      </w:r>
      <w:r w:rsidR="00834D0A">
        <w:t>two 12</w:t>
      </w:r>
      <w:r w:rsidR="00834D0A" w:rsidRPr="00834D0A">
        <w:rPr>
          <w:vertAlign w:val="superscript"/>
        </w:rPr>
        <w:t>th</w:t>
      </w:r>
      <w:r w:rsidR="00834D0A">
        <w:t xml:space="preserve"> century </w:t>
      </w:r>
      <w:r w:rsidR="00834D0A">
        <w:rPr>
          <w:i/>
          <w:iCs/>
        </w:rPr>
        <w:t xml:space="preserve">vitae, </w:t>
      </w:r>
      <w:r w:rsidR="00391DDD">
        <w:t>the 14</w:t>
      </w:r>
      <w:r w:rsidR="00391DDD" w:rsidRPr="00391DDD">
        <w:rPr>
          <w:vertAlign w:val="superscript"/>
        </w:rPr>
        <w:t>th</w:t>
      </w:r>
      <w:r w:rsidR="00391DDD">
        <w:t xml:space="preserve"> century </w:t>
      </w:r>
      <w:r w:rsidR="00391DDD" w:rsidRPr="00391DDD">
        <w:rPr>
          <w:i/>
          <w:iCs/>
        </w:rPr>
        <w:t>Buchedd Beuno</w:t>
      </w:r>
      <w:r w:rsidR="00391DDD">
        <w:t>, a 15</w:t>
      </w:r>
      <w:r w:rsidR="00391DDD" w:rsidRPr="00391DDD">
        <w:rPr>
          <w:vertAlign w:val="superscript"/>
        </w:rPr>
        <w:t>th</w:t>
      </w:r>
      <w:r w:rsidR="00391DDD">
        <w:t xml:space="preserve"> century </w:t>
      </w:r>
      <w:r w:rsidR="00391DDD">
        <w:rPr>
          <w:i/>
          <w:iCs/>
        </w:rPr>
        <w:t>Buchedd</w:t>
      </w:r>
      <w:r w:rsidR="001A0ACC">
        <w:t xml:space="preserve"> </w:t>
      </w:r>
      <w:r w:rsidR="00391DDD">
        <w:t>Gwenfrewi, and a number of English works. After the reformation</w:t>
      </w:r>
      <w:r w:rsidR="008E04EC">
        <w:t xml:space="preserve"> her shrines and relics were mostly destroyed however her cult </w:t>
      </w:r>
      <w:r w:rsidR="00B1175B">
        <w:t>has remained alive to the present day.</w:t>
      </w:r>
      <w:r w:rsidR="002D6076">
        <w:t xml:space="preserve"> </w:t>
      </w:r>
      <w:r w:rsidR="007214D6">
        <w:t>This essay will trace the origins and development of the cult of Gwenfrewi</w:t>
      </w:r>
      <w:r w:rsidR="000B02DA">
        <w:t xml:space="preserve"> from the 7</w:t>
      </w:r>
      <w:r w:rsidR="000B02DA" w:rsidRPr="000B02DA">
        <w:rPr>
          <w:vertAlign w:val="superscript"/>
        </w:rPr>
        <w:t>th</w:t>
      </w:r>
      <w:r w:rsidR="000B02DA">
        <w:t xml:space="preserve"> century to modern times</w:t>
      </w:r>
      <w:r w:rsidR="007214D6">
        <w:t xml:space="preserve"> </w:t>
      </w:r>
      <w:r w:rsidR="000B02DA">
        <w:t>paying particular attention to her many associated sites</w:t>
      </w:r>
      <w:r w:rsidR="007214D6">
        <w:t>,</w:t>
      </w:r>
      <w:r w:rsidR="00ED7C2E">
        <w:t xml:space="preserve"> </w:t>
      </w:r>
      <w:r w:rsidR="007214D6">
        <w:t>her multiple recorded</w:t>
      </w:r>
      <w:r w:rsidR="00ED7C2E">
        <w:t xml:space="preserve"> lives</w:t>
      </w:r>
      <w:r w:rsidR="000B02DA">
        <w:t>, and her other associated poetry and artefacts</w:t>
      </w:r>
      <w:r w:rsidR="007214D6">
        <w:t>.</w:t>
      </w:r>
      <w:r w:rsidR="000B02DA">
        <w:t xml:space="preserve"> </w:t>
      </w:r>
    </w:p>
    <w:p w14:paraId="150F4A42" w14:textId="77777777" w:rsidR="00B1175B" w:rsidRDefault="00B1175B" w:rsidP="003E710F"/>
    <w:p w14:paraId="06A08C30" w14:textId="6C10D3B1" w:rsidR="003A72E1" w:rsidRDefault="00B1175B" w:rsidP="003E710F">
      <w:r>
        <w:tab/>
        <w:t xml:space="preserve">To understand the </w:t>
      </w:r>
      <w:r w:rsidR="00477E89">
        <w:t>development of the cult of Gwenfrewi it is crucial to summarise her life and hagiography. The first, and most influential versions of her life are her two 12</w:t>
      </w:r>
      <w:r w:rsidR="00477E89" w:rsidRPr="00477E89">
        <w:rPr>
          <w:vertAlign w:val="superscript"/>
        </w:rPr>
        <w:t>th</w:t>
      </w:r>
      <w:r w:rsidR="00477E89">
        <w:t xml:space="preserve"> </w:t>
      </w:r>
      <w:r w:rsidR="0075701A">
        <w:t>Latin</w:t>
      </w:r>
      <w:r w:rsidR="0075701A">
        <w:rPr>
          <w:i/>
          <w:iCs/>
        </w:rPr>
        <w:t xml:space="preserve"> vitae</w:t>
      </w:r>
      <w:r w:rsidR="00177BC4">
        <w:t>.</w:t>
      </w:r>
      <w:r w:rsidR="00477E89">
        <w:t xml:space="preserve"> </w:t>
      </w:r>
      <w:r w:rsidR="00177BC4">
        <w:t>T</w:t>
      </w:r>
      <w:r w:rsidR="00477E89">
        <w:t xml:space="preserve">he anonymous </w:t>
      </w:r>
      <w:r w:rsidR="00477E89">
        <w:rPr>
          <w:i/>
          <w:iCs/>
        </w:rPr>
        <w:t>Vita S.</w:t>
      </w:r>
      <w:r w:rsidR="00177BC4">
        <w:rPr>
          <w:i/>
          <w:iCs/>
        </w:rPr>
        <w:t xml:space="preserve"> </w:t>
      </w:r>
      <w:proofErr w:type="spellStart"/>
      <w:r w:rsidR="00477E89">
        <w:rPr>
          <w:i/>
          <w:iCs/>
        </w:rPr>
        <w:t>Wenefrede</w:t>
      </w:r>
      <w:proofErr w:type="spellEnd"/>
      <w:r w:rsidR="00477E89">
        <w:t xml:space="preserve">, referred to in many sources originating from the Bollandists as the </w:t>
      </w:r>
      <w:r w:rsidR="00477E89">
        <w:rPr>
          <w:i/>
          <w:iCs/>
        </w:rPr>
        <w:t>Vita Prima</w:t>
      </w:r>
      <w:r w:rsidR="0075701A">
        <w:rPr>
          <w:i/>
          <w:iCs/>
        </w:rPr>
        <w:t>,</w:t>
      </w:r>
      <w:r w:rsidR="00177BC4">
        <w:t xml:space="preserve"> comprises of two parts</w:t>
      </w:r>
      <w:r w:rsidR="00CC3DCD">
        <w:t xml:space="preserve">, the </w:t>
      </w:r>
      <w:r w:rsidR="00CC3DCD">
        <w:rPr>
          <w:i/>
          <w:iCs/>
        </w:rPr>
        <w:t xml:space="preserve">vita </w:t>
      </w:r>
      <w:r w:rsidR="00CC3DCD">
        <w:t>and a collection of miracle accounts twice as long as the life</w:t>
      </w:r>
      <w:r w:rsidR="00177BC4">
        <w:t>.</w:t>
      </w:r>
      <w:r w:rsidR="00DB7FCB">
        <w:rPr>
          <w:rStyle w:val="FootnoteReference"/>
        </w:rPr>
        <w:footnoteReference w:id="3"/>
      </w:r>
      <w:r w:rsidR="00477E89">
        <w:t xml:space="preserve"> Robert Pennant</w:t>
      </w:r>
      <w:r w:rsidR="00CC104F">
        <w:t>’</w:t>
      </w:r>
      <w:r w:rsidR="00477E89">
        <w:t xml:space="preserve">s </w:t>
      </w:r>
      <w:r w:rsidR="00477E89">
        <w:rPr>
          <w:i/>
          <w:iCs/>
        </w:rPr>
        <w:t xml:space="preserve">Vita et </w:t>
      </w:r>
      <w:proofErr w:type="spellStart"/>
      <w:r w:rsidR="00477E89">
        <w:rPr>
          <w:i/>
          <w:iCs/>
        </w:rPr>
        <w:t>Translatio</w:t>
      </w:r>
      <w:proofErr w:type="spellEnd"/>
      <w:r w:rsidR="00477E89">
        <w:rPr>
          <w:i/>
          <w:iCs/>
        </w:rPr>
        <w:t xml:space="preserve"> S. </w:t>
      </w:r>
      <w:proofErr w:type="spellStart"/>
      <w:r w:rsidR="00477E89">
        <w:rPr>
          <w:i/>
          <w:iCs/>
        </w:rPr>
        <w:t>Wenefredae</w:t>
      </w:r>
      <w:proofErr w:type="spellEnd"/>
      <w:r w:rsidR="00CC3DCD">
        <w:t xml:space="preserve"> is </w:t>
      </w:r>
      <w:r w:rsidR="00477E89">
        <w:t xml:space="preserve">referred to in the </w:t>
      </w:r>
      <w:r w:rsidR="006A1345">
        <w:t xml:space="preserve">Bollandist translation as the </w:t>
      </w:r>
      <w:r w:rsidR="00477E89">
        <w:rPr>
          <w:i/>
          <w:iCs/>
        </w:rPr>
        <w:t xml:space="preserve">Vita </w:t>
      </w:r>
      <w:proofErr w:type="spellStart"/>
      <w:r w:rsidR="00477E89">
        <w:rPr>
          <w:i/>
          <w:iCs/>
        </w:rPr>
        <w:t>Secund</w:t>
      </w:r>
      <w:r w:rsidR="007207C6">
        <w:rPr>
          <w:i/>
          <w:iCs/>
        </w:rPr>
        <w:t>a</w:t>
      </w:r>
      <w:proofErr w:type="spellEnd"/>
      <w:r w:rsidR="007207C6">
        <w:t xml:space="preserve">; this life is much longer, and contains a </w:t>
      </w:r>
      <w:r w:rsidR="0070540B">
        <w:t xml:space="preserve">detailed </w:t>
      </w:r>
      <w:r w:rsidR="007207C6">
        <w:t xml:space="preserve">account of how Gwenfrewi’s bones were translated from Gwytherin to Shrewsbury. </w:t>
      </w:r>
      <w:r w:rsidR="00177BC4">
        <w:t xml:space="preserve">Which came first </w:t>
      </w:r>
      <w:r w:rsidR="0075701A">
        <w:t xml:space="preserve">or </w:t>
      </w:r>
      <w:r w:rsidR="00177BC4">
        <w:t xml:space="preserve">second is an area of some debate, </w:t>
      </w:r>
      <w:r w:rsidR="00177BC4" w:rsidRPr="00050C49">
        <w:t>however this will be expanded on later in the essay.</w:t>
      </w:r>
      <w:r w:rsidR="001A0B78">
        <w:t xml:space="preserve"> </w:t>
      </w:r>
      <w:r w:rsidR="006A1345" w:rsidRPr="00661C71">
        <w:t>Another</w:t>
      </w:r>
      <w:r w:rsidR="006A1345">
        <w:t xml:space="preserve"> very influential source on </w:t>
      </w:r>
      <w:r w:rsidR="00CC104F">
        <w:t>Gwenfrewi’</w:t>
      </w:r>
      <w:r w:rsidR="006A1345">
        <w:t xml:space="preserve">s </w:t>
      </w:r>
      <w:r w:rsidR="00CC104F">
        <w:t>martyrdom</w:t>
      </w:r>
      <w:r w:rsidR="006A1345">
        <w:t xml:space="preserve"> </w:t>
      </w:r>
      <w:r w:rsidR="00A46D7D">
        <w:t>was</w:t>
      </w:r>
      <w:r w:rsidR="006A1345">
        <w:t xml:space="preserve"> </w:t>
      </w:r>
      <w:r w:rsidR="006A1345">
        <w:rPr>
          <w:i/>
          <w:iCs/>
        </w:rPr>
        <w:t>Buchedd Beuno</w:t>
      </w:r>
      <w:r w:rsidR="00D27BCC">
        <w:rPr>
          <w:i/>
          <w:iCs/>
        </w:rPr>
        <w:t xml:space="preserve">, </w:t>
      </w:r>
      <w:r w:rsidR="00D27BCC">
        <w:t>written in 1346</w:t>
      </w:r>
      <w:r w:rsidR="000E5641">
        <w:t>.</w:t>
      </w:r>
      <w:r w:rsidR="00D27BCC">
        <w:rPr>
          <w:rStyle w:val="FootnoteReference"/>
        </w:rPr>
        <w:footnoteReference w:id="4"/>
      </w:r>
      <w:r w:rsidR="000E5641">
        <w:t xml:space="preserve"> </w:t>
      </w:r>
      <w:r w:rsidR="00A46D7D">
        <w:t xml:space="preserve">The </w:t>
      </w:r>
      <w:r w:rsidR="000E5641">
        <w:t>account</w:t>
      </w:r>
      <w:r w:rsidR="000E5641" w:rsidRPr="000E5641">
        <w:rPr>
          <w:i/>
          <w:iCs/>
        </w:rPr>
        <w:t xml:space="preserve"> </w:t>
      </w:r>
      <w:r w:rsidR="000E5641">
        <w:t>does not appear to be derived from the Latin lives, and was possibly derived from an earlier Welsh life of Beuno.</w:t>
      </w:r>
      <w:r w:rsidR="000E5641">
        <w:rPr>
          <w:rStyle w:val="FootnoteReference"/>
        </w:rPr>
        <w:footnoteReference w:id="5"/>
      </w:r>
      <w:r w:rsidR="00D27BCC">
        <w:t xml:space="preserve"> Another important source is the 15</w:t>
      </w:r>
      <w:r w:rsidR="00D27BCC" w:rsidRPr="00D27BCC">
        <w:rPr>
          <w:vertAlign w:val="superscript"/>
        </w:rPr>
        <w:t>th</w:t>
      </w:r>
      <w:r w:rsidR="00D27BCC">
        <w:t xml:space="preserve"> century </w:t>
      </w:r>
      <w:r w:rsidR="00D27BCC">
        <w:rPr>
          <w:i/>
          <w:iCs/>
        </w:rPr>
        <w:t>Buchedd Gwenfrewi</w:t>
      </w:r>
      <w:r w:rsidR="00D27BCC">
        <w:t xml:space="preserve"> which survives in a number of sources</w:t>
      </w:r>
      <w:r w:rsidR="00DB7FCB">
        <w:t xml:space="preserve">, </w:t>
      </w:r>
      <w:r w:rsidR="006C3BBF">
        <w:t>and appears to be influenced mostly by Prior Robert</w:t>
      </w:r>
      <w:r w:rsidR="00066CFC">
        <w:t>’</w:t>
      </w:r>
      <w:r w:rsidR="006C3BBF">
        <w:t xml:space="preserve">s </w:t>
      </w:r>
      <w:r w:rsidR="00EA7A2D">
        <w:rPr>
          <w:i/>
          <w:iCs/>
        </w:rPr>
        <w:t>v</w:t>
      </w:r>
      <w:r w:rsidR="006C3BBF">
        <w:rPr>
          <w:i/>
          <w:iCs/>
        </w:rPr>
        <w:t>ita.</w:t>
      </w:r>
      <w:r w:rsidR="00405A12">
        <w:rPr>
          <w:rStyle w:val="FootnoteReference"/>
          <w:i/>
          <w:iCs/>
        </w:rPr>
        <w:footnoteReference w:id="6"/>
      </w:r>
      <w:r w:rsidR="006C3BBF">
        <w:rPr>
          <w:i/>
          <w:iCs/>
        </w:rPr>
        <w:t xml:space="preserve"> </w:t>
      </w:r>
      <w:r w:rsidR="006C3BBF">
        <w:t>T</w:t>
      </w:r>
      <w:r w:rsidR="00DB7FCB">
        <w:t xml:space="preserve">he earliest surviving </w:t>
      </w:r>
      <w:r w:rsidR="00A46D7D">
        <w:t xml:space="preserve">manuscript of </w:t>
      </w:r>
      <w:r w:rsidR="00254072">
        <w:rPr>
          <w:i/>
          <w:iCs/>
        </w:rPr>
        <w:t>Buchedd Gwenfrewi</w:t>
      </w:r>
      <w:r w:rsidR="00254072">
        <w:t xml:space="preserve"> is</w:t>
      </w:r>
      <w:r w:rsidR="00DB7FCB">
        <w:t xml:space="preserve"> </w:t>
      </w:r>
      <w:r w:rsidR="00DB7FCB" w:rsidRPr="00DB7FCB">
        <w:rPr>
          <w:i/>
          <w:iCs/>
        </w:rPr>
        <w:t>Pen 27ii</w:t>
      </w:r>
      <w:r w:rsidR="00DB7FCB">
        <w:rPr>
          <w:i/>
          <w:iCs/>
        </w:rPr>
        <w:t>.</w:t>
      </w:r>
      <w:r w:rsidR="00DB7FCB">
        <w:rPr>
          <w:rStyle w:val="FootnoteReference"/>
          <w:i/>
          <w:iCs/>
        </w:rPr>
        <w:footnoteReference w:id="7"/>
      </w:r>
      <w:r w:rsidR="00DB7FCB">
        <w:rPr>
          <w:i/>
          <w:iCs/>
        </w:rPr>
        <w:t xml:space="preserve"> </w:t>
      </w:r>
      <w:r w:rsidR="007B16CA">
        <w:t>However</w:t>
      </w:r>
      <w:r w:rsidR="00254072">
        <w:t>, a</w:t>
      </w:r>
      <w:r w:rsidR="00DB7FCB">
        <w:t xml:space="preserve">lthough </w:t>
      </w:r>
      <w:r w:rsidR="00DB7FCB">
        <w:rPr>
          <w:i/>
          <w:iCs/>
        </w:rPr>
        <w:t xml:space="preserve">Pen 27ii </w:t>
      </w:r>
      <w:r w:rsidR="00DB7FCB">
        <w:t>is the first surviving version,</w:t>
      </w:r>
      <w:r w:rsidR="001A0B78">
        <w:t xml:space="preserve"> a number of copying errors and unnecessary repetitions indicates it is not</w:t>
      </w:r>
      <w:r w:rsidR="00661C71">
        <w:t xml:space="preserve"> </w:t>
      </w:r>
      <w:r w:rsidR="001A0B78">
        <w:t>the original manuscript</w:t>
      </w:r>
      <w:r w:rsidR="007B16CA">
        <w:t>, and it was probably derived again from an earlier Welsh version</w:t>
      </w:r>
      <w:r w:rsidR="001A0B78">
        <w:t>.</w:t>
      </w:r>
      <w:r w:rsidR="001A0B78">
        <w:rPr>
          <w:rStyle w:val="FootnoteReference"/>
        </w:rPr>
        <w:footnoteReference w:id="8"/>
      </w:r>
      <w:r w:rsidR="001A0B78">
        <w:t xml:space="preserve"> </w:t>
      </w:r>
    </w:p>
    <w:p w14:paraId="582EC87B" w14:textId="77777777" w:rsidR="003A72E1" w:rsidRDefault="003A72E1" w:rsidP="003E710F"/>
    <w:p w14:paraId="15CDF59F" w14:textId="5F6E2FC0" w:rsidR="00CB21C5" w:rsidRDefault="001A0B78" w:rsidP="0027630E">
      <w:pPr>
        <w:ind w:firstLine="720"/>
      </w:pPr>
      <w:r>
        <w:t xml:space="preserve">The life told in these </w:t>
      </w:r>
      <w:r w:rsidR="00EA7A2D">
        <w:rPr>
          <w:i/>
          <w:iCs/>
        </w:rPr>
        <w:t>v</w:t>
      </w:r>
      <w:r>
        <w:rPr>
          <w:i/>
          <w:iCs/>
        </w:rPr>
        <w:t xml:space="preserve">itae </w:t>
      </w:r>
      <w:r>
        <w:t xml:space="preserve">and </w:t>
      </w:r>
      <w:proofErr w:type="spellStart"/>
      <w:r w:rsidR="00EA7A2D">
        <w:rPr>
          <w:i/>
          <w:iCs/>
        </w:rPr>
        <w:t>b</w:t>
      </w:r>
      <w:r>
        <w:rPr>
          <w:i/>
          <w:iCs/>
        </w:rPr>
        <w:t>ucheddau</w:t>
      </w:r>
      <w:proofErr w:type="spellEnd"/>
      <w:r>
        <w:rPr>
          <w:i/>
          <w:iCs/>
        </w:rPr>
        <w:t xml:space="preserve"> </w:t>
      </w:r>
      <w:r>
        <w:t xml:space="preserve">is broadly coherent despite some minor inconsistencies. </w:t>
      </w:r>
      <w:r w:rsidR="00661C71">
        <w:t xml:space="preserve">Under the reign of King </w:t>
      </w:r>
      <w:proofErr w:type="spellStart"/>
      <w:r w:rsidR="00661C71">
        <w:t>Cadfan</w:t>
      </w:r>
      <w:proofErr w:type="spellEnd"/>
      <w:r w:rsidR="00661C71">
        <w:t>, in the 7</w:t>
      </w:r>
      <w:r w:rsidR="00661C71" w:rsidRPr="00661C71">
        <w:rPr>
          <w:vertAlign w:val="superscript"/>
        </w:rPr>
        <w:t>th</w:t>
      </w:r>
      <w:r w:rsidR="00661C71">
        <w:t xml:space="preserve"> century, Beuno is led </w:t>
      </w:r>
      <w:r w:rsidR="006C3BBF">
        <w:t>to</w:t>
      </w:r>
      <w:r w:rsidR="00661C71">
        <w:t xml:space="preserve"> seek the hospitality of </w:t>
      </w:r>
      <w:proofErr w:type="spellStart"/>
      <w:r w:rsidR="00661C71">
        <w:t>Teuyth</w:t>
      </w:r>
      <w:proofErr w:type="spellEnd"/>
      <w:r w:rsidR="00661C71">
        <w:t xml:space="preserve">, son of a powerful Welsh chieftain. </w:t>
      </w:r>
      <w:r w:rsidR="006C3BBF">
        <w:t>In Robert</w:t>
      </w:r>
      <w:r w:rsidR="00EE3F2D">
        <w:t>’</w:t>
      </w:r>
      <w:r w:rsidR="006C3BBF">
        <w:t>s life</w:t>
      </w:r>
      <w:r w:rsidR="00EE3F2D">
        <w:t>,</w:t>
      </w:r>
      <w:r w:rsidR="006C3BBF">
        <w:t xml:space="preserve"> Beuno is led to </w:t>
      </w:r>
      <w:proofErr w:type="spellStart"/>
      <w:r w:rsidR="006C3BBF">
        <w:t>Teuyth</w:t>
      </w:r>
      <w:proofErr w:type="spellEnd"/>
      <w:r w:rsidR="006C3BBF">
        <w:t xml:space="preserve"> “urged by a divine uttering.”</w:t>
      </w:r>
      <w:r w:rsidR="006C3BBF">
        <w:rPr>
          <w:rStyle w:val="FootnoteReference"/>
        </w:rPr>
        <w:footnoteReference w:id="9"/>
      </w:r>
      <w:r w:rsidR="006C3BBF">
        <w:t xml:space="preserve"> This is different to the anonymous life where Beuno is forced to move by the sons of </w:t>
      </w:r>
      <w:proofErr w:type="spellStart"/>
      <w:r w:rsidR="006C3BBF">
        <w:t>Selym</w:t>
      </w:r>
      <w:proofErr w:type="spellEnd"/>
      <w:r w:rsidR="006C3BBF">
        <w:t>.</w:t>
      </w:r>
      <w:r w:rsidR="006C3BBF">
        <w:rPr>
          <w:rStyle w:val="FootnoteReference"/>
        </w:rPr>
        <w:footnoteReference w:id="10"/>
      </w:r>
      <w:r w:rsidR="006C3BBF">
        <w:t xml:space="preserve"> </w:t>
      </w:r>
      <w:r w:rsidR="00661C71">
        <w:t xml:space="preserve">He is </w:t>
      </w:r>
      <w:r w:rsidR="00EE3F2D">
        <w:t xml:space="preserve">however </w:t>
      </w:r>
      <w:r w:rsidR="00661C71">
        <w:t xml:space="preserve">received, and begins teaching </w:t>
      </w:r>
      <w:proofErr w:type="spellStart"/>
      <w:r w:rsidR="00661C71">
        <w:t>Teuyth</w:t>
      </w:r>
      <w:r w:rsidR="00066CFC">
        <w:t>’</w:t>
      </w:r>
      <w:r w:rsidR="00661C71">
        <w:t>s</w:t>
      </w:r>
      <w:proofErr w:type="spellEnd"/>
      <w:r w:rsidR="00661C71">
        <w:t xml:space="preserve"> daughter Gwenfrewi, who decides to dedicate her life to becoming a bride of Christ. One day while her </w:t>
      </w:r>
      <w:r w:rsidR="006C3BBF">
        <w:t>parents are at mass with Beuno, Gwenfrewi is approached by Carado</w:t>
      </w:r>
      <w:r w:rsidR="00423C2B">
        <w:t>g, King in</w:t>
      </w:r>
      <w:r w:rsidR="00DB53C5">
        <w:rPr>
          <w:i/>
          <w:iCs/>
        </w:rPr>
        <w:t xml:space="preserve"> Buchedd Beuno</w:t>
      </w:r>
      <w:r w:rsidR="00423C2B">
        <w:t xml:space="preserve">, and son of </w:t>
      </w:r>
      <w:proofErr w:type="spellStart"/>
      <w:r w:rsidR="00423C2B">
        <w:t>Alauc</w:t>
      </w:r>
      <w:proofErr w:type="spellEnd"/>
      <w:r w:rsidR="00423C2B">
        <w:t xml:space="preserve"> </w:t>
      </w:r>
      <w:r w:rsidR="00DB53C5">
        <w:t xml:space="preserve">in the Latin </w:t>
      </w:r>
      <w:r w:rsidR="00EA7A2D">
        <w:rPr>
          <w:i/>
          <w:iCs/>
        </w:rPr>
        <w:t>v</w:t>
      </w:r>
      <w:r w:rsidR="00DB53C5">
        <w:rPr>
          <w:i/>
          <w:iCs/>
        </w:rPr>
        <w:t>itae.</w:t>
      </w:r>
      <w:r w:rsidR="00DB53C5">
        <w:rPr>
          <w:rStyle w:val="FootnoteReference"/>
          <w:i/>
          <w:iCs/>
        </w:rPr>
        <w:footnoteReference w:id="11"/>
      </w:r>
      <w:r w:rsidR="00DB53C5">
        <w:rPr>
          <w:i/>
          <w:iCs/>
        </w:rPr>
        <w:t xml:space="preserve"> </w:t>
      </w:r>
      <w:r w:rsidR="00DB53C5">
        <w:rPr>
          <w:iCs/>
        </w:rPr>
        <w:t>C</w:t>
      </w:r>
      <w:r w:rsidR="00DB53C5">
        <w:t>aradog asks her to be his mistress, an offer Gwenfrewi declines saying she is not worthy of one so noble</w:t>
      </w:r>
      <w:r w:rsidR="00DB3600">
        <w:t>.</w:t>
      </w:r>
      <w:r w:rsidR="00DB53C5">
        <w:t xml:space="preserve"> Caradog persists and Gwenfrewi excuses herself to her chambers</w:t>
      </w:r>
      <w:r w:rsidR="0060029F">
        <w:t xml:space="preserve"> from wh</w:t>
      </w:r>
      <w:r w:rsidR="00EE3F2D">
        <w:t>ere</w:t>
      </w:r>
      <w:r w:rsidR="0060029F">
        <w:t xml:space="preserve"> she makes her escape. Seeing this, Caradog pursues her and finds her outside of the church. In </w:t>
      </w:r>
      <w:r w:rsidR="007F2FBB">
        <w:t>Beuno and the anonymous life, Caradog catches up with Gwenfrewi on his horse, and as her foot crosses the threshold, he cuts off her head with his sword.</w:t>
      </w:r>
      <w:r w:rsidR="007F2FBB">
        <w:rPr>
          <w:rStyle w:val="FootnoteReference"/>
        </w:rPr>
        <w:footnoteReference w:id="12"/>
      </w:r>
      <w:r w:rsidR="0060029F">
        <w:t xml:space="preserve"> </w:t>
      </w:r>
      <w:r w:rsidR="008A2437">
        <w:t>In Robert</w:t>
      </w:r>
      <w:r w:rsidR="00717873">
        <w:t>’</w:t>
      </w:r>
      <w:r w:rsidR="008A2437">
        <w:t xml:space="preserve">s life however a more dramatic encounter plays out. Caradog catches up to Gwenfrewi outside of the church, </w:t>
      </w:r>
      <w:r w:rsidR="00DB3600">
        <w:t xml:space="preserve">and </w:t>
      </w:r>
      <w:r w:rsidR="008A2437">
        <w:t>with a savage expression he speaks to her: “Once I loved you and wanted to embrace you. Now you flee one who comes to you and despise one who seeks you… Either you will be united voluntarily to me right away, or you will end your life right away.”</w:t>
      </w:r>
      <w:r w:rsidR="008A2437">
        <w:rPr>
          <w:rStyle w:val="FootnoteReference"/>
        </w:rPr>
        <w:footnoteReference w:id="13"/>
      </w:r>
      <w:r w:rsidR="008A2437">
        <w:t xml:space="preserve"> Casting her eyes </w:t>
      </w:r>
      <w:r w:rsidR="0060029F">
        <w:t>toward th</w:t>
      </w:r>
      <w:r w:rsidR="007F2FBB">
        <w:t>e</w:t>
      </w:r>
      <w:r w:rsidR="0060029F">
        <w:t xml:space="preserve"> church and realising there is no one to help</w:t>
      </w:r>
      <w:r w:rsidR="008A2437">
        <w:t xml:space="preserve"> her, Gwenfrewi</w:t>
      </w:r>
      <w:r w:rsidR="0060029F">
        <w:t xml:space="preserve"> </w:t>
      </w:r>
      <w:r w:rsidR="008A2437">
        <w:t>defiantly states that she is already joined in matrimony to the son of the eternal King and the judge of all men, telling Caradog to draw his sword and put forth his strength.</w:t>
      </w:r>
      <w:r w:rsidR="001421A3">
        <w:rPr>
          <w:rStyle w:val="FootnoteReference"/>
        </w:rPr>
        <w:footnoteReference w:id="14"/>
      </w:r>
      <w:r w:rsidR="008A2437">
        <w:t xml:space="preserve"> As soon as her head fell to the ground, a clear </w:t>
      </w:r>
      <w:r w:rsidR="003A72E1">
        <w:t>running spring burst forth in that very spot.</w:t>
      </w:r>
      <w:r w:rsidR="003A72E1">
        <w:rPr>
          <w:rStyle w:val="FootnoteReference"/>
        </w:rPr>
        <w:footnoteReference w:id="15"/>
      </w:r>
      <w:r w:rsidR="007F2FBB">
        <w:t xml:space="preserve"> </w:t>
      </w:r>
      <w:r w:rsidR="0060029F">
        <w:t>Robert’s life relates how her head rolled down the slope on which the church was situated and into the building.</w:t>
      </w:r>
      <w:r w:rsidR="0060029F">
        <w:rPr>
          <w:rStyle w:val="FootnoteReference"/>
        </w:rPr>
        <w:footnoteReference w:id="16"/>
      </w:r>
      <w:r w:rsidR="003A72E1">
        <w:t xml:space="preserve"> Upon seeing this, Gwenfrewi’s parents fall to the ground weeping</w:t>
      </w:r>
      <w:r w:rsidR="00DB3600">
        <w:t xml:space="preserve">. The Latin </w:t>
      </w:r>
      <w:r w:rsidR="00EA7A2D">
        <w:rPr>
          <w:i/>
          <w:iCs/>
        </w:rPr>
        <w:t>v</w:t>
      </w:r>
      <w:r w:rsidR="00DB3600">
        <w:rPr>
          <w:i/>
          <w:iCs/>
        </w:rPr>
        <w:t>itae</w:t>
      </w:r>
      <w:r w:rsidR="00DB3600">
        <w:t xml:space="preserve"> and </w:t>
      </w:r>
      <w:r w:rsidR="00DB3600">
        <w:rPr>
          <w:i/>
          <w:iCs/>
        </w:rPr>
        <w:t>Buchedd Beuno</w:t>
      </w:r>
      <w:r w:rsidR="00DB3600">
        <w:t xml:space="preserve"> both relate how Beuno cursed the unremorseful Caradog who melted away as if he were a candle, however some of the later</w:t>
      </w:r>
      <w:r w:rsidR="00631763">
        <w:t xml:space="preserve"> 15</w:t>
      </w:r>
      <w:r w:rsidR="00631763" w:rsidRPr="00631763">
        <w:rPr>
          <w:vertAlign w:val="superscript"/>
        </w:rPr>
        <w:t>th</w:t>
      </w:r>
      <w:r w:rsidR="00631763">
        <w:t>-16</w:t>
      </w:r>
      <w:r w:rsidR="00631763" w:rsidRPr="00631763">
        <w:rPr>
          <w:vertAlign w:val="superscript"/>
        </w:rPr>
        <w:t>th</w:t>
      </w:r>
      <w:r w:rsidR="00631763">
        <w:t xml:space="preserve"> century</w:t>
      </w:r>
      <w:r w:rsidR="00DB3600">
        <w:t xml:space="preserve"> </w:t>
      </w:r>
      <w:r w:rsidR="00DB3600">
        <w:rPr>
          <w:i/>
          <w:iCs/>
        </w:rPr>
        <w:t>Cywydd</w:t>
      </w:r>
      <w:r w:rsidR="00631763">
        <w:rPr>
          <w:i/>
          <w:iCs/>
        </w:rPr>
        <w:t xml:space="preserve"> </w:t>
      </w:r>
      <w:r w:rsidR="00631763">
        <w:t>poets</w:t>
      </w:r>
      <w:r w:rsidR="00DB3600">
        <w:t xml:space="preserve"> </w:t>
      </w:r>
      <w:r w:rsidR="00D476C1">
        <w:t>write of</w:t>
      </w:r>
      <w:r w:rsidR="00631763">
        <w:t xml:space="preserve"> how </w:t>
      </w:r>
      <w:r w:rsidR="00DB3600">
        <w:t>the ground</w:t>
      </w:r>
      <w:r w:rsidR="00631763">
        <w:t xml:space="preserve"> spontaneously</w:t>
      </w:r>
      <w:r w:rsidR="00DB3600">
        <w:t xml:space="preserve"> open</w:t>
      </w:r>
      <w:r w:rsidR="00631763">
        <w:t>ed</w:t>
      </w:r>
      <w:r w:rsidR="00DB3600">
        <w:t xml:space="preserve"> up to swallow him.</w:t>
      </w:r>
      <w:r w:rsidR="00DB3600">
        <w:rPr>
          <w:rStyle w:val="FootnoteReference"/>
        </w:rPr>
        <w:footnoteReference w:id="17"/>
      </w:r>
      <w:r w:rsidR="00DB3600">
        <w:t xml:space="preserve"> </w:t>
      </w:r>
      <w:r w:rsidR="00F86DAF">
        <w:t xml:space="preserve">The </w:t>
      </w:r>
      <w:r w:rsidR="00F86DAF">
        <w:rPr>
          <w:i/>
          <w:iCs/>
        </w:rPr>
        <w:t>Buche</w:t>
      </w:r>
      <w:r w:rsidR="00D476C1">
        <w:rPr>
          <w:i/>
          <w:iCs/>
        </w:rPr>
        <w:t>dd</w:t>
      </w:r>
      <w:r w:rsidR="00F86DAF">
        <w:rPr>
          <w:i/>
          <w:iCs/>
        </w:rPr>
        <w:t xml:space="preserve"> Gwenfrewi</w:t>
      </w:r>
      <w:r w:rsidR="00631763">
        <w:t xml:space="preserve">, </w:t>
      </w:r>
      <w:r w:rsidR="00F86DAF">
        <w:t>combines the tw</w:t>
      </w:r>
      <w:r w:rsidR="00D476C1">
        <w:t>o</w:t>
      </w:r>
      <w:r w:rsidR="00025AC9">
        <w:t>, and</w:t>
      </w:r>
      <w:r w:rsidR="00F86DAF">
        <w:t xml:space="preserve"> </w:t>
      </w:r>
      <w:r w:rsidR="00631763">
        <w:t xml:space="preserve">after </w:t>
      </w:r>
      <w:r w:rsidR="00F86DAF">
        <w:t xml:space="preserve">he is cursed by Beuno, Caradog </w:t>
      </w:r>
      <w:r w:rsidR="00631763">
        <w:t>is swallowed by the earth</w:t>
      </w:r>
      <w:r w:rsidR="00025AC9">
        <w:t xml:space="preserve"> rather than melting</w:t>
      </w:r>
      <w:r w:rsidR="00631763">
        <w:t>.</w:t>
      </w:r>
      <w:r w:rsidR="00631763">
        <w:rPr>
          <w:rStyle w:val="FootnoteReference"/>
        </w:rPr>
        <w:footnoteReference w:id="18"/>
      </w:r>
      <w:r w:rsidR="00631763">
        <w:t xml:space="preserve"> After the destruction of Caradog, </w:t>
      </w:r>
      <w:r w:rsidR="00F86DAF">
        <w:t xml:space="preserve">Beuno arranges Gwenfrewi’s head and body back together before covering them with his mantle, and goes back into the church to complete mass. In </w:t>
      </w:r>
      <w:r w:rsidR="00F86DAF">
        <w:rPr>
          <w:i/>
          <w:iCs/>
        </w:rPr>
        <w:t>Buchedd</w:t>
      </w:r>
      <w:r w:rsidR="00F86DAF" w:rsidRPr="00F86DAF">
        <w:rPr>
          <w:i/>
          <w:iCs/>
        </w:rPr>
        <w:t xml:space="preserve"> Beuno</w:t>
      </w:r>
      <w:r w:rsidR="00992E55">
        <w:rPr>
          <w:i/>
          <w:iCs/>
        </w:rPr>
        <w:t>,</w:t>
      </w:r>
      <w:r w:rsidR="00F86DAF">
        <w:t xml:space="preserve"> Gwenfrewi arose after mass was complete well and unharmed, wiping the sweat from her face.</w:t>
      </w:r>
      <w:r w:rsidR="00F86DAF">
        <w:rPr>
          <w:rStyle w:val="FootnoteReference"/>
        </w:rPr>
        <w:footnoteReference w:id="19"/>
      </w:r>
      <w:r w:rsidR="00F86DAF">
        <w:t xml:space="preserve"> </w:t>
      </w:r>
      <w:r w:rsidR="00785226">
        <w:t xml:space="preserve">The Latin </w:t>
      </w:r>
      <w:r w:rsidR="00785226">
        <w:rPr>
          <w:i/>
          <w:iCs/>
        </w:rPr>
        <w:t xml:space="preserve">vitae </w:t>
      </w:r>
      <w:r w:rsidR="00785226">
        <w:t>again give more detail and relate how Beuno prayed earnestly to God to vivify the body.</w:t>
      </w:r>
      <w:r w:rsidR="00785226">
        <w:rPr>
          <w:rStyle w:val="FootnoteReference"/>
        </w:rPr>
        <w:footnoteReference w:id="20"/>
      </w:r>
      <w:r w:rsidR="00785226">
        <w:t xml:space="preserve"> </w:t>
      </w:r>
      <w:r w:rsidR="00C47CA6">
        <w:t xml:space="preserve">When she </w:t>
      </w:r>
      <w:r w:rsidR="00814699">
        <w:t>arose,</w:t>
      </w:r>
      <w:r w:rsidR="00C47CA6">
        <w:t xml:space="preserve"> she had a thin white scar around her neck, the </w:t>
      </w:r>
      <w:r w:rsidR="00C47CA6">
        <w:rPr>
          <w:i/>
          <w:iCs/>
        </w:rPr>
        <w:t>Buchedd Gwenfrewi</w:t>
      </w:r>
      <w:r w:rsidR="00C47CA6">
        <w:t xml:space="preserve"> uses this to explain the addition of ‘</w:t>
      </w:r>
      <w:proofErr w:type="spellStart"/>
      <w:r w:rsidR="00C47CA6">
        <w:rPr>
          <w:i/>
          <w:iCs/>
        </w:rPr>
        <w:t>Guen</w:t>
      </w:r>
      <w:proofErr w:type="spellEnd"/>
      <w:r w:rsidR="00C47CA6">
        <w:rPr>
          <w:i/>
          <w:iCs/>
        </w:rPr>
        <w:t>’</w:t>
      </w:r>
      <w:r w:rsidR="00C47CA6">
        <w:t xml:space="preserve"> [white] to her </w:t>
      </w:r>
      <w:r w:rsidR="00C47CA6">
        <w:lastRenderedPageBreak/>
        <w:t>original name ‘</w:t>
      </w:r>
      <w:proofErr w:type="spellStart"/>
      <w:r w:rsidR="00C47CA6" w:rsidRPr="00C47CA6">
        <w:rPr>
          <w:i/>
          <w:iCs/>
        </w:rPr>
        <w:t>Breuy</w:t>
      </w:r>
      <w:proofErr w:type="spellEnd"/>
      <w:r w:rsidR="00C47CA6" w:rsidRPr="00C47CA6">
        <w:rPr>
          <w:i/>
          <w:iCs/>
        </w:rPr>
        <w:t>’</w:t>
      </w:r>
      <w:r w:rsidR="00C47CA6">
        <w:rPr>
          <w:i/>
          <w:iCs/>
        </w:rPr>
        <w:t xml:space="preserve"> </w:t>
      </w:r>
      <w:r w:rsidR="00F62F6E">
        <w:t xml:space="preserve">giving </w:t>
      </w:r>
      <w:r w:rsidR="00C47CA6">
        <w:t xml:space="preserve">her the new name of </w:t>
      </w:r>
      <w:proofErr w:type="spellStart"/>
      <w:r w:rsidR="00C47CA6" w:rsidRPr="00C47CA6">
        <w:rPr>
          <w:i/>
          <w:iCs/>
        </w:rPr>
        <w:t>Guenvreuy</w:t>
      </w:r>
      <w:proofErr w:type="spellEnd"/>
      <w:r w:rsidR="00C47CA6">
        <w:t>.</w:t>
      </w:r>
      <w:r w:rsidR="00D1165F">
        <w:t xml:space="preserve"> Robert Pennants life explains a similar etymology for </w:t>
      </w:r>
      <w:proofErr w:type="spellStart"/>
      <w:r w:rsidR="00D1165F">
        <w:t>Winefride</w:t>
      </w:r>
      <w:proofErr w:type="spellEnd"/>
      <w:r w:rsidR="00D1165F">
        <w:t>, ‘</w:t>
      </w:r>
      <w:r w:rsidR="00D1165F">
        <w:rPr>
          <w:i/>
          <w:iCs/>
        </w:rPr>
        <w:t xml:space="preserve">Wen’ </w:t>
      </w:r>
      <w:r w:rsidR="00D1165F">
        <w:t>was added to her original name of ‘</w:t>
      </w:r>
      <w:proofErr w:type="spellStart"/>
      <w:r w:rsidR="00D1165F">
        <w:rPr>
          <w:i/>
          <w:iCs/>
        </w:rPr>
        <w:t>Brewa</w:t>
      </w:r>
      <w:proofErr w:type="spellEnd"/>
      <w:r w:rsidR="00D1165F">
        <w:rPr>
          <w:i/>
          <w:iCs/>
        </w:rPr>
        <w:t>’.</w:t>
      </w:r>
      <w:r w:rsidR="00D1165F">
        <w:t xml:space="preserve"> This etymology </w:t>
      </w:r>
      <w:r w:rsidR="00CB21C5">
        <w:t xml:space="preserve">is </w:t>
      </w:r>
      <w:r w:rsidR="00D1165F">
        <w:t>disputed by Baring-Gould and Fisher</w:t>
      </w:r>
      <w:r w:rsidR="00CB21C5">
        <w:t xml:space="preserve"> who claim that the name </w:t>
      </w:r>
      <w:proofErr w:type="spellStart"/>
      <w:r w:rsidR="00CB21C5">
        <w:t>Winefride</w:t>
      </w:r>
      <w:proofErr w:type="spellEnd"/>
      <w:r w:rsidR="00CB21C5">
        <w:t xml:space="preserve"> was a separate name that was ascribed through guesswork. The original name </w:t>
      </w:r>
      <w:proofErr w:type="spellStart"/>
      <w:r w:rsidR="00CB21C5">
        <w:rPr>
          <w:i/>
          <w:iCs/>
        </w:rPr>
        <w:t>Winefridu</w:t>
      </w:r>
      <w:proofErr w:type="spellEnd"/>
      <w:r w:rsidR="00CB21C5">
        <w:t xml:space="preserve"> coming from </w:t>
      </w:r>
      <w:r w:rsidR="00CB21C5">
        <w:rPr>
          <w:i/>
          <w:iCs/>
        </w:rPr>
        <w:t>Wine</w:t>
      </w:r>
      <w:r w:rsidR="00CB21C5">
        <w:t xml:space="preserve"> meaning ‘a friend’, and </w:t>
      </w:r>
      <w:proofErr w:type="spellStart"/>
      <w:r w:rsidR="00CB21C5">
        <w:rPr>
          <w:i/>
          <w:iCs/>
        </w:rPr>
        <w:t>Fridu</w:t>
      </w:r>
      <w:proofErr w:type="spellEnd"/>
      <w:r w:rsidR="00CB21C5">
        <w:t xml:space="preserve"> meaning ‘peace’.</w:t>
      </w:r>
      <w:r w:rsidR="00CB21C5">
        <w:rPr>
          <w:rStyle w:val="FootnoteReference"/>
        </w:rPr>
        <w:footnoteReference w:id="21"/>
      </w:r>
      <w:r w:rsidR="00D1165F">
        <w:t xml:space="preserve"> </w:t>
      </w:r>
      <w:r w:rsidR="00D55119">
        <w:t xml:space="preserve"> </w:t>
      </w:r>
      <w:r w:rsidR="00785226">
        <w:t xml:space="preserve">Where the Anonymous </w:t>
      </w:r>
      <w:r w:rsidR="00EA7A2D">
        <w:rPr>
          <w:i/>
          <w:iCs/>
        </w:rPr>
        <w:t>v</w:t>
      </w:r>
      <w:r w:rsidR="00785226">
        <w:rPr>
          <w:i/>
          <w:iCs/>
        </w:rPr>
        <w:t xml:space="preserve">ita </w:t>
      </w:r>
      <w:r w:rsidR="00785226">
        <w:t xml:space="preserve">and </w:t>
      </w:r>
      <w:r w:rsidR="00785226">
        <w:rPr>
          <w:i/>
          <w:iCs/>
        </w:rPr>
        <w:t>Buchedd Beuno</w:t>
      </w:r>
      <w:r w:rsidR="00785226">
        <w:t xml:space="preserve"> split from the </w:t>
      </w:r>
      <w:r w:rsidR="00EA7A2D">
        <w:rPr>
          <w:i/>
          <w:iCs/>
        </w:rPr>
        <w:t>v</w:t>
      </w:r>
      <w:r w:rsidR="00785226">
        <w:rPr>
          <w:i/>
          <w:iCs/>
        </w:rPr>
        <w:t xml:space="preserve">ita </w:t>
      </w:r>
      <w:r w:rsidR="00785226">
        <w:t>of Robert Pennant, is on the creation of the well</w:t>
      </w:r>
      <w:r w:rsidR="00C47CA6">
        <w:t xml:space="preserve">. As shown earlier, the </w:t>
      </w:r>
      <w:r w:rsidR="00EA7A2D">
        <w:rPr>
          <w:i/>
          <w:iCs/>
        </w:rPr>
        <w:t>v</w:t>
      </w:r>
      <w:r w:rsidR="00C47CA6">
        <w:rPr>
          <w:i/>
          <w:iCs/>
        </w:rPr>
        <w:t xml:space="preserve">ita </w:t>
      </w:r>
      <w:r w:rsidR="00C47CA6">
        <w:t>of Robert Pennant relates how the fountain sprung forth the moment Gwenfrewi’s head touched the ground</w:t>
      </w:r>
      <w:r w:rsidR="00934E7B">
        <w:t>.</w:t>
      </w:r>
      <w:r w:rsidR="00C47CA6">
        <w:t xml:space="preserve"> </w:t>
      </w:r>
      <w:r w:rsidR="00934E7B">
        <w:t>H</w:t>
      </w:r>
      <w:r w:rsidR="00C47CA6">
        <w:t xml:space="preserve">owever other sources attribute the wells creation </w:t>
      </w:r>
      <w:r w:rsidR="00934E7B">
        <w:t>to</w:t>
      </w:r>
      <w:r w:rsidR="00C47CA6">
        <w:t xml:space="preserve"> the miracle of her healing.</w:t>
      </w:r>
      <w:r w:rsidR="00C47CA6">
        <w:rPr>
          <w:rStyle w:val="FootnoteReference"/>
        </w:rPr>
        <w:footnoteReference w:id="22"/>
      </w:r>
      <w:r w:rsidR="00D1165F">
        <w:t xml:space="preserve"> </w:t>
      </w:r>
      <w:r w:rsidR="00CB21C5">
        <w:t xml:space="preserve">The spring was </w:t>
      </w:r>
      <w:r w:rsidR="0027630E">
        <w:t>nam</w:t>
      </w:r>
      <w:r w:rsidR="00CB21C5">
        <w:t>ed after</w:t>
      </w:r>
      <w:r w:rsidR="0027630E">
        <w:t xml:space="preserve"> her</w:t>
      </w:r>
      <w:r w:rsidR="00CB21C5">
        <w:t xml:space="preserve">, </w:t>
      </w:r>
      <w:proofErr w:type="spellStart"/>
      <w:r w:rsidR="00CB21C5">
        <w:t>Ffynon</w:t>
      </w:r>
      <w:proofErr w:type="spellEnd"/>
      <w:r w:rsidR="00CB21C5">
        <w:t xml:space="preserve"> </w:t>
      </w:r>
      <w:proofErr w:type="spellStart"/>
      <w:r w:rsidR="00CB21C5">
        <w:t>Wenfrewi</w:t>
      </w:r>
      <w:proofErr w:type="spellEnd"/>
      <w:r w:rsidR="00CB21C5">
        <w:t xml:space="preserve"> in Wels</w:t>
      </w:r>
      <w:r w:rsidR="0027630E">
        <w:t>h</w:t>
      </w:r>
      <w:r w:rsidR="00CB21C5">
        <w:t>.</w:t>
      </w:r>
      <w:r w:rsidR="00CB21C5">
        <w:rPr>
          <w:rStyle w:val="FootnoteReference"/>
        </w:rPr>
        <w:footnoteReference w:id="23"/>
      </w:r>
      <w:r w:rsidR="0027630E">
        <w:t xml:space="preserve"> It is described in Robert</w:t>
      </w:r>
      <w:r w:rsidR="001868EF">
        <w:t>’</w:t>
      </w:r>
      <w:r w:rsidR="0027630E">
        <w:t xml:space="preserve">s </w:t>
      </w:r>
      <w:r w:rsidR="00EA7A2D">
        <w:rPr>
          <w:i/>
          <w:iCs/>
        </w:rPr>
        <w:t>v</w:t>
      </w:r>
      <w:r w:rsidR="0027630E">
        <w:rPr>
          <w:i/>
          <w:iCs/>
        </w:rPr>
        <w:t>it</w:t>
      </w:r>
      <w:r w:rsidR="001868EF">
        <w:rPr>
          <w:i/>
          <w:iCs/>
        </w:rPr>
        <w:t xml:space="preserve">a </w:t>
      </w:r>
      <w:r w:rsidR="001868EF">
        <w:t>as</w:t>
      </w:r>
      <w:r w:rsidR="0027630E">
        <w:rPr>
          <w:i/>
          <w:iCs/>
        </w:rPr>
        <w:t xml:space="preserve"> </w:t>
      </w:r>
      <w:r w:rsidR="0027630E">
        <w:t xml:space="preserve">possessing the ability to heal all illnesses among both people and cattle. At the bottom the stones are permanently stained with the congealed blood of Gwenfrewi. </w:t>
      </w:r>
      <w:r w:rsidR="005B41BD">
        <w:t xml:space="preserve">The moss that clings to the spring is also described as fragrant, </w:t>
      </w:r>
      <w:r w:rsidR="00EB20E8">
        <w:t xml:space="preserve">and reportedly </w:t>
      </w:r>
      <w:r w:rsidR="005B41BD">
        <w:t>smel</w:t>
      </w:r>
      <w:r w:rsidR="00EB20E8">
        <w:t>t</w:t>
      </w:r>
      <w:r w:rsidR="005B41BD">
        <w:t xml:space="preserve"> like incense.</w:t>
      </w:r>
      <w:r w:rsidR="005B41BD">
        <w:rPr>
          <w:rStyle w:val="FootnoteReference"/>
        </w:rPr>
        <w:footnoteReference w:id="24"/>
      </w:r>
    </w:p>
    <w:p w14:paraId="19548D8F" w14:textId="77777777" w:rsidR="001966AC" w:rsidRDefault="001966AC" w:rsidP="0027630E">
      <w:pPr>
        <w:ind w:firstLine="720"/>
      </w:pPr>
    </w:p>
    <w:p w14:paraId="5BC774A6" w14:textId="652E28C4" w:rsidR="001966AC" w:rsidRDefault="001966AC" w:rsidP="009A6A9E">
      <w:pPr>
        <w:ind w:firstLine="720"/>
      </w:pPr>
      <w:r>
        <w:t xml:space="preserve">Shortly after her miraculous healing, Gwenfrewi received the vale, and when it was time for Beuno to move away to the seashore, he granted her three gifts. </w:t>
      </w:r>
      <w:r w:rsidR="00EB20E8">
        <w:t>First, t</w:t>
      </w:r>
      <w:r>
        <w:t xml:space="preserve">he </w:t>
      </w:r>
      <w:r w:rsidR="00AF0571">
        <w:t>stones spattered with her blood would remain stained, displaying her martyrdom to God. The second gift was the ability to cure those who sought healing at her well</w:t>
      </w:r>
      <w:r w:rsidR="00281F64">
        <w:t>.</w:t>
      </w:r>
      <w:r w:rsidR="00AF0571">
        <w:t xml:space="preserve"> </w:t>
      </w:r>
      <w:r w:rsidR="00281F64">
        <w:t>T</w:t>
      </w:r>
      <w:r w:rsidR="00AF0571">
        <w:t>he third gift was the ability to send Beuno a gift every yea</w:t>
      </w:r>
      <w:r w:rsidR="00681570">
        <w:t>r by placing it upon the waters of the spring, from where it would be carried to him in his new home.</w:t>
      </w:r>
      <w:r w:rsidR="00681570">
        <w:rPr>
          <w:rStyle w:val="FootnoteReference"/>
        </w:rPr>
        <w:footnoteReference w:id="25"/>
      </w:r>
      <w:r w:rsidR="00681570">
        <w:t xml:space="preserve"> </w:t>
      </w:r>
      <w:r w:rsidR="002B7D9B">
        <w:t>T</w:t>
      </w:r>
      <w:r>
        <w:t xml:space="preserve">he church and surrounding dwellings, </w:t>
      </w:r>
      <w:r w:rsidR="00AF0571">
        <w:t>including the well</w:t>
      </w:r>
      <w:r w:rsidR="002B7D9B">
        <w:t>, were granted to Gwenfrewi</w:t>
      </w:r>
      <w:r w:rsidR="00AF0571">
        <w:t xml:space="preserve">. </w:t>
      </w:r>
      <w:r w:rsidR="00AF0571">
        <w:t>In the church she would</w:t>
      </w:r>
      <w:r>
        <w:t xml:space="preserve"> assemble </w:t>
      </w:r>
      <w:r w:rsidR="00AF0571">
        <w:t>a convent of virgins</w:t>
      </w:r>
      <w:r>
        <w:t xml:space="preserve"> in service of God</w:t>
      </w:r>
      <w:r w:rsidR="00AF0571">
        <w:t xml:space="preserve">, and live as Beuno had instructed her. </w:t>
      </w:r>
      <w:r w:rsidR="002B7D9B">
        <w:t>Every year, on the vigil of John the Baptist, Gwenfrewi would send Beuno a cloak imbued with her merit, the power of which meant rain could not drench him, nor the wind dishevel his hair.</w:t>
      </w:r>
      <w:r w:rsidR="002B7D9B">
        <w:rPr>
          <w:rStyle w:val="FootnoteReference"/>
        </w:rPr>
        <w:footnoteReference w:id="26"/>
      </w:r>
      <w:r w:rsidR="002B7D9B">
        <w:t xml:space="preserve"> Robert</w:t>
      </w:r>
      <w:r w:rsidR="003F18D1">
        <w:t>’</w:t>
      </w:r>
      <w:r w:rsidR="002B7D9B">
        <w:t>s life tells how seven years after Beuno</w:t>
      </w:r>
      <w:r w:rsidR="007D71A6">
        <w:t>’s death, Gwenfrewi grew restless at Holywell, and searched for a new convent. God instruct</w:t>
      </w:r>
      <w:r w:rsidR="003F18D1">
        <w:t>ed</w:t>
      </w:r>
      <w:r w:rsidR="007D71A6">
        <w:t xml:space="preserve"> her to go to the blessed </w:t>
      </w:r>
      <w:proofErr w:type="spellStart"/>
      <w:r w:rsidR="007D71A6">
        <w:t>Deifer</w:t>
      </w:r>
      <w:proofErr w:type="spellEnd"/>
      <w:r w:rsidR="007D71A6">
        <w:t xml:space="preserve">, who </w:t>
      </w:r>
      <w:r w:rsidR="003F18D1">
        <w:t>dwelt</w:t>
      </w:r>
      <w:r w:rsidR="007D71A6">
        <w:t xml:space="preserve"> in </w:t>
      </w:r>
      <w:proofErr w:type="spellStart"/>
      <w:r w:rsidR="007D71A6">
        <w:t>Botavarrus</w:t>
      </w:r>
      <w:proofErr w:type="spellEnd"/>
      <w:r w:rsidR="007D71A6">
        <w:t xml:space="preserve">, she is in turn then sent to Saturnus and then to </w:t>
      </w:r>
      <w:proofErr w:type="spellStart"/>
      <w:r w:rsidR="007D71A6">
        <w:t>Elerius</w:t>
      </w:r>
      <w:proofErr w:type="spellEnd"/>
      <w:r w:rsidR="00380C87">
        <w:t>, who introduces her to the nearby convent of Gw</w:t>
      </w:r>
      <w:r w:rsidR="001E629C">
        <w:t>y</w:t>
      </w:r>
      <w:r w:rsidR="00380C87">
        <w:t xml:space="preserve">therin, where Gwenfrewi succeeds his mother </w:t>
      </w:r>
      <w:proofErr w:type="spellStart"/>
      <w:r w:rsidR="00380C87">
        <w:t>Theonia</w:t>
      </w:r>
      <w:proofErr w:type="spellEnd"/>
      <w:r w:rsidR="00380C87">
        <w:t xml:space="preserve"> as superior.</w:t>
      </w:r>
      <w:r w:rsidR="00380C87">
        <w:rPr>
          <w:rStyle w:val="FootnoteReference"/>
        </w:rPr>
        <w:footnoteReference w:id="27"/>
      </w:r>
      <w:r w:rsidR="00380C87">
        <w:t xml:space="preserve"> After some time at Gwytherin, Gwenfrewi dies, </w:t>
      </w:r>
      <w:r w:rsidR="00172012">
        <w:t xml:space="preserve">and was buried alongside </w:t>
      </w:r>
      <w:proofErr w:type="spellStart"/>
      <w:r w:rsidR="00172012">
        <w:t>Theonia</w:t>
      </w:r>
      <w:proofErr w:type="spellEnd"/>
      <w:r w:rsidR="00172012">
        <w:t xml:space="preserve">, </w:t>
      </w:r>
      <w:proofErr w:type="spellStart"/>
      <w:r w:rsidR="00172012">
        <w:t>Chebius</w:t>
      </w:r>
      <w:proofErr w:type="spellEnd"/>
      <w:r w:rsidR="00172012">
        <w:t xml:space="preserve"> and </w:t>
      </w:r>
      <w:proofErr w:type="spellStart"/>
      <w:r w:rsidR="00172012">
        <w:t>Senanus</w:t>
      </w:r>
      <w:proofErr w:type="spellEnd"/>
      <w:r w:rsidR="00172012">
        <w:t xml:space="preserve"> in the Graveyard of Saints at Gwytherin.</w:t>
      </w:r>
      <w:r w:rsidR="00814699">
        <w:rPr>
          <w:rStyle w:val="FootnoteReference"/>
        </w:rPr>
        <w:footnoteReference w:id="28"/>
      </w:r>
      <w:r w:rsidR="00814699">
        <w:t xml:space="preserve"> The anonymous life does not contain the extract referring to Gwytherin, the life portion ends with a brief reference to Gwenfrewi</w:t>
      </w:r>
      <w:r w:rsidR="009A6A9E">
        <w:t>’</w:t>
      </w:r>
      <w:r w:rsidR="00814699">
        <w:t>s journey to Rome and her attendance at a Synod. These details were deliberately excluded by Robert Pennant who did not believe them to be corroborated by his research.</w:t>
      </w:r>
      <w:r w:rsidR="00814699">
        <w:rPr>
          <w:rStyle w:val="FootnoteReference"/>
        </w:rPr>
        <w:footnoteReference w:id="29"/>
      </w:r>
    </w:p>
    <w:p w14:paraId="0DD2EC02" w14:textId="77777777" w:rsidR="0046309A" w:rsidRDefault="0046309A" w:rsidP="0027630E">
      <w:pPr>
        <w:ind w:firstLine="720"/>
      </w:pPr>
    </w:p>
    <w:p w14:paraId="6FB4CB2F" w14:textId="2555B1D4" w:rsidR="00026F88" w:rsidRDefault="0046309A" w:rsidP="009500AD">
      <w:pPr>
        <w:ind w:firstLine="720"/>
      </w:pPr>
      <w:r>
        <w:t xml:space="preserve">Having now broadly established the life of Gwenfrewi, it is possible to delve further into the origins and development of her cult. </w:t>
      </w:r>
      <w:r w:rsidR="001963D7">
        <w:t>Gwenfrewi was a 7</w:t>
      </w:r>
      <w:r w:rsidR="001963D7" w:rsidRPr="001963D7">
        <w:rPr>
          <w:vertAlign w:val="superscript"/>
        </w:rPr>
        <w:t>th</w:t>
      </w:r>
      <w:r w:rsidR="001963D7">
        <w:t xml:space="preserve"> century saint, </w:t>
      </w:r>
      <w:r w:rsidR="00060128">
        <w:t>one</w:t>
      </w:r>
      <w:r w:rsidR="001963D7">
        <w:t xml:space="preserve"> of the famous ‘Age of the Saints’ in Wales; </w:t>
      </w:r>
      <w:r w:rsidR="00B2768E">
        <w:t xml:space="preserve">however, </w:t>
      </w:r>
      <w:r w:rsidR="001963D7">
        <w:t>t</w:t>
      </w:r>
      <w:r w:rsidR="0089087B">
        <w:t xml:space="preserve">here are a few indications in the </w:t>
      </w:r>
      <w:r w:rsidR="0089087B">
        <w:rPr>
          <w:i/>
          <w:iCs/>
        </w:rPr>
        <w:t xml:space="preserve">vitae </w:t>
      </w:r>
      <w:r w:rsidR="0089087B">
        <w:t>t</w:t>
      </w:r>
      <w:r w:rsidR="001963D7">
        <w:t>hat place her more precisely</w:t>
      </w:r>
      <w:r w:rsidR="0089087B">
        <w:t xml:space="preserve">.  The anonymous Latin </w:t>
      </w:r>
      <w:r w:rsidR="0089087B">
        <w:rPr>
          <w:i/>
          <w:iCs/>
        </w:rPr>
        <w:t xml:space="preserve">vita </w:t>
      </w:r>
      <w:r w:rsidR="0089087B">
        <w:t xml:space="preserve">indicates Gwenfrewi was a young girl in </w:t>
      </w:r>
      <w:r w:rsidR="0089087B">
        <w:lastRenderedPageBreak/>
        <w:t xml:space="preserve">the time of King </w:t>
      </w:r>
      <w:proofErr w:type="spellStart"/>
      <w:r w:rsidR="0089087B">
        <w:t>Cadfan</w:t>
      </w:r>
      <w:proofErr w:type="spellEnd"/>
      <w:r w:rsidR="0089087B">
        <w:t>, a ruler believed to have died sometime around the year 63</w:t>
      </w:r>
      <w:r w:rsidR="00B2768E">
        <w:t xml:space="preserve">0, </w:t>
      </w:r>
      <w:r w:rsidR="0089087B">
        <w:t xml:space="preserve">around the time </w:t>
      </w:r>
      <w:r w:rsidR="00B2768E">
        <w:t>as</w:t>
      </w:r>
      <w:r w:rsidR="0089087B">
        <w:t xml:space="preserve"> Beuno’s departure </w:t>
      </w:r>
      <w:r w:rsidR="001963D7">
        <w:t xml:space="preserve">to </w:t>
      </w:r>
      <w:proofErr w:type="spellStart"/>
      <w:r w:rsidR="001963D7">
        <w:t>Clynnog</w:t>
      </w:r>
      <w:proofErr w:type="spellEnd"/>
      <w:r w:rsidR="001963D7">
        <w:t>.</w:t>
      </w:r>
      <w:r w:rsidR="001963D7">
        <w:rPr>
          <w:rStyle w:val="FootnoteReference"/>
        </w:rPr>
        <w:footnoteReference w:id="30"/>
      </w:r>
      <w:r w:rsidR="001963D7">
        <w:t xml:space="preserve"> A</w:t>
      </w:r>
      <w:r w:rsidR="00B2768E">
        <w:t>gain</w:t>
      </w:r>
      <w:r w:rsidR="001963D7">
        <w:t xml:space="preserve"> </w:t>
      </w:r>
      <w:r w:rsidR="00B2768E">
        <w:t>from</w:t>
      </w:r>
      <w:r w:rsidR="001963D7">
        <w:t xml:space="preserve"> the Anonymous </w:t>
      </w:r>
      <w:r w:rsidR="00A24564">
        <w:rPr>
          <w:i/>
          <w:iCs/>
        </w:rPr>
        <w:t>vita</w:t>
      </w:r>
      <w:r w:rsidR="00B2768E">
        <w:rPr>
          <w:i/>
          <w:iCs/>
        </w:rPr>
        <w:t>,</w:t>
      </w:r>
      <w:r w:rsidR="00A24564">
        <w:t xml:space="preserve"> is the claim she attended a Synod</w:t>
      </w:r>
      <w:r w:rsidR="00AA50C7">
        <w:t>;</w:t>
      </w:r>
      <w:r w:rsidR="00A24564">
        <w:t xml:space="preserve"> chronologically this would have had to be the Synod of Whitby in 664.</w:t>
      </w:r>
      <w:r w:rsidR="00A24564">
        <w:rPr>
          <w:rStyle w:val="FootnoteReference"/>
        </w:rPr>
        <w:footnoteReference w:id="31"/>
      </w:r>
      <w:r w:rsidR="00A24564">
        <w:t xml:space="preserve"> </w:t>
      </w:r>
      <w:r w:rsidR="000F229E">
        <w:t>The claim is u</w:t>
      </w:r>
      <w:r w:rsidR="00A24564">
        <w:t xml:space="preserve">nlikely to be true, </w:t>
      </w:r>
      <w:r w:rsidR="000F229E">
        <w:t xml:space="preserve">and </w:t>
      </w:r>
      <w:r w:rsidR="00A24564">
        <w:t xml:space="preserve">it has been argued that its inclusion was to </w:t>
      </w:r>
      <w:r w:rsidR="000F229E">
        <w:t>depict</w:t>
      </w:r>
      <w:r w:rsidR="00A24564">
        <w:t xml:space="preserve"> Gwenfrewi as an equal with the other</w:t>
      </w:r>
      <w:r w:rsidR="00AA50C7">
        <w:t xml:space="preserve"> notable</w:t>
      </w:r>
      <w:r w:rsidR="00A24564">
        <w:t xml:space="preserve"> saints </w:t>
      </w:r>
      <w:r w:rsidR="000F229E">
        <w:t>at</w:t>
      </w:r>
      <w:r w:rsidR="00A24564">
        <w:t xml:space="preserve"> the Synod.</w:t>
      </w:r>
      <w:r w:rsidR="00A24564">
        <w:rPr>
          <w:rStyle w:val="FootnoteReference"/>
        </w:rPr>
        <w:footnoteReference w:id="32"/>
      </w:r>
      <w:r w:rsidR="00060128">
        <w:t xml:space="preserve"> Regardless however, it shows how in the 12</w:t>
      </w:r>
      <w:r w:rsidR="00060128" w:rsidRPr="00060128">
        <w:rPr>
          <w:vertAlign w:val="superscript"/>
        </w:rPr>
        <w:t>th</w:t>
      </w:r>
      <w:r w:rsidR="00060128">
        <w:t xml:space="preserve"> century, she was seen to be a</w:t>
      </w:r>
      <w:r w:rsidR="00FF5A98">
        <w:t xml:space="preserve"> saint of equal standing</w:t>
      </w:r>
      <w:r w:rsidR="00060128">
        <w:t xml:space="preserve"> among her contemporaries.</w:t>
      </w:r>
      <w:r w:rsidR="00FF5A98">
        <w:t xml:space="preserve"> It is not impossible that her cult originated from stories told on real events; some scholars have argued she may have suffered a partial decollation and </w:t>
      </w:r>
      <w:r w:rsidR="00D02817">
        <w:t>was</w:t>
      </w:r>
      <w:r w:rsidR="00FF5A98">
        <w:t xml:space="preserve"> nursed back to health by Beuno and her mother.</w:t>
      </w:r>
      <w:r w:rsidR="00FF5A98">
        <w:rPr>
          <w:rStyle w:val="FootnoteReference"/>
        </w:rPr>
        <w:footnoteReference w:id="33"/>
      </w:r>
      <w:r w:rsidR="00FF5A98">
        <w:t xml:space="preserve"> Her story also calls back to relevant early medieval themes, her decapitation by Caradog being a horrific violation </w:t>
      </w:r>
      <w:r w:rsidR="00BE43C5">
        <w:t xml:space="preserve">of the hospitality conventions </w:t>
      </w:r>
      <w:r w:rsidR="00D02817">
        <w:t>in</w:t>
      </w:r>
      <w:r w:rsidR="00BE43C5">
        <w:t xml:space="preserve"> 7</w:t>
      </w:r>
      <w:r w:rsidR="00BE43C5" w:rsidRPr="00BE43C5">
        <w:rPr>
          <w:vertAlign w:val="superscript"/>
        </w:rPr>
        <w:t>th</w:t>
      </w:r>
      <w:r w:rsidR="00BE43C5">
        <w:t xml:space="preserve"> century Wales.</w:t>
      </w:r>
      <w:r w:rsidR="0062619D">
        <w:rPr>
          <w:rStyle w:val="FootnoteReference"/>
        </w:rPr>
        <w:footnoteReference w:id="34"/>
      </w:r>
      <w:r w:rsidR="0062619D">
        <w:t xml:space="preserve"> A betrayal of such magnitude, paired with her plausible yet miraculous recovery, could have been an origin to the early cult.</w:t>
      </w:r>
    </w:p>
    <w:p w14:paraId="05E3CEB4" w14:textId="77777777" w:rsidR="00026F88" w:rsidRDefault="00026F88" w:rsidP="009500AD">
      <w:pPr>
        <w:ind w:firstLine="720"/>
      </w:pPr>
    </w:p>
    <w:p w14:paraId="0F7D6FFD" w14:textId="16128B0B" w:rsidR="00A24564" w:rsidRDefault="003A6BF8" w:rsidP="009500AD">
      <w:pPr>
        <w:ind w:firstLine="720"/>
      </w:pPr>
      <w:r>
        <w:t>S</w:t>
      </w:r>
      <w:r w:rsidR="000F229E">
        <w:t>ome have argued the worship associated with the sites and story of Gwenfrewi may have predated the character herself. Nancy</w:t>
      </w:r>
      <w:r w:rsidR="009500AD">
        <w:t xml:space="preserve"> </w:t>
      </w:r>
      <w:r w:rsidR="009500AD">
        <w:t xml:space="preserve">Edwards argues </w:t>
      </w:r>
      <w:r w:rsidR="009500AD">
        <w:t>based on parallels in Ireland, th</w:t>
      </w:r>
      <w:r w:rsidR="00805DC5">
        <w:t>at th</w:t>
      </w:r>
      <w:r w:rsidR="009500AD">
        <w:t>e t</w:t>
      </w:r>
      <w:r w:rsidR="009500AD">
        <w:t xml:space="preserve">he story told in the </w:t>
      </w:r>
      <w:r>
        <w:t>hagiography</w:t>
      </w:r>
      <w:r w:rsidR="009500AD">
        <w:t xml:space="preserve"> of a well forming from the spurting blood of her decapitation</w:t>
      </w:r>
      <w:r>
        <w:t>,</w:t>
      </w:r>
      <w:r w:rsidR="009500AD">
        <w:t xml:space="preserve"> indica</w:t>
      </w:r>
      <w:r w:rsidR="009500AD">
        <w:t xml:space="preserve">tes the </w:t>
      </w:r>
      <w:r>
        <w:t>Christianised memory</w:t>
      </w:r>
      <w:r w:rsidR="009500AD">
        <w:t xml:space="preserve"> of a pre-Christian head cult.</w:t>
      </w:r>
      <w:r w:rsidR="000F229E">
        <w:rPr>
          <w:rStyle w:val="FootnoteReference"/>
        </w:rPr>
        <w:footnoteReference w:id="35"/>
      </w:r>
      <w:r w:rsidR="009500AD">
        <w:t xml:space="preserve"> The claim is certainly one for debate, however the remarkable amount of water that gushes from the spring was likely a focal point for some </w:t>
      </w:r>
      <w:r w:rsidR="00501712">
        <w:t>form</w:t>
      </w:r>
      <w:r w:rsidR="009500AD">
        <w:t xml:space="preserve"> of earlier veneration.</w:t>
      </w:r>
      <w:r w:rsidR="009500AD">
        <w:rPr>
          <w:rStyle w:val="FootnoteReference"/>
        </w:rPr>
        <w:footnoteReference w:id="36"/>
      </w:r>
      <w:r w:rsidR="00501712">
        <w:t xml:space="preserve"> It is also true that the story of Gwenfrewi</w:t>
      </w:r>
      <w:r w:rsidR="009A6A9E">
        <w:t>’</w:t>
      </w:r>
      <w:r w:rsidR="00501712">
        <w:t>s decapitation giving rise to a miraculous spring is no</w:t>
      </w:r>
      <w:r>
        <w:t xml:space="preserve">t an </w:t>
      </w:r>
      <w:r w:rsidR="00501712">
        <w:t>isolated occurrence in Celtic hagiography.</w:t>
      </w:r>
      <w:r w:rsidR="00501712">
        <w:rPr>
          <w:rStyle w:val="FootnoteReference"/>
        </w:rPr>
        <w:footnoteReference w:id="37"/>
      </w:r>
      <w:r w:rsidR="00501712">
        <w:t xml:space="preserve"> </w:t>
      </w:r>
      <w:r>
        <w:t xml:space="preserve">The story is replicated in the </w:t>
      </w:r>
      <w:r w:rsidR="009345B4">
        <w:t xml:space="preserve">tale of St. </w:t>
      </w:r>
      <w:proofErr w:type="spellStart"/>
      <w:r w:rsidR="009345B4">
        <w:t>Jutwara</w:t>
      </w:r>
      <w:proofErr w:type="spellEnd"/>
      <w:r w:rsidR="009345B4">
        <w:t xml:space="preserve">, St. </w:t>
      </w:r>
      <w:proofErr w:type="spellStart"/>
      <w:r w:rsidR="009345B4">
        <w:t>Tegwig</w:t>
      </w:r>
      <w:proofErr w:type="spellEnd"/>
      <w:r w:rsidR="009345B4">
        <w:t>, and St. Novella among others.</w:t>
      </w:r>
      <w:r w:rsidR="009345B4">
        <w:rPr>
          <w:rStyle w:val="FootnoteReference"/>
        </w:rPr>
        <w:footnoteReference w:id="38"/>
      </w:r>
      <w:r w:rsidR="009345B4">
        <w:t xml:space="preserve"> </w:t>
      </w:r>
      <w:r w:rsidR="00501712">
        <w:t>It can</w:t>
      </w:r>
      <w:r w:rsidR="00C745B8">
        <w:t xml:space="preserve"> </w:t>
      </w:r>
      <w:r w:rsidR="00501712">
        <w:t>reasonably be argued that these tales have a common origin, however the lack of direct evidence makes further inferences about pre-Christian roots difficult to make.</w:t>
      </w:r>
    </w:p>
    <w:p w14:paraId="5A3DF0E9" w14:textId="77777777" w:rsidR="003A6BF8" w:rsidRDefault="003A6BF8" w:rsidP="009500AD">
      <w:pPr>
        <w:ind w:firstLine="720"/>
      </w:pPr>
    </w:p>
    <w:p w14:paraId="154FF6BC" w14:textId="08479C23" w:rsidR="003A6BF8" w:rsidRDefault="003A6BF8" w:rsidP="009500AD">
      <w:pPr>
        <w:ind w:firstLine="720"/>
      </w:pPr>
      <w:r>
        <w:t>Evidence is considerable that Welsh saints were worshipped locally long before their hagiographies were written.</w:t>
      </w:r>
      <w:r>
        <w:rPr>
          <w:rStyle w:val="FootnoteReference"/>
        </w:rPr>
        <w:footnoteReference w:id="39"/>
      </w:r>
      <w:r>
        <w:t xml:space="preserve"> Furthermore, it is likely that the recorded lives were probably oral in nature and could well have predated their writing by a significant length of time.</w:t>
      </w:r>
      <w:r>
        <w:rPr>
          <w:rStyle w:val="FootnoteReference"/>
        </w:rPr>
        <w:footnoteReference w:id="40"/>
      </w:r>
      <w:r>
        <w:t xml:space="preserve"> </w:t>
      </w:r>
      <w:r>
        <w:t xml:space="preserve">The first mention of Holywell is </w:t>
      </w:r>
      <w:r w:rsidR="008C1E98">
        <w:t xml:space="preserve">apparently </w:t>
      </w:r>
      <w:r>
        <w:t>in 1093, when it is granted to St. Werbergh</w:t>
      </w:r>
      <w:r w:rsidR="0013074B">
        <w:t>’</w:t>
      </w:r>
      <w:r>
        <w:t>s in Chester</w:t>
      </w:r>
      <w:r>
        <w:rPr>
          <w:rStyle w:val="FootnoteReference"/>
        </w:rPr>
        <w:footnoteReference w:id="41"/>
      </w:r>
      <w:r>
        <w:t xml:space="preserve"> </w:t>
      </w:r>
      <w:r w:rsidR="00097889">
        <w:t xml:space="preserve"> It is important to note </w:t>
      </w:r>
      <w:r w:rsidR="001846A2">
        <w:t xml:space="preserve">here however, </w:t>
      </w:r>
      <w:r w:rsidR="00097889">
        <w:t xml:space="preserve">that this </w:t>
      </w:r>
      <w:r w:rsidR="001846A2">
        <w:t>date</w:t>
      </w:r>
      <w:r w:rsidR="00097889">
        <w:t xml:space="preserve"> has been disputed</w:t>
      </w:r>
      <w:r w:rsidR="00B47B32">
        <w:t>.</w:t>
      </w:r>
      <w:r w:rsidR="00B47B32">
        <w:rPr>
          <w:rStyle w:val="FootnoteReference"/>
        </w:rPr>
        <w:footnoteReference w:id="42"/>
      </w:r>
      <w:r w:rsidR="001846A2">
        <w:t xml:space="preserve"> despite</w:t>
      </w:r>
      <w:r w:rsidR="00F52372">
        <w:t xml:space="preserve"> </w:t>
      </w:r>
      <w:r w:rsidR="00372F57">
        <w:t xml:space="preserve">this however, </w:t>
      </w:r>
      <w:r w:rsidR="00F52372">
        <w:t>we do know that Holywell was known to the Normans by 1119</w:t>
      </w:r>
      <w:r w:rsidR="001846A2">
        <w:t xml:space="preserve"> from Richard Earl of Chester’s confirmation grant</w:t>
      </w:r>
      <w:r w:rsidR="00F52372">
        <w:t>.</w:t>
      </w:r>
      <w:r w:rsidR="001846A2">
        <w:rPr>
          <w:rStyle w:val="FootnoteReference"/>
        </w:rPr>
        <w:footnoteReference w:id="43"/>
      </w:r>
      <w:r w:rsidR="004B24DC">
        <w:t>B</w:t>
      </w:r>
      <w:r w:rsidR="00372F57">
        <w:t xml:space="preserve">y the time of this mention </w:t>
      </w:r>
      <w:r w:rsidR="004B24DC">
        <w:t xml:space="preserve">though, </w:t>
      </w:r>
      <w:r w:rsidR="00372F57">
        <w:t xml:space="preserve">the cult was </w:t>
      </w:r>
      <w:r w:rsidR="00372F57">
        <w:lastRenderedPageBreak/>
        <w:t xml:space="preserve">certainly </w:t>
      </w:r>
      <w:r w:rsidR="00372F57">
        <w:t>already well established in her locality.</w:t>
      </w:r>
      <w:r w:rsidR="004B24DC">
        <w:rPr>
          <w:rStyle w:val="FootnoteReference"/>
        </w:rPr>
        <w:footnoteReference w:id="44"/>
      </w:r>
      <w:r w:rsidR="00372F57">
        <w:t xml:space="preserve"> </w:t>
      </w:r>
      <w:r>
        <w:t>Gwenfrewi</w:t>
      </w:r>
      <w:r w:rsidR="0013074B">
        <w:t>’</w:t>
      </w:r>
      <w:r>
        <w:t>s cult at Gwytherin also appears to have been well established before the arrival of Prior Robert in the 12</w:t>
      </w:r>
      <w:r w:rsidRPr="003A6BF8">
        <w:rPr>
          <w:vertAlign w:val="superscript"/>
        </w:rPr>
        <w:t>th</w:t>
      </w:r>
      <w:r>
        <w:t xml:space="preserve"> century. </w:t>
      </w:r>
      <w:r w:rsidR="00DF008C">
        <w:t>This is evidenced by her Reliquary casket</w:t>
      </w:r>
      <w:r w:rsidR="006261EE">
        <w:t>. T</w:t>
      </w:r>
      <w:r w:rsidR="009345B4">
        <w:t xml:space="preserve">hough now </w:t>
      </w:r>
      <w:r w:rsidR="006B7EED">
        <w:t xml:space="preserve">mostly </w:t>
      </w:r>
      <w:r w:rsidR="009345B4">
        <w:t>lost apart from a small fragment, the decoration shown in late 17</w:t>
      </w:r>
      <w:r w:rsidR="009345B4" w:rsidRPr="009345B4">
        <w:rPr>
          <w:vertAlign w:val="superscript"/>
        </w:rPr>
        <w:t>th</w:t>
      </w:r>
      <w:r w:rsidR="009345B4">
        <w:t xml:space="preserve"> century sketch, shares a stylistic affinity with 8</w:t>
      </w:r>
      <w:r w:rsidR="009345B4" w:rsidRPr="009345B4">
        <w:rPr>
          <w:vertAlign w:val="superscript"/>
        </w:rPr>
        <w:t>th</w:t>
      </w:r>
      <w:r w:rsidR="006261EE">
        <w:t>-</w:t>
      </w:r>
      <w:r w:rsidR="009345B4">
        <w:t>early 9</w:t>
      </w:r>
      <w:r w:rsidR="009345B4" w:rsidRPr="009345B4">
        <w:rPr>
          <w:vertAlign w:val="superscript"/>
        </w:rPr>
        <w:t>th</w:t>
      </w:r>
      <w:r w:rsidR="009345B4">
        <w:t xml:space="preserve"> century Anglo-Saxon metalwork</w:t>
      </w:r>
      <w:r w:rsidR="006E1F47">
        <w:t>.</w:t>
      </w:r>
      <w:r w:rsidR="006E1F47">
        <w:rPr>
          <w:rStyle w:val="FootnoteReference"/>
        </w:rPr>
        <w:footnoteReference w:id="45"/>
      </w:r>
      <w:r w:rsidR="009345B4">
        <w:t xml:space="preserve"> </w:t>
      </w:r>
      <w:r w:rsidR="00FF5A98">
        <w:t>More</w:t>
      </w:r>
      <w:r w:rsidR="006E1F47">
        <w:t xml:space="preserve"> signifier</w:t>
      </w:r>
      <w:r w:rsidR="00FF5A98">
        <w:t>s</w:t>
      </w:r>
      <w:r w:rsidR="006E1F47">
        <w:t xml:space="preserve"> of the early medieval development of her cult </w:t>
      </w:r>
      <w:r w:rsidR="00FF5A98">
        <w:t xml:space="preserve">are to be found at Gwytherin. </w:t>
      </w:r>
      <w:r w:rsidR="0062619D">
        <w:t>Gwenfrewi was originally buried in Gw</w:t>
      </w:r>
      <w:r w:rsidR="001E629C">
        <w:t>y</w:t>
      </w:r>
      <w:r w:rsidR="0062619D">
        <w:t>therin</w:t>
      </w:r>
      <w:r w:rsidR="0013074B">
        <w:t>’</w:t>
      </w:r>
      <w:r w:rsidR="0062619D">
        <w:t xml:space="preserve">s graveyard of the saints; we know from antiquarian sources of a </w:t>
      </w:r>
      <w:proofErr w:type="spellStart"/>
      <w:r w:rsidR="0062619D" w:rsidRPr="0062619D">
        <w:rPr>
          <w:i/>
          <w:iCs/>
        </w:rPr>
        <w:t>capel</w:t>
      </w:r>
      <w:proofErr w:type="spellEnd"/>
      <w:r w:rsidR="0062619D" w:rsidRPr="0062619D">
        <w:rPr>
          <w:i/>
          <w:iCs/>
        </w:rPr>
        <w:t>-y-</w:t>
      </w:r>
      <w:proofErr w:type="spellStart"/>
      <w:r w:rsidR="0062619D" w:rsidRPr="0062619D">
        <w:rPr>
          <w:i/>
          <w:iCs/>
        </w:rPr>
        <w:t>bedd</w:t>
      </w:r>
      <w:proofErr w:type="spellEnd"/>
      <w:r w:rsidR="0062619D">
        <w:t xml:space="preserve"> at the site, likely either over her grave or housing her relics.</w:t>
      </w:r>
      <w:r w:rsidR="0062619D">
        <w:rPr>
          <w:rStyle w:val="FootnoteReference"/>
        </w:rPr>
        <w:footnoteReference w:id="46"/>
      </w:r>
      <w:r w:rsidR="0062619D">
        <w:t xml:space="preserve"> </w:t>
      </w:r>
      <w:r w:rsidR="00845D84">
        <w:t xml:space="preserve">The second portion of the anonymous life is a list of miracles associated with Gwenfrewi’s well at Holywell, the </w:t>
      </w:r>
      <w:r w:rsidR="0020773F">
        <w:t>writer indicates he collected the stories orally from the inhabitants of the town.</w:t>
      </w:r>
      <w:r w:rsidR="0020773F">
        <w:rPr>
          <w:rStyle w:val="FootnoteReference"/>
        </w:rPr>
        <w:footnoteReference w:id="47"/>
      </w:r>
      <w:r w:rsidR="0020773F">
        <w:t xml:space="preserve"> They are divided into different time periods, the first of which being “the time the Danes in </w:t>
      </w:r>
      <w:proofErr w:type="spellStart"/>
      <w:r w:rsidR="0020773F">
        <w:t>Tegeingl</w:t>
      </w:r>
      <w:proofErr w:type="spellEnd"/>
      <w:r w:rsidR="0020773F">
        <w:t xml:space="preserve"> were subject to the Britons.”</w:t>
      </w:r>
      <w:r w:rsidR="0020773F">
        <w:rPr>
          <w:rStyle w:val="FootnoteReference"/>
        </w:rPr>
        <w:footnoteReference w:id="48"/>
      </w:r>
      <w:r w:rsidR="0020773F">
        <w:t xml:space="preserve"> Then the time of the French</w:t>
      </w:r>
      <w:r w:rsidR="00E10757">
        <w:t>,</w:t>
      </w:r>
      <w:r w:rsidR="0020773F">
        <w:t xml:space="preserve"> followed by the period of struggle between the French and the Welsh, the time of the French again, and the finally</w:t>
      </w:r>
      <w:r w:rsidR="00E10757">
        <w:t>,</w:t>
      </w:r>
      <w:r w:rsidR="0020773F">
        <w:t xml:space="preserve"> the time after the French were expelled from </w:t>
      </w:r>
      <w:r w:rsidR="00E10757">
        <w:t>Gwynedd</w:t>
      </w:r>
      <w:r w:rsidR="0020773F">
        <w:t>. These local traditions detail an established history of the well</w:t>
      </w:r>
      <w:r w:rsidR="00F85DE4">
        <w:t xml:space="preserve"> as a source of miracle healing</w:t>
      </w:r>
      <w:r w:rsidR="0020773F">
        <w:t xml:space="preserve">. One notable miracle occurs when the Normans were expelled </w:t>
      </w:r>
      <w:r w:rsidR="00F85DE4">
        <w:t>from Gwynedd, and the spring r</w:t>
      </w:r>
      <w:r w:rsidR="00E10757">
        <w:t>uns</w:t>
      </w:r>
      <w:r w:rsidR="00F85DE4">
        <w:t xml:space="preserve"> with milk.</w:t>
      </w:r>
      <w:r w:rsidR="00F85DE4">
        <w:rPr>
          <w:rStyle w:val="FootnoteReference"/>
        </w:rPr>
        <w:footnoteReference w:id="49"/>
      </w:r>
      <w:r w:rsidR="00F85DE4">
        <w:t xml:space="preserve"> This passage indicates the way Gwenfrewi was viewed by her early cult, as a local saint, and protector of the community. This theme of Gwenfrewi</w:t>
      </w:r>
      <w:r w:rsidR="00C839E0">
        <w:t xml:space="preserve"> as a protecter of her sites and worshippers</w:t>
      </w:r>
      <w:r w:rsidR="00F85DE4">
        <w:t xml:space="preserve"> </w:t>
      </w:r>
      <w:r w:rsidR="00C839E0">
        <w:t>i</w:t>
      </w:r>
      <w:r w:rsidR="00F85DE4">
        <w:t xml:space="preserve">s a common one in the history of her cult. </w:t>
      </w:r>
    </w:p>
    <w:p w14:paraId="37B946D7" w14:textId="77777777" w:rsidR="00F85DE4" w:rsidRDefault="00F85DE4" w:rsidP="009500AD">
      <w:pPr>
        <w:ind w:firstLine="720"/>
      </w:pPr>
    </w:p>
    <w:p w14:paraId="66520900" w14:textId="191B096D" w:rsidR="00F85DE4" w:rsidRDefault="009047BD" w:rsidP="00C353FE">
      <w:pPr>
        <w:ind w:firstLine="720"/>
      </w:pPr>
      <w:r>
        <w:t>Arguably the most import development in the cult of Gwenfrewi was her transition from a local saint to the communities of Holywell and Gw</w:t>
      </w:r>
      <w:r w:rsidR="001E629C">
        <w:t>y</w:t>
      </w:r>
      <w:r>
        <w:t xml:space="preserve">therin, to a cross-border English and Welsh saint. </w:t>
      </w:r>
      <w:r w:rsidR="00522E0B">
        <w:t xml:space="preserve">This transition is brought on by the transition of her relics to Shrewsbury, and </w:t>
      </w:r>
      <w:r w:rsidR="00522E0B">
        <w:t xml:space="preserve">the struggle between </w:t>
      </w:r>
      <w:r w:rsidR="00522E0B">
        <w:t xml:space="preserve">the abbeys at </w:t>
      </w:r>
      <w:r w:rsidR="00522E0B">
        <w:t>Chester and Basingwerk</w:t>
      </w:r>
      <w:r w:rsidR="00522E0B">
        <w:t xml:space="preserve"> for control of Holywell.</w:t>
      </w:r>
      <w:r w:rsidR="00C353FE">
        <w:t xml:space="preserve"> </w:t>
      </w:r>
      <w:r>
        <w:t>As</w:t>
      </w:r>
      <w:r w:rsidR="00522E0B">
        <w:t xml:space="preserve"> previously</w:t>
      </w:r>
      <w:r>
        <w:t xml:space="preserve"> </w:t>
      </w:r>
      <w:r w:rsidR="001846A2">
        <w:t>noted</w:t>
      </w:r>
      <w:r>
        <w:t xml:space="preserve">, </w:t>
      </w:r>
      <w:r w:rsidR="001846A2">
        <w:t xml:space="preserve">Holywell was granted in 1119 to </w:t>
      </w:r>
      <w:r w:rsidR="00522E0B">
        <w:t>Benedictine Abbey of St. Werburgh’s in Chester</w:t>
      </w:r>
      <w:r w:rsidR="001846A2">
        <w:t xml:space="preserve"> by Richard Earl of Chester</w:t>
      </w:r>
      <w:r w:rsidR="00522E0B">
        <w:t>.</w:t>
      </w:r>
      <w:r w:rsidR="00522E0B">
        <w:rPr>
          <w:rStyle w:val="FootnoteReference"/>
        </w:rPr>
        <w:footnoteReference w:id="50"/>
      </w:r>
      <w:r w:rsidR="00522E0B">
        <w:t xml:space="preserve"> </w:t>
      </w:r>
      <w:r w:rsidR="00C353FE">
        <w:t xml:space="preserve">Thus, it was </w:t>
      </w:r>
      <w:r w:rsidR="00522E0B">
        <w:t xml:space="preserve">undoubtedly through Chester that </w:t>
      </w:r>
      <w:r w:rsidR="00267A1E">
        <w:t>Shrewsbury learned</w:t>
      </w:r>
      <w:r w:rsidR="00A82A5A">
        <w:t xml:space="preserve"> of</w:t>
      </w:r>
      <w:r w:rsidR="00267A1E">
        <w:t xml:space="preserve"> Gwenfrewi.</w:t>
      </w:r>
      <w:r w:rsidR="00267A1E">
        <w:rPr>
          <w:rStyle w:val="FootnoteReference"/>
        </w:rPr>
        <w:footnoteReference w:id="51"/>
      </w:r>
      <w:r w:rsidR="00A82A5A">
        <w:t xml:space="preserve"> </w:t>
      </w:r>
      <w:r w:rsidR="00EA7A2D">
        <w:t xml:space="preserve">At some point </w:t>
      </w:r>
      <w:r w:rsidR="00C353FE">
        <w:t>during</w:t>
      </w:r>
      <w:r w:rsidR="00EA7A2D">
        <w:t xml:space="preserve"> the first half of the 12</w:t>
      </w:r>
      <w:r w:rsidR="00EA7A2D" w:rsidRPr="00EA7A2D">
        <w:rPr>
          <w:vertAlign w:val="superscript"/>
        </w:rPr>
        <w:t>th</w:t>
      </w:r>
      <w:r w:rsidR="00EA7A2D">
        <w:t xml:space="preserve"> century, Prior Robert was dispatched by Abbot </w:t>
      </w:r>
      <w:proofErr w:type="spellStart"/>
      <w:r w:rsidR="00EA7A2D">
        <w:t>Heribet</w:t>
      </w:r>
      <w:proofErr w:type="spellEnd"/>
      <w:r w:rsidR="00EA7A2D">
        <w:t xml:space="preserve"> to North Wales to secure the relics of the saint.</w:t>
      </w:r>
      <w:r w:rsidR="00EA7A2D">
        <w:rPr>
          <w:rStyle w:val="FootnoteReference"/>
        </w:rPr>
        <w:footnoteReference w:id="52"/>
      </w:r>
      <w:r w:rsidR="00EA7A2D">
        <w:t xml:space="preserve"> The second part of Robert Pennant</w:t>
      </w:r>
      <w:r w:rsidR="004D1548">
        <w:t>’</w:t>
      </w:r>
      <w:r w:rsidR="00EA7A2D">
        <w:t xml:space="preserve">s </w:t>
      </w:r>
      <w:r w:rsidR="00EA7A2D">
        <w:rPr>
          <w:i/>
          <w:iCs/>
        </w:rPr>
        <w:t xml:space="preserve">vita </w:t>
      </w:r>
      <w:r w:rsidR="00EA7A2D">
        <w:t xml:space="preserve">is dedicated to the translation of Gwenfrewi’s relics, and provides a detailed account. </w:t>
      </w:r>
      <w:r w:rsidR="00352FDD">
        <w:t>In Robert</w:t>
      </w:r>
      <w:r w:rsidR="004D1548">
        <w:t>’</w:t>
      </w:r>
      <w:r w:rsidR="00352FDD">
        <w:t>s story, he recalls how the brothers of Shrewsbury often complained to each other over the monasteries lack of relics, and how they were aware of the great many saints buried in Wales.</w:t>
      </w:r>
      <w:r w:rsidR="00352FDD">
        <w:rPr>
          <w:rStyle w:val="FootnoteReference"/>
        </w:rPr>
        <w:footnoteReference w:id="53"/>
      </w:r>
      <w:r w:rsidR="00352FDD">
        <w:t xml:space="preserve"> Knowing that they would be protected more by God through the patronage of a saint, they tried diligently to obtain one. Robert tells us how one of the monks t</w:t>
      </w:r>
      <w:r w:rsidR="00857573">
        <w:t>ook</w:t>
      </w:r>
      <w:r w:rsidR="00352FDD">
        <w:t xml:space="preserve"> ill </w:t>
      </w:r>
      <w:r w:rsidR="00E36F28">
        <w:t xml:space="preserve">with a serious sickness </w:t>
      </w:r>
      <w:r w:rsidR="00857573">
        <w:t>bringing</w:t>
      </w:r>
      <w:r w:rsidR="00E36F28">
        <w:t xml:space="preserve"> great grief to the other monks</w:t>
      </w:r>
      <w:r w:rsidR="00857573">
        <w:t>. N</w:t>
      </w:r>
      <w:r w:rsidR="00E36F28">
        <w:t>ews of his affliction spread to Chester w</w:t>
      </w:r>
      <w:r w:rsidR="00857573">
        <w:t>here the monks</w:t>
      </w:r>
      <w:r w:rsidR="00E36F28">
        <w:t xml:space="preserve"> prayed for him. It was while praying for this monk that the sub-prior, </w:t>
      </w:r>
      <w:proofErr w:type="spellStart"/>
      <w:r w:rsidR="00E36F28">
        <w:t>Radulph</w:t>
      </w:r>
      <w:proofErr w:type="spellEnd"/>
      <w:r w:rsidR="00E36F28">
        <w:t xml:space="preserve"> fell asleep and had a vision of </w:t>
      </w:r>
      <w:r w:rsidR="00622F4F">
        <w:t>Saint Gwenfrewi telling</w:t>
      </w:r>
      <w:r w:rsidR="00E36F28">
        <w:t xml:space="preserve"> him that the monk would be released if they </w:t>
      </w:r>
      <w:r w:rsidR="00E36F28">
        <w:lastRenderedPageBreak/>
        <w:t>celebrated mass at her church in Holywell. After th</w:t>
      </w:r>
      <w:r w:rsidR="00622F4F">
        <w:t>e brothers carried out this request</w:t>
      </w:r>
      <w:r w:rsidR="00E36F28">
        <w:t>, the monk miraculously survived.</w:t>
      </w:r>
      <w:r w:rsidR="00E36F28">
        <w:rPr>
          <w:rStyle w:val="FootnoteReference"/>
        </w:rPr>
        <w:footnoteReference w:id="54"/>
      </w:r>
      <w:r w:rsidR="00A90BF7">
        <w:t xml:space="preserve"> F</w:t>
      </w:r>
      <w:r w:rsidR="00C87EEB">
        <w:t xml:space="preserve">rom this moment </w:t>
      </w:r>
      <w:r w:rsidR="00DF5858">
        <w:t>forward,</w:t>
      </w:r>
      <w:r w:rsidR="00C87EEB">
        <w:t xml:space="preserve"> the monks of Shrewsbury became set upon obtaining </w:t>
      </w:r>
      <w:r w:rsidR="00DF5858">
        <w:t xml:space="preserve">even </w:t>
      </w:r>
      <w:r w:rsidR="00C87EEB">
        <w:t xml:space="preserve">a </w:t>
      </w:r>
      <w:r w:rsidR="00DF5858">
        <w:t xml:space="preserve">small </w:t>
      </w:r>
      <w:r w:rsidR="00C87EEB">
        <w:t>portion of her relics. The group sent out to undertake this task was led by Robert Pennant. William Caxton</w:t>
      </w:r>
      <w:r w:rsidR="0013074B">
        <w:t>’</w:t>
      </w:r>
      <w:r w:rsidR="00C87EEB">
        <w:t xml:space="preserve">s 1484 English translation of the </w:t>
      </w:r>
      <w:r w:rsidR="00C87EEB">
        <w:rPr>
          <w:i/>
          <w:iCs/>
        </w:rPr>
        <w:t>vita</w:t>
      </w:r>
      <w:r w:rsidR="00C87EEB">
        <w:t xml:space="preserve"> adds more names to the exhumation party, including the Welsh speaking priest Richard, </w:t>
      </w:r>
      <w:proofErr w:type="spellStart"/>
      <w:r w:rsidR="00C87EEB">
        <w:t>Wilmere</w:t>
      </w:r>
      <w:proofErr w:type="spellEnd"/>
      <w:r w:rsidR="00C87EEB">
        <w:t xml:space="preserve">, and </w:t>
      </w:r>
      <w:proofErr w:type="spellStart"/>
      <w:r w:rsidR="00C87EEB">
        <w:t>Iddon</w:t>
      </w:r>
      <w:proofErr w:type="spellEnd"/>
      <w:r w:rsidR="00C87EEB">
        <w:t>.</w:t>
      </w:r>
      <w:r w:rsidR="00C87EEB">
        <w:rPr>
          <w:rStyle w:val="FootnoteReference"/>
        </w:rPr>
        <w:footnoteReference w:id="55"/>
      </w:r>
      <w:r w:rsidR="00C87EEB">
        <w:t xml:space="preserve"> According to Robert</w:t>
      </w:r>
      <w:r w:rsidR="00DF5858">
        <w:t>’</w:t>
      </w:r>
      <w:r w:rsidR="00C87EEB">
        <w:t xml:space="preserve">s account, the monks obtained the permission of </w:t>
      </w:r>
      <w:r w:rsidR="00DF5858">
        <w:t xml:space="preserve">the </w:t>
      </w:r>
      <w:r w:rsidR="00C87EEB">
        <w:t xml:space="preserve">Bishop of Bangor and King Owain ap </w:t>
      </w:r>
      <w:proofErr w:type="spellStart"/>
      <w:r w:rsidR="00C87EEB">
        <w:t>Gruffydd</w:t>
      </w:r>
      <w:proofErr w:type="spellEnd"/>
      <w:r w:rsidR="00C87EEB">
        <w:t xml:space="preserve"> with little difficulty, </w:t>
      </w:r>
      <w:r w:rsidR="00D4793E">
        <w:t>but</w:t>
      </w:r>
      <w:r w:rsidR="00C87EEB">
        <w:t xml:space="preserve"> they initially found the people of Gwytherin less easy to convince</w:t>
      </w:r>
      <w:r w:rsidR="00A90BF7">
        <w:t xml:space="preserve">. </w:t>
      </w:r>
      <w:r w:rsidR="00D4793E">
        <w:t>However, when</w:t>
      </w:r>
      <w:r w:rsidR="00A90BF7">
        <w:t xml:space="preserve"> prior Robert received a vision of the </w:t>
      </w:r>
      <w:r w:rsidR="00D4793E">
        <w:t>s</w:t>
      </w:r>
      <w:r w:rsidR="00A90BF7">
        <w:t xml:space="preserve">aint in which she requested to be moved, most of the locals </w:t>
      </w:r>
      <w:r w:rsidR="00D4793E">
        <w:t xml:space="preserve">apparently </w:t>
      </w:r>
      <w:r w:rsidR="00A90BF7">
        <w:t>relented, and the rest were persuaded with coin.</w:t>
      </w:r>
      <w:r w:rsidR="00C87EEB">
        <w:rPr>
          <w:rStyle w:val="FootnoteReference"/>
        </w:rPr>
        <w:footnoteReference w:id="56"/>
      </w:r>
      <w:r w:rsidR="00A90BF7">
        <w:t xml:space="preserve"> The translation of a </w:t>
      </w:r>
      <w:proofErr w:type="gramStart"/>
      <w:r w:rsidR="00A90BF7">
        <w:t>saints</w:t>
      </w:r>
      <w:proofErr w:type="gramEnd"/>
      <w:r w:rsidR="00A90BF7">
        <w:t xml:space="preserve"> relics from their burial to a more ‘fitting’ location, was not an uncommon practice in the period</w:t>
      </w:r>
      <w:r w:rsidR="00F65701">
        <w:t>.</w:t>
      </w:r>
      <w:r w:rsidR="00A90BF7">
        <w:t xml:space="preserve"> </w:t>
      </w:r>
      <w:r w:rsidR="00F65701">
        <w:t>T</w:t>
      </w:r>
      <w:r w:rsidR="00A90BF7">
        <w:t xml:space="preserve">he relics of St. </w:t>
      </w:r>
      <w:proofErr w:type="spellStart"/>
      <w:r w:rsidR="00A90BF7">
        <w:t>Brioc</w:t>
      </w:r>
      <w:proofErr w:type="spellEnd"/>
      <w:r w:rsidR="00A90BF7">
        <w:t xml:space="preserve">, Welsh abbot of St. </w:t>
      </w:r>
      <w:proofErr w:type="spellStart"/>
      <w:r w:rsidR="00A90BF7">
        <w:t>Brieuc</w:t>
      </w:r>
      <w:proofErr w:type="spellEnd"/>
      <w:r w:rsidR="00A90BF7">
        <w:t>-des-Vaux in Brittany</w:t>
      </w:r>
      <w:r w:rsidR="00F65701">
        <w:t>,</w:t>
      </w:r>
      <w:r w:rsidR="00A90BF7">
        <w:t xml:space="preserve"> were translated to Angers in 1210</w:t>
      </w:r>
      <w:r w:rsidR="00F57CE8">
        <w:t>.</w:t>
      </w:r>
      <w:r w:rsidR="00F57CE8">
        <w:rPr>
          <w:rStyle w:val="FootnoteReference"/>
        </w:rPr>
        <w:footnoteReference w:id="57"/>
      </w:r>
      <w:r w:rsidR="00A90BF7">
        <w:t xml:space="preserve"> </w:t>
      </w:r>
      <w:r w:rsidR="00F57CE8">
        <w:t>L</w:t>
      </w:r>
      <w:r w:rsidR="00A90BF7">
        <w:t>ikewise</w:t>
      </w:r>
      <w:r w:rsidR="00F57CE8">
        <w:t>,</w:t>
      </w:r>
      <w:r w:rsidR="00A90BF7">
        <w:t xml:space="preserve"> the relics of St. </w:t>
      </w:r>
      <w:proofErr w:type="spellStart"/>
      <w:r w:rsidR="00A90BF7">
        <w:t>Materiana</w:t>
      </w:r>
      <w:proofErr w:type="spellEnd"/>
      <w:r w:rsidR="00A90BF7">
        <w:t xml:space="preserve"> were removed from Tintagel</w:t>
      </w:r>
      <w:r w:rsidR="00F57CE8">
        <w:t xml:space="preserve"> by the monks of </w:t>
      </w:r>
      <w:proofErr w:type="spellStart"/>
      <w:r w:rsidR="00F57CE8">
        <w:t>Fontrevaud</w:t>
      </w:r>
      <w:proofErr w:type="spellEnd"/>
      <w:r w:rsidR="00F57CE8">
        <w:t xml:space="preserve"> to Minster abbey where she performed subsequent miracles.</w:t>
      </w:r>
      <w:r w:rsidR="00F57CE8">
        <w:rPr>
          <w:rStyle w:val="FootnoteReference"/>
        </w:rPr>
        <w:footnoteReference w:id="58"/>
      </w:r>
      <w:r w:rsidR="00F57CE8">
        <w:t xml:space="preserve"> On the journey from Gwytherin back to Shrewsbury , the monks paused for a night at Woolston, where they washed her bones </w:t>
      </w:r>
      <w:r w:rsidR="000161C1">
        <w:t>in</w:t>
      </w:r>
      <w:r w:rsidR="00F57CE8">
        <w:t xml:space="preserve"> a well</w:t>
      </w:r>
      <w:r w:rsidR="00A928FD">
        <w:t xml:space="preserve">; a copy of the life in the Bodleian Library records how the water was </w:t>
      </w:r>
      <w:r w:rsidR="005A2516">
        <w:t xml:space="preserve">later </w:t>
      </w:r>
      <w:r w:rsidR="00A928FD">
        <w:t xml:space="preserve">stored in Shrewsbury </w:t>
      </w:r>
      <w:r w:rsidR="005A2516">
        <w:t>for</w:t>
      </w:r>
      <w:r w:rsidR="00A928FD">
        <w:t xml:space="preserve"> miracle healing</w:t>
      </w:r>
      <w:r w:rsidR="00F57CE8">
        <w:t>.</w:t>
      </w:r>
      <w:r w:rsidR="00A928FD">
        <w:rPr>
          <w:rStyle w:val="FootnoteReference"/>
        </w:rPr>
        <w:footnoteReference w:id="59"/>
      </w:r>
      <w:r w:rsidR="00A928FD">
        <w:t xml:space="preserve"> The relics were brought successfully to St. Giles’s church, from where the monks processed them with crosses and candles to the Abbey.</w:t>
      </w:r>
      <w:r w:rsidR="00A928FD">
        <w:rPr>
          <w:rStyle w:val="FootnoteReference"/>
        </w:rPr>
        <w:footnoteReference w:id="60"/>
      </w:r>
      <w:r w:rsidR="00A928FD">
        <w:t xml:space="preserve"> Although Robert frustratingly omits this date, later evidence suggests this occurred on the 19</w:t>
      </w:r>
      <w:r w:rsidR="00A928FD" w:rsidRPr="00A928FD">
        <w:rPr>
          <w:vertAlign w:val="superscript"/>
        </w:rPr>
        <w:t>th</w:t>
      </w:r>
      <w:r w:rsidR="00A928FD">
        <w:t xml:space="preserve"> September 1138.</w:t>
      </w:r>
      <w:r w:rsidR="00A928FD">
        <w:rPr>
          <w:rStyle w:val="FootnoteReference"/>
        </w:rPr>
        <w:footnoteReference w:id="61"/>
      </w:r>
      <w:r w:rsidR="00A928FD">
        <w:t xml:space="preserve"> </w:t>
      </w:r>
      <w:r w:rsidR="009D0398">
        <w:t>It is from this point that Gwenfrewi’s cult achieves a firm foothold in Engl</w:t>
      </w:r>
      <w:r w:rsidR="001846A2">
        <w:t xml:space="preserve">and. </w:t>
      </w:r>
      <w:r w:rsidR="00591344">
        <w:t>An</w:t>
      </w:r>
      <w:r w:rsidR="001846A2">
        <w:t>other defining feature of the 12</w:t>
      </w:r>
      <w:r w:rsidR="001846A2" w:rsidRPr="001846A2">
        <w:rPr>
          <w:vertAlign w:val="superscript"/>
        </w:rPr>
        <w:t>th</w:t>
      </w:r>
      <w:r w:rsidR="001846A2">
        <w:t xml:space="preserve"> century regarding Gwenfrewi is the often-noted rivalry between the two abbeys of St. Werburgh’s and Basingwerk. </w:t>
      </w:r>
      <w:r w:rsidR="00455D94">
        <w:t>Founded</w:t>
      </w:r>
      <w:r w:rsidR="001846A2">
        <w:t xml:space="preserve"> in 1131, and incorporated in to the Cistercian order in 1147-1148,</w:t>
      </w:r>
      <w:r w:rsidR="00A76694">
        <w:t xml:space="preserve"> </w:t>
      </w:r>
      <w:r w:rsidR="00455D94">
        <w:t xml:space="preserve">Basingwerk obtained </w:t>
      </w:r>
      <w:r w:rsidR="00A76694">
        <w:t>the church and estate of Holywell w</w:t>
      </w:r>
      <w:r w:rsidR="00455D94">
        <w:t>hen they were</w:t>
      </w:r>
      <w:r w:rsidR="00A76694">
        <w:t xml:space="preserve"> bestowed upon the abbey by Robert de Pierrepont, an endowment confirmed by Henry II in 1157.</w:t>
      </w:r>
      <w:r w:rsidR="00A76694">
        <w:rPr>
          <w:rStyle w:val="FootnoteReference"/>
        </w:rPr>
        <w:footnoteReference w:id="62"/>
      </w:r>
      <w:r w:rsidR="00A76694">
        <w:t xml:space="preserve"> </w:t>
      </w:r>
      <w:r w:rsidR="002F76B0">
        <w:t xml:space="preserve">In the same year, </w:t>
      </w:r>
      <w:r w:rsidR="00A85386">
        <w:t xml:space="preserve">demonstrating the popularity of the pilgrimage, </w:t>
      </w:r>
      <w:r w:rsidR="002F76B0">
        <w:t xml:space="preserve">Henry </w:t>
      </w:r>
      <w:r w:rsidR="00A85386">
        <w:t xml:space="preserve">II </w:t>
      </w:r>
      <w:r w:rsidR="002F76B0">
        <w:t>also buil</w:t>
      </w:r>
      <w:r w:rsidR="00A85386">
        <w:t>t</w:t>
      </w:r>
      <w:r w:rsidR="002F76B0">
        <w:t xml:space="preserve"> a castle at Basin</w:t>
      </w:r>
      <w:r w:rsidR="0034637E">
        <w:t>gwerk</w:t>
      </w:r>
      <w:r w:rsidR="00A85386">
        <w:t xml:space="preserve"> and established </w:t>
      </w:r>
      <w:r w:rsidR="0034637E">
        <w:t>a house of Templars there to protect pilgrims to the well</w:t>
      </w:r>
      <w:r w:rsidR="00003D9B">
        <w:t>.</w:t>
      </w:r>
      <w:r w:rsidR="00B41832">
        <w:rPr>
          <w:rStyle w:val="FootnoteReference"/>
        </w:rPr>
        <w:footnoteReference w:id="63"/>
      </w:r>
      <w:r w:rsidR="0034637E">
        <w:t xml:space="preserve"> </w:t>
      </w:r>
      <w:r w:rsidR="00AB2DAC">
        <w:t xml:space="preserve">Holywell appears to </w:t>
      </w:r>
      <w:r w:rsidR="00EC6050">
        <w:t xml:space="preserve">flip between the two abbeys of St. Werburgh’s and Basingwerk </w:t>
      </w:r>
      <w:r w:rsidR="00E10329">
        <w:t xml:space="preserve">depending </w:t>
      </w:r>
      <w:r w:rsidR="00D66FA7">
        <w:t>on who</w:t>
      </w:r>
      <w:r w:rsidR="00D53699">
        <w:t xml:space="preserve"> had the upper hand in the long running struggle between England and Wales</w:t>
      </w:r>
      <w:r w:rsidR="009062EF">
        <w:t xml:space="preserve">. </w:t>
      </w:r>
      <w:r w:rsidR="00A91B12">
        <w:t>Th</w:t>
      </w:r>
      <w:r w:rsidR="00E21805">
        <w:t xml:space="preserve">e conflict between </w:t>
      </w:r>
      <w:r w:rsidR="0086591F">
        <w:t>W</w:t>
      </w:r>
      <w:r w:rsidR="00E21805">
        <w:t>elsh and English added to the already treacherous route for pilgrims</w:t>
      </w:r>
      <w:r w:rsidR="0086591F">
        <w:t>, the castle Henry founded to protect pilgrims was destroyed 8 years later by the Welsh.</w:t>
      </w:r>
      <w:r w:rsidR="0086591F">
        <w:rPr>
          <w:rStyle w:val="FootnoteReference"/>
        </w:rPr>
        <w:footnoteReference w:id="64"/>
      </w:r>
      <w:r w:rsidR="0086591F">
        <w:t xml:space="preserve"> Unde</w:t>
      </w:r>
      <w:r w:rsidR="00DA3C2E">
        <w:t>rtaking the pilgrimage under these conditions required a resolute heart and a devoted will</w:t>
      </w:r>
      <w:r w:rsidR="00D66FA7">
        <w:t>;</w:t>
      </w:r>
      <w:r w:rsidR="00DA3C2E">
        <w:t xml:space="preserve"> nevertheless</w:t>
      </w:r>
      <w:r w:rsidR="00D66FA7">
        <w:t>,</w:t>
      </w:r>
      <w:r w:rsidR="00DA3C2E">
        <w:t xml:space="preserve"> </w:t>
      </w:r>
      <w:r w:rsidR="009930F3">
        <w:t>evidence abounds of the fervour which brought English pilgrims t</w:t>
      </w:r>
      <w:r w:rsidR="00493AAD">
        <w:t>o Holywell.</w:t>
      </w:r>
      <w:r w:rsidR="00493AAD">
        <w:rPr>
          <w:rStyle w:val="FootnoteReference"/>
        </w:rPr>
        <w:footnoteReference w:id="65"/>
      </w:r>
      <w:r w:rsidR="009930F3">
        <w:t xml:space="preserve"> </w:t>
      </w:r>
      <w:r w:rsidR="000E783B">
        <w:t xml:space="preserve">In </w:t>
      </w:r>
      <w:r w:rsidR="00CF5ECD">
        <w:t xml:space="preserve">1240, Dafydd ap Llewelyn confirmed </w:t>
      </w:r>
      <w:r w:rsidR="002A3030">
        <w:t xml:space="preserve">Holywell as belonging to Basingwerk, </w:t>
      </w:r>
      <w:r w:rsidR="002A3030">
        <w:lastRenderedPageBreak/>
        <w:t>and the ties between the two would last until the reformation.</w:t>
      </w:r>
      <w:r w:rsidR="002A3030">
        <w:rPr>
          <w:rStyle w:val="FootnoteReference"/>
        </w:rPr>
        <w:footnoteReference w:id="66"/>
      </w:r>
      <w:r w:rsidR="00672BC1">
        <w:t xml:space="preserve"> It is </w:t>
      </w:r>
      <w:r w:rsidR="00DA3C47">
        <w:t xml:space="preserve">also </w:t>
      </w:r>
      <w:r w:rsidR="00CF30BB">
        <w:t xml:space="preserve">against the backdrop of rivalry  between the two </w:t>
      </w:r>
      <w:r w:rsidR="004D70CD">
        <w:t>abbeys that it can be argued the anonymous life was writte</w:t>
      </w:r>
      <w:r w:rsidR="00E7729C">
        <w:t>n.</w:t>
      </w:r>
      <w:r w:rsidR="000C1A03">
        <w:t xml:space="preserve"> The two parts of the life are quite stylistically different, suggesting one may have been added to the other</w:t>
      </w:r>
      <w:r w:rsidR="00B82E27">
        <w:t>.</w:t>
      </w:r>
      <w:r w:rsidR="00B82E27">
        <w:rPr>
          <w:rStyle w:val="FootnoteReference"/>
        </w:rPr>
        <w:footnoteReference w:id="67"/>
      </w:r>
      <w:r w:rsidR="00B82E27">
        <w:t xml:space="preserve"> Neither part</w:t>
      </w:r>
      <w:r w:rsidR="00E7729C">
        <w:t xml:space="preserve"> </w:t>
      </w:r>
      <w:r w:rsidR="00B82E27">
        <w:t xml:space="preserve">though </w:t>
      </w:r>
      <w:r w:rsidR="00E7729C">
        <w:t xml:space="preserve">makes </w:t>
      </w:r>
      <w:r w:rsidR="00B82E27">
        <w:t>reference</w:t>
      </w:r>
      <w:r w:rsidR="00E7729C">
        <w:t xml:space="preserve"> </w:t>
      </w:r>
      <w:r w:rsidR="00B82E27">
        <w:t>to</w:t>
      </w:r>
      <w:r w:rsidR="00E7729C">
        <w:t xml:space="preserve"> the translation of the relics, this led </w:t>
      </w:r>
      <w:r w:rsidR="00027548">
        <w:t>the Bollandists</w:t>
      </w:r>
      <w:r w:rsidR="00E7729C">
        <w:t xml:space="preserve"> to assume it is the earlier </w:t>
      </w:r>
      <w:r w:rsidR="00EB3531">
        <w:t>life, or ‘</w:t>
      </w:r>
      <w:r w:rsidR="00EB3531">
        <w:rPr>
          <w:i/>
          <w:iCs/>
        </w:rPr>
        <w:t>vita prima</w:t>
      </w:r>
      <w:r w:rsidR="007C06DD">
        <w:rPr>
          <w:i/>
          <w:iCs/>
        </w:rPr>
        <w:t>’</w:t>
      </w:r>
      <w:r w:rsidR="00A81C33">
        <w:rPr>
          <w:i/>
          <w:iCs/>
        </w:rPr>
        <w:t>.</w:t>
      </w:r>
      <w:r w:rsidR="007C06DD">
        <w:t xml:space="preserve"> </w:t>
      </w:r>
      <w:r w:rsidR="00A81C33">
        <w:t>H</w:t>
      </w:r>
      <w:r w:rsidR="007C06DD">
        <w:t>owever, it is also possible</w:t>
      </w:r>
      <w:r w:rsidR="00A81C33">
        <w:t xml:space="preserve"> that the detail was </w:t>
      </w:r>
      <w:r w:rsidR="00D66E08">
        <w:t xml:space="preserve">deliberately </w:t>
      </w:r>
      <w:r w:rsidR="00A81C33">
        <w:t>omitted</w:t>
      </w:r>
      <w:r w:rsidR="00575C1A">
        <w:t>.</w:t>
      </w:r>
      <w:r w:rsidR="00575C1A">
        <w:rPr>
          <w:rStyle w:val="FootnoteReference"/>
        </w:rPr>
        <w:footnoteReference w:id="68"/>
      </w:r>
      <w:r w:rsidR="00027548">
        <w:t xml:space="preserve"> </w:t>
      </w:r>
      <w:r w:rsidR="00ED0AED">
        <w:t xml:space="preserve">The author </w:t>
      </w:r>
      <w:r w:rsidR="00D35875">
        <w:t xml:space="preserve">exclusively </w:t>
      </w:r>
      <w:r w:rsidR="00C24FB7">
        <w:t>prioritise</w:t>
      </w:r>
      <w:r w:rsidR="003C0AA4">
        <w:t>s</w:t>
      </w:r>
      <w:r w:rsidR="00C24FB7">
        <w:t xml:space="preserve"> the site of Holywell</w:t>
      </w:r>
      <w:r w:rsidR="003C0AA4">
        <w:t xml:space="preserve">, and the miracles contain </w:t>
      </w:r>
      <w:r w:rsidR="003D7E28">
        <w:t>some</w:t>
      </w:r>
      <w:r w:rsidR="00FE489F">
        <w:t xml:space="preserve"> anti-French material</w:t>
      </w:r>
      <w:r w:rsidR="00DA3C47">
        <w:t xml:space="preserve">. </w:t>
      </w:r>
      <w:r w:rsidR="00C24FB7">
        <w:t xml:space="preserve">It </w:t>
      </w:r>
      <w:r w:rsidR="00B95E6A">
        <w:t xml:space="preserve">has been suggested that both </w:t>
      </w:r>
      <w:r w:rsidR="009B33F2">
        <w:t xml:space="preserve">parts of the </w:t>
      </w:r>
      <w:r w:rsidR="009B33F2">
        <w:rPr>
          <w:i/>
          <w:iCs/>
        </w:rPr>
        <w:t>vita</w:t>
      </w:r>
      <w:r w:rsidR="009B33F2">
        <w:t xml:space="preserve"> were written at Basingwerk while it was under the patronage of </w:t>
      </w:r>
      <w:r w:rsidR="00793612">
        <w:t>the Welsh princes toward the end of the 12</w:t>
      </w:r>
      <w:r w:rsidR="00793612" w:rsidRPr="00793612">
        <w:rPr>
          <w:vertAlign w:val="superscript"/>
        </w:rPr>
        <w:t>th</w:t>
      </w:r>
      <w:r w:rsidR="00793612">
        <w:t xml:space="preserve"> century</w:t>
      </w:r>
      <w:r w:rsidR="00B00A0E">
        <w:t>.</w:t>
      </w:r>
      <w:r w:rsidR="00BB50C0">
        <w:rPr>
          <w:rStyle w:val="FootnoteReference"/>
        </w:rPr>
        <w:footnoteReference w:id="69"/>
      </w:r>
      <w:r w:rsidR="00317F8C">
        <w:t xml:space="preserve"> </w:t>
      </w:r>
      <w:r w:rsidR="008E0EF8">
        <w:t>Throughout the 12</w:t>
      </w:r>
      <w:r w:rsidR="008E0EF8" w:rsidRPr="008E0EF8">
        <w:rPr>
          <w:vertAlign w:val="superscript"/>
        </w:rPr>
        <w:t>th</w:t>
      </w:r>
      <w:r w:rsidR="008E0EF8">
        <w:t xml:space="preserve"> and 13</w:t>
      </w:r>
      <w:r w:rsidR="008E0EF8" w:rsidRPr="008E0EF8">
        <w:rPr>
          <w:vertAlign w:val="superscript"/>
        </w:rPr>
        <w:t>th</w:t>
      </w:r>
      <w:r w:rsidR="008E0EF8">
        <w:t xml:space="preserve"> century miracles continued to occur </w:t>
      </w:r>
      <w:r w:rsidR="00475BF9">
        <w:t>across the sites of Shrewsbury and Holywell, Gw</w:t>
      </w:r>
      <w:r w:rsidR="001E629C">
        <w:t>y</w:t>
      </w:r>
      <w:r w:rsidR="00475BF9">
        <w:t xml:space="preserve">therin </w:t>
      </w:r>
      <w:r w:rsidR="001E629C">
        <w:t>was also rebuilt in stone in 1254, possibly indicating a rise in pilgrimage t</w:t>
      </w:r>
      <w:r w:rsidR="008F3483">
        <w:t>here too</w:t>
      </w:r>
      <w:r w:rsidR="00DA3072">
        <w:t>.</w:t>
      </w:r>
      <w:r w:rsidR="00DA3072">
        <w:rPr>
          <w:rStyle w:val="FootnoteReference"/>
        </w:rPr>
        <w:footnoteReference w:id="70"/>
      </w:r>
    </w:p>
    <w:p w14:paraId="24D597CC" w14:textId="77777777" w:rsidR="003E49B2" w:rsidRDefault="003E49B2" w:rsidP="00E36F28">
      <w:pPr>
        <w:ind w:firstLine="720"/>
      </w:pPr>
    </w:p>
    <w:p w14:paraId="6891AA26" w14:textId="7B6F8F96" w:rsidR="00463054" w:rsidRDefault="005A3106" w:rsidP="006F5947">
      <w:pPr>
        <w:ind w:firstLine="720"/>
      </w:pPr>
      <w:r>
        <w:t xml:space="preserve">By </w:t>
      </w:r>
      <w:r w:rsidR="00D67EB9">
        <w:t>t</w:t>
      </w:r>
      <w:r>
        <w:t>he turn of the 14</w:t>
      </w:r>
      <w:r w:rsidRPr="005A3106">
        <w:rPr>
          <w:vertAlign w:val="superscript"/>
        </w:rPr>
        <w:t>th</w:t>
      </w:r>
      <w:r>
        <w:t xml:space="preserve"> centur</w:t>
      </w:r>
      <w:r w:rsidR="00121450">
        <w:t>y</w:t>
      </w:r>
      <w:r w:rsidR="009A3006">
        <w:t>,</w:t>
      </w:r>
      <w:r w:rsidR="00D21F03">
        <w:t xml:space="preserve"> </w:t>
      </w:r>
      <w:r w:rsidR="00F12D7C">
        <w:t xml:space="preserve">the cult of </w:t>
      </w:r>
      <w:r w:rsidR="00D21F03">
        <w:t>Gwenfrewi had a stro</w:t>
      </w:r>
      <w:r w:rsidR="00F12D7C">
        <w:t>ng foun</w:t>
      </w:r>
      <w:r w:rsidR="008474A4">
        <w:t>dation across Wales and was rapidly stretching</w:t>
      </w:r>
      <w:r w:rsidR="005F5F59">
        <w:t xml:space="preserve"> out</w:t>
      </w:r>
      <w:r w:rsidR="008474A4">
        <w:t xml:space="preserve"> into England. </w:t>
      </w:r>
      <w:r w:rsidR="00947475">
        <w:t xml:space="preserve">In Wales, the cults of </w:t>
      </w:r>
      <w:r w:rsidR="00D67EB9">
        <w:t xml:space="preserve">internationally popular saints </w:t>
      </w:r>
      <w:r w:rsidR="00947475">
        <w:t>like the</w:t>
      </w:r>
      <w:r w:rsidR="00D67EB9">
        <w:t xml:space="preserve"> </w:t>
      </w:r>
      <w:r w:rsidR="00121450">
        <w:t>V</w:t>
      </w:r>
      <w:r w:rsidR="00D67EB9">
        <w:t>irgin Mary, Mary Mag</w:t>
      </w:r>
      <w:r w:rsidR="009A3006">
        <w:t>dalene</w:t>
      </w:r>
      <w:r w:rsidR="00121450">
        <w:t>,</w:t>
      </w:r>
      <w:r w:rsidR="009A3006">
        <w:t xml:space="preserve"> and Katherine of Alexandria had </w:t>
      </w:r>
      <w:r w:rsidR="00867E4A">
        <w:t>grown in popularity to match the rest of Europe</w:t>
      </w:r>
      <w:r w:rsidR="00121450">
        <w:t>;</w:t>
      </w:r>
      <w:r w:rsidR="00B92298">
        <w:t xml:space="preserve"> </w:t>
      </w:r>
      <w:r w:rsidR="00063AF5">
        <w:t>nevertheless,</w:t>
      </w:r>
      <w:r w:rsidR="00B92298">
        <w:t xml:space="preserve"> </w:t>
      </w:r>
      <w:r w:rsidR="00C86FE1">
        <w:t>the cults of native saints</w:t>
      </w:r>
      <w:r w:rsidR="005E44CD">
        <w:t xml:space="preserve"> </w:t>
      </w:r>
      <w:r w:rsidR="00A15D76">
        <w:t>continued to flourish</w:t>
      </w:r>
      <w:r w:rsidR="00867E4A">
        <w:t xml:space="preserve"> locally</w:t>
      </w:r>
      <w:r w:rsidR="00A15D76">
        <w:t xml:space="preserve"> </w:t>
      </w:r>
      <w:r w:rsidR="00061685">
        <w:t>and</w:t>
      </w:r>
      <w:r w:rsidR="005E44CD">
        <w:t xml:space="preserve"> </w:t>
      </w:r>
      <w:r w:rsidR="00061685">
        <w:t>became strongly associated with a particular foundation such as Holywell</w:t>
      </w:r>
      <w:r w:rsidR="007F6EBD">
        <w:t>.</w:t>
      </w:r>
      <w:r w:rsidR="007F6EBD">
        <w:rPr>
          <w:rStyle w:val="FootnoteReference"/>
        </w:rPr>
        <w:footnoteReference w:id="71"/>
      </w:r>
      <w:r w:rsidR="00103C2F">
        <w:t xml:space="preserve"> Over the duration of the 1</w:t>
      </w:r>
      <w:r w:rsidR="00AC0BF3">
        <w:t>4</w:t>
      </w:r>
      <w:r w:rsidR="00AC0BF3" w:rsidRPr="00AC0BF3">
        <w:rPr>
          <w:vertAlign w:val="superscript"/>
        </w:rPr>
        <w:t>th</w:t>
      </w:r>
      <w:r w:rsidR="00AC0BF3">
        <w:t xml:space="preserve"> century, a number of works were written </w:t>
      </w:r>
      <w:r w:rsidR="00772EC5">
        <w:t xml:space="preserve">across both England and Wales, </w:t>
      </w:r>
      <w:r w:rsidR="000D45BB">
        <w:t>that a</w:t>
      </w:r>
      <w:r w:rsidR="009754BE">
        <w:t>re connected with Gwenfrewi.</w:t>
      </w:r>
      <w:r w:rsidR="00297608">
        <w:t xml:space="preserve"> These works </w:t>
      </w:r>
      <w:r w:rsidR="007E014E">
        <w:t xml:space="preserve">show her </w:t>
      </w:r>
      <w:r w:rsidR="00B16C77">
        <w:t>growing i</w:t>
      </w:r>
      <w:r w:rsidR="00BF799D">
        <w:t xml:space="preserve">nfluence, fame, and importance. </w:t>
      </w:r>
      <w:r w:rsidR="00507C4E">
        <w:t xml:space="preserve">A third Latin </w:t>
      </w:r>
      <w:r w:rsidR="00507C4E">
        <w:rPr>
          <w:i/>
          <w:iCs/>
        </w:rPr>
        <w:t xml:space="preserve">vita </w:t>
      </w:r>
      <w:r w:rsidR="00A2582A">
        <w:t xml:space="preserve">titled </w:t>
      </w:r>
      <w:r w:rsidR="007F59D0">
        <w:t>‘</w:t>
      </w:r>
      <w:r w:rsidR="00A2582A">
        <w:rPr>
          <w:i/>
          <w:iCs/>
        </w:rPr>
        <w:t xml:space="preserve">Vita </w:t>
      </w:r>
      <w:proofErr w:type="spellStart"/>
      <w:r w:rsidR="00A2582A">
        <w:rPr>
          <w:i/>
          <w:iCs/>
        </w:rPr>
        <w:t>Sancte</w:t>
      </w:r>
      <w:proofErr w:type="spellEnd"/>
      <w:r w:rsidR="00A2582A">
        <w:rPr>
          <w:i/>
          <w:iCs/>
        </w:rPr>
        <w:t xml:space="preserve"> </w:t>
      </w:r>
      <w:proofErr w:type="spellStart"/>
      <w:r w:rsidR="00A2582A" w:rsidRPr="007F59D0">
        <w:t>Wenefrede</w:t>
      </w:r>
      <w:proofErr w:type="spellEnd"/>
      <w:r w:rsidR="007F59D0">
        <w:t>’</w:t>
      </w:r>
      <w:r w:rsidR="00FF3FF8">
        <w:t xml:space="preserve">, </w:t>
      </w:r>
      <w:r w:rsidR="007F59D0">
        <w:t>often referred to as the Lansdowne life</w:t>
      </w:r>
      <w:r w:rsidR="00FF3FF8">
        <w:t>,</w:t>
      </w:r>
      <w:r w:rsidR="007F59D0">
        <w:t xml:space="preserve"> </w:t>
      </w:r>
      <w:r w:rsidR="00943A52">
        <w:t>appears in the early 14</w:t>
      </w:r>
      <w:r w:rsidR="00943A52" w:rsidRPr="00943A52">
        <w:rPr>
          <w:vertAlign w:val="superscript"/>
        </w:rPr>
        <w:t>th</w:t>
      </w:r>
      <w:r w:rsidR="00943A52">
        <w:t xml:space="preserve"> century ‘Romsey </w:t>
      </w:r>
      <w:proofErr w:type="spellStart"/>
      <w:r w:rsidR="00943A52">
        <w:t>Legendery</w:t>
      </w:r>
      <w:proofErr w:type="spellEnd"/>
      <w:r w:rsidR="00DA528A">
        <w:t>’</w:t>
      </w:r>
      <w:r w:rsidR="003F06EA">
        <w:t xml:space="preserve"> contained within </w:t>
      </w:r>
      <w:r w:rsidR="00E86CD9">
        <w:t xml:space="preserve">the </w:t>
      </w:r>
      <w:r w:rsidR="007279DD">
        <w:t>Lansdowne 436</w:t>
      </w:r>
      <w:r w:rsidR="00E86CD9">
        <w:t xml:space="preserve"> manuscript in the</w:t>
      </w:r>
      <w:r w:rsidR="007279DD">
        <w:t xml:space="preserve"> British Library</w:t>
      </w:r>
      <w:r w:rsidR="00C62F10">
        <w:t>.</w:t>
      </w:r>
      <w:r w:rsidR="00943A52">
        <w:rPr>
          <w:rStyle w:val="FootnoteReference"/>
        </w:rPr>
        <w:footnoteReference w:id="72"/>
      </w:r>
      <w:r w:rsidR="00211DCC">
        <w:t xml:space="preserve"> The life </w:t>
      </w:r>
      <w:r w:rsidR="00687F9B">
        <w:t xml:space="preserve">is a </w:t>
      </w:r>
      <w:r w:rsidR="000F380A">
        <w:t xml:space="preserve">summarised composite version of the previous Latin lives and although it adds some details of its own, its real </w:t>
      </w:r>
      <w:r w:rsidR="006D6BAE">
        <w:t>signific</w:t>
      </w:r>
      <w:r w:rsidR="000F380A">
        <w:t>ance i</w:t>
      </w:r>
      <w:r w:rsidR="006D6BAE">
        <w:t>s</w:t>
      </w:r>
      <w:r w:rsidR="000F380A">
        <w:t xml:space="preserve"> contextual. </w:t>
      </w:r>
      <w:r w:rsidR="007279DD">
        <w:t xml:space="preserve">The Romsey </w:t>
      </w:r>
      <w:proofErr w:type="spellStart"/>
      <w:r w:rsidR="007279DD">
        <w:t>Legendery</w:t>
      </w:r>
      <w:proofErr w:type="spellEnd"/>
      <w:r w:rsidR="007279DD">
        <w:t xml:space="preserve"> conta</w:t>
      </w:r>
      <w:r w:rsidR="004D7DC6">
        <w:t xml:space="preserve">ins the summarised lives of 43 saints, mostly of </w:t>
      </w:r>
      <w:r w:rsidR="00B5541C">
        <w:t>English descent</w:t>
      </w:r>
      <w:r w:rsidR="00C86715">
        <w:t xml:space="preserve">; </w:t>
      </w:r>
      <w:r w:rsidR="00C86715">
        <w:t>Gwenfrewi</w:t>
      </w:r>
      <w:r w:rsidR="00236B4A">
        <w:t>’</w:t>
      </w:r>
      <w:r w:rsidR="00C86715">
        <w:t>s life is purposefully included among the deeds of the English saints</w:t>
      </w:r>
      <w:r w:rsidR="00581A83">
        <w:t xml:space="preserve">. </w:t>
      </w:r>
      <w:r w:rsidR="00E63065">
        <w:rPr>
          <w:rStyle w:val="FootnoteReference"/>
        </w:rPr>
        <w:footnoteReference w:id="73"/>
      </w:r>
      <w:r w:rsidR="00287C83">
        <w:t xml:space="preserve"> </w:t>
      </w:r>
      <w:r w:rsidR="00221C0F">
        <w:t>Her</w:t>
      </w:r>
      <w:r w:rsidR="00581A83">
        <w:t xml:space="preserve"> prologue</w:t>
      </w:r>
      <w:r w:rsidR="00E11D85">
        <w:t xml:space="preserve"> refere</w:t>
      </w:r>
      <w:r w:rsidR="002B55C0">
        <w:t xml:space="preserve">nces how she was brought to Shrewsbury by ‘divine arrangement’, </w:t>
      </w:r>
      <w:r w:rsidR="004C76C5">
        <w:t xml:space="preserve">and how </w:t>
      </w:r>
      <w:r w:rsidR="001A47DF">
        <w:t>due to her patronage and protection</w:t>
      </w:r>
      <w:r w:rsidR="00334155">
        <w:t xml:space="preserve"> of the abbey and town, </w:t>
      </w:r>
      <w:r w:rsidR="0070151F">
        <w:t xml:space="preserve">the author </w:t>
      </w:r>
      <w:r w:rsidR="008E4C49">
        <w:t>chose</w:t>
      </w:r>
      <w:r w:rsidR="0070151F">
        <w:t xml:space="preserve"> to include her deeds among those of the English saints.</w:t>
      </w:r>
      <w:r w:rsidR="0070151F">
        <w:rPr>
          <w:rStyle w:val="FootnoteReference"/>
        </w:rPr>
        <w:footnoteReference w:id="74"/>
      </w:r>
      <w:r w:rsidR="001E59B7">
        <w:t xml:space="preserve"> </w:t>
      </w:r>
      <w:r w:rsidR="001E59B7">
        <w:t>Interestingly the only two versions of Gwenfrewi’s life to name Basingwerk, are the Lansdowne life, and John of Tynemouth’s 14</w:t>
      </w:r>
      <w:r w:rsidR="001E59B7" w:rsidRPr="00CB6A15">
        <w:rPr>
          <w:vertAlign w:val="superscript"/>
        </w:rPr>
        <w:t>th</w:t>
      </w:r>
      <w:r w:rsidR="001E59B7">
        <w:t xml:space="preserve"> century version of the 12</w:t>
      </w:r>
      <w:r w:rsidR="001E59B7" w:rsidRPr="001B72D2">
        <w:rPr>
          <w:vertAlign w:val="superscript"/>
        </w:rPr>
        <w:t>th</w:t>
      </w:r>
      <w:r w:rsidR="001E59B7">
        <w:t xml:space="preserve"> century </w:t>
      </w:r>
      <w:r w:rsidR="001E59B7">
        <w:rPr>
          <w:i/>
          <w:iCs/>
        </w:rPr>
        <w:t>vita</w:t>
      </w:r>
      <w:r w:rsidR="001E59B7">
        <w:t xml:space="preserve">, later circulated as part of the </w:t>
      </w:r>
      <w:r w:rsidR="001E59B7">
        <w:rPr>
          <w:i/>
          <w:iCs/>
        </w:rPr>
        <w:t xml:space="preserve">Legenda Nova </w:t>
      </w:r>
      <w:proofErr w:type="spellStart"/>
      <w:r w:rsidR="001E59B7">
        <w:rPr>
          <w:i/>
          <w:iCs/>
        </w:rPr>
        <w:t>Angelie</w:t>
      </w:r>
      <w:proofErr w:type="spellEnd"/>
      <w:r w:rsidR="001E59B7">
        <w:t>.</w:t>
      </w:r>
      <w:r w:rsidR="001E59B7">
        <w:rPr>
          <w:rStyle w:val="FootnoteReference"/>
        </w:rPr>
        <w:footnoteReference w:id="75"/>
      </w:r>
      <w:r w:rsidR="001E59B7">
        <w:t xml:space="preserve"> Despite neither of them being written at the abbey, they acknowledge Basingwerk’s particular interest in the saint, and the abbey’s ownership of the</w:t>
      </w:r>
      <w:r w:rsidR="00771BBD">
        <w:t xml:space="preserve"> well</w:t>
      </w:r>
      <w:r w:rsidR="001E59B7">
        <w:t>.</w:t>
      </w:r>
      <w:r w:rsidR="001E59B7">
        <w:rPr>
          <w:rStyle w:val="FootnoteReference"/>
        </w:rPr>
        <w:footnoteReference w:id="76"/>
      </w:r>
      <w:r w:rsidR="001E59B7">
        <w:t xml:space="preserve"> </w:t>
      </w:r>
      <w:r w:rsidR="00955B20">
        <w:t xml:space="preserve"> </w:t>
      </w:r>
      <w:r w:rsidR="00E63927">
        <w:t xml:space="preserve">The deliberate inclusion of Gwenfrewi’s life among the English saints, paired with the acknowledgement of her Welshness and her local </w:t>
      </w:r>
      <w:r w:rsidR="00F43692">
        <w:t>abbey</w:t>
      </w:r>
      <w:r w:rsidR="0031426B">
        <w:t xml:space="preserve"> </w:t>
      </w:r>
      <w:r w:rsidR="000062A6">
        <w:t>shows the development of her cult</w:t>
      </w:r>
      <w:r w:rsidR="00010461">
        <w:t xml:space="preserve"> in England</w:t>
      </w:r>
      <w:r w:rsidR="00771BBD">
        <w:t>.</w:t>
      </w:r>
      <w:r w:rsidR="00FC38E8">
        <w:t xml:space="preserve"> </w:t>
      </w:r>
      <w:r w:rsidR="00771BBD">
        <w:t>S</w:t>
      </w:r>
      <w:r w:rsidR="00FC38E8">
        <w:t xml:space="preserve">he is </w:t>
      </w:r>
      <w:r w:rsidR="000062A6">
        <w:t xml:space="preserve">not </w:t>
      </w:r>
      <w:r w:rsidR="00FC38E8">
        <w:t>simply</w:t>
      </w:r>
      <w:r w:rsidR="000062A6">
        <w:t xml:space="preserve"> a Welsh saint in </w:t>
      </w:r>
      <w:r w:rsidR="000062A6">
        <w:lastRenderedPageBreak/>
        <w:t xml:space="preserve">England, but </w:t>
      </w:r>
      <w:r w:rsidR="00CD250A">
        <w:t>st</w:t>
      </w:r>
      <w:r w:rsidR="00DC576F">
        <w:t>rongly associated with both regions</w:t>
      </w:r>
      <w:r w:rsidR="00600F43">
        <w:t xml:space="preserve">, as a protector of </w:t>
      </w:r>
      <w:r w:rsidR="005371A9">
        <w:t xml:space="preserve">both Holywell and </w:t>
      </w:r>
      <w:r w:rsidR="00D3710C">
        <w:t>Shrewsbury</w:t>
      </w:r>
      <w:r w:rsidR="00363C6F">
        <w:t xml:space="preserve">. </w:t>
      </w:r>
      <w:r w:rsidR="00D3710C">
        <w:t>Greggory argue</w:t>
      </w:r>
      <w:r w:rsidR="0083012E">
        <w:t>s</w:t>
      </w:r>
      <w:r w:rsidR="00D3710C">
        <w:t xml:space="preserve"> </w:t>
      </w:r>
      <w:r w:rsidR="00363C6F">
        <w:t>she was seen</w:t>
      </w:r>
      <w:r w:rsidR="0083012E">
        <w:t xml:space="preserve"> during this period</w:t>
      </w:r>
      <w:r w:rsidR="00363C6F">
        <w:t xml:space="preserve"> as </w:t>
      </w:r>
      <w:r w:rsidR="0083012E">
        <w:t>‘</w:t>
      </w:r>
      <w:r w:rsidR="00363C6F">
        <w:t>a Welsh saint with decidedly English leanings</w:t>
      </w:r>
      <w:r w:rsidR="0083012E">
        <w:t>’</w:t>
      </w:r>
      <w:r w:rsidR="00600F43">
        <w:t>.</w:t>
      </w:r>
      <w:r w:rsidR="0083012E">
        <w:rPr>
          <w:rStyle w:val="FootnoteReference"/>
        </w:rPr>
        <w:footnoteReference w:id="77"/>
      </w:r>
      <w:r w:rsidR="005371A9">
        <w:t xml:space="preserve"> </w:t>
      </w:r>
      <w:r w:rsidR="008F65F7">
        <w:t xml:space="preserve">Another very important development that occurs in 1346, is </w:t>
      </w:r>
      <w:r w:rsidR="007F3B10">
        <w:t xml:space="preserve">the </w:t>
      </w:r>
      <w:r w:rsidR="00931167">
        <w:t xml:space="preserve">summary Gwenfrewi’s martyrdom given in </w:t>
      </w:r>
      <w:r w:rsidR="009409F7">
        <w:t xml:space="preserve">the 1346 Welsh </w:t>
      </w:r>
      <w:r w:rsidR="009409F7">
        <w:rPr>
          <w:i/>
          <w:iCs/>
        </w:rPr>
        <w:t>Buchedd Beuno</w:t>
      </w:r>
      <w:r w:rsidR="009409F7">
        <w:t>.</w:t>
      </w:r>
      <w:r w:rsidR="009409F7">
        <w:rPr>
          <w:rStyle w:val="FootnoteReference"/>
        </w:rPr>
        <w:footnoteReference w:id="78"/>
      </w:r>
      <w:r w:rsidR="008F65F7">
        <w:t xml:space="preserve"> </w:t>
      </w:r>
      <w:r w:rsidR="00285A8C">
        <w:t>As discussed previously</w:t>
      </w:r>
      <w:r w:rsidR="003040CF">
        <w:t>,</w:t>
      </w:r>
      <w:r w:rsidR="00285A8C">
        <w:t xml:space="preserve"> this </w:t>
      </w:r>
      <w:r w:rsidR="00AC1ADD">
        <w:t>extract</w:t>
      </w:r>
      <w:r w:rsidR="00285A8C">
        <w:t xml:space="preserve"> does not appear to draw from either Latin life, a</w:t>
      </w:r>
      <w:r w:rsidR="00AC1ADD">
        <w:t>nd is likely based on a</w:t>
      </w:r>
      <w:r w:rsidR="00314386">
        <w:t xml:space="preserve"> lost</w:t>
      </w:r>
      <w:r w:rsidR="00AC1ADD">
        <w:t xml:space="preserve"> earlier version of Beuno’s life that may also have influence</w:t>
      </w:r>
      <w:r w:rsidR="007F3B10">
        <w:t>d</w:t>
      </w:r>
      <w:r w:rsidR="00AC1ADD">
        <w:t xml:space="preserve"> </w:t>
      </w:r>
      <w:r w:rsidR="00BA3296">
        <w:t>the writers of the 12</w:t>
      </w:r>
      <w:r w:rsidR="00BA3296" w:rsidRPr="00BA3296">
        <w:rPr>
          <w:vertAlign w:val="superscript"/>
        </w:rPr>
        <w:t>th</w:t>
      </w:r>
      <w:r w:rsidR="00BA3296">
        <w:t xml:space="preserve"> century </w:t>
      </w:r>
      <w:r w:rsidR="00BA3296" w:rsidRPr="00BA3296">
        <w:rPr>
          <w:i/>
          <w:iCs/>
        </w:rPr>
        <w:t>vitae</w:t>
      </w:r>
      <w:r w:rsidR="00BA3296" w:rsidRPr="007F3B10">
        <w:t>.</w:t>
      </w:r>
      <w:r w:rsidR="00BA3296" w:rsidRPr="007F3B10">
        <w:rPr>
          <w:rStyle w:val="FootnoteReference"/>
        </w:rPr>
        <w:footnoteReference w:id="79"/>
      </w:r>
      <w:r w:rsidR="00982C75" w:rsidRPr="007F3B10">
        <w:t xml:space="preserve"> </w:t>
      </w:r>
      <w:r w:rsidR="00043AF6">
        <w:t>The fourteenth century also sees a rise in poetry and music dedicated to the saint</w:t>
      </w:r>
      <w:r w:rsidR="00D11433">
        <w:t xml:space="preserve">, </w:t>
      </w:r>
      <w:r w:rsidR="0086414A">
        <w:t>creating a vibrant sonic landscape for her associated sites of pilgrimage</w:t>
      </w:r>
      <w:r w:rsidR="0045751E">
        <w:t>.</w:t>
      </w:r>
      <w:r w:rsidR="0086414A">
        <w:rPr>
          <w:rStyle w:val="FootnoteReference"/>
        </w:rPr>
        <w:footnoteReference w:id="80"/>
      </w:r>
      <w:r w:rsidR="002D4D93">
        <w:t xml:space="preserve"> A surviving</w:t>
      </w:r>
      <w:r w:rsidR="007215A7">
        <w:t xml:space="preserve"> </w:t>
      </w:r>
      <w:r w:rsidR="002A420C">
        <w:t xml:space="preserve">fragment </w:t>
      </w:r>
      <w:r w:rsidR="006E77E4">
        <w:t>of 14</w:t>
      </w:r>
      <w:r w:rsidR="006E77E4" w:rsidRPr="006E77E4">
        <w:rPr>
          <w:vertAlign w:val="superscript"/>
        </w:rPr>
        <w:t>th</w:t>
      </w:r>
      <w:r w:rsidR="006E77E4">
        <w:t xml:space="preserve"> century polyphony f</w:t>
      </w:r>
      <w:r w:rsidR="0007053E">
        <w:t xml:space="preserve">ound in Worcester is dedicated </w:t>
      </w:r>
      <w:r w:rsidR="002D6C81">
        <w:t>to Gwenfrewi</w:t>
      </w:r>
      <w:r w:rsidR="002A420C">
        <w:t xml:space="preserve">. </w:t>
      </w:r>
      <w:r w:rsidR="002662FA">
        <w:t>Th</w:t>
      </w:r>
      <w:r w:rsidR="00AA3B85">
        <w:t>e motet</w:t>
      </w:r>
      <w:r w:rsidR="00D774EC">
        <w:t xml:space="preserve"> is called</w:t>
      </w:r>
      <w:r w:rsidR="00AA3B85">
        <w:t xml:space="preserve"> </w:t>
      </w:r>
      <w:r w:rsidR="00D774EC" w:rsidRPr="00D774EC">
        <w:rPr>
          <w:i/>
          <w:iCs/>
        </w:rPr>
        <w:t xml:space="preserve">Inter </w:t>
      </w:r>
      <w:proofErr w:type="spellStart"/>
      <w:r w:rsidR="00D774EC" w:rsidRPr="00D774EC">
        <w:rPr>
          <w:i/>
          <w:iCs/>
        </w:rPr>
        <w:t>Choros</w:t>
      </w:r>
      <w:proofErr w:type="spellEnd"/>
      <w:r w:rsidR="00D774EC" w:rsidRPr="00D774EC">
        <w:rPr>
          <w:i/>
          <w:iCs/>
        </w:rPr>
        <w:t xml:space="preserve"> </w:t>
      </w:r>
      <w:proofErr w:type="spellStart"/>
      <w:r w:rsidR="00D774EC" w:rsidRPr="00D774EC">
        <w:rPr>
          <w:i/>
          <w:iCs/>
        </w:rPr>
        <w:t>Paradisicolarum</w:t>
      </w:r>
      <w:proofErr w:type="spellEnd"/>
      <w:r w:rsidR="00D774EC" w:rsidRPr="00D774EC">
        <w:rPr>
          <w:i/>
          <w:iCs/>
        </w:rPr>
        <w:t xml:space="preserve">/ </w:t>
      </w:r>
      <w:proofErr w:type="spellStart"/>
      <w:r w:rsidR="00D774EC" w:rsidRPr="00D774EC">
        <w:rPr>
          <w:i/>
          <w:iCs/>
        </w:rPr>
        <w:t>Invi</w:t>
      </w:r>
      <w:r w:rsidR="00D774EC" w:rsidRPr="00D774EC">
        <w:rPr>
          <w:i/>
          <w:iCs/>
        </w:rPr>
        <w:t>ctis</w:t>
      </w:r>
      <w:proofErr w:type="spellEnd"/>
      <w:r w:rsidR="00D774EC" w:rsidRPr="00D774EC">
        <w:rPr>
          <w:i/>
          <w:iCs/>
        </w:rPr>
        <w:t xml:space="preserve"> </w:t>
      </w:r>
      <w:proofErr w:type="spellStart"/>
      <w:r w:rsidR="00D774EC" w:rsidRPr="00D774EC">
        <w:rPr>
          <w:i/>
          <w:iCs/>
        </w:rPr>
        <w:t>Pueris</w:t>
      </w:r>
      <w:proofErr w:type="spellEnd"/>
      <w:r w:rsidR="00D774EC">
        <w:t xml:space="preserve"> and </w:t>
      </w:r>
      <w:r w:rsidR="004051FC">
        <w:t>is named after its</w:t>
      </w:r>
      <w:r w:rsidR="00D774EC">
        <w:t xml:space="preserve"> two parts</w:t>
      </w:r>
      <w:r w:rsidR="005D7145">
        <w:t>.</w:t>
      </w:r>
      <w:r w:rsidR="00D774EC">
        <w:t xml:space="preserve"> </w:t>
      </w:r>
      <w:r w:rsidR="005D7145">
        <w:t>T</w:t>
      </w:r>
      <w:r w:rsidR="00D774EC">
        <w:t>he former</w:t>
      </w:r>
      <w:r w:rsidR="005D7145">
        <w:t>,</w:t>
      </w:r>
      <w:r w:rsidR="002A32EC">
        <w:t xml:space="preserve"> ‘among the </w:t>
      </w:r>
      <w:r w:rsidR="00AB418E">
        <w:t>dances of paradise’</w:t>
      </w:r>
      <w:r w:rsidR="005D7145">
        <w:t>,</w:t>
      </w:r>
      <w:r w:rsidR="00AB418E">
        <w:t xml:space="preserve"> </w:t>
      </w:r>
      <w:r w:rsidR="00D774EC">
        <w:t xml:space="preserve">sung by the sopranos and altos </w:t>
      </w:r>
      <w:r w:rsidR="00AB418E">
        <w:t>is about</w:t>
      </w:r>
      <w:r w:rsidR="00443C95">
        <w:t xml:space="preserve"> the</w:t>
      </w:r>
      <w:r w:rsidR="00D71897">
        <w:t xml:space="preserve"> virgin martyrs dancing in paradise</w:t>
      </w:r>
      <w:r w:rsidR="005D7145">
        <w:t>. T</w:t>
      </w:r>
      <w:r w:rsidR="00443C95">
        <w:t>he latte</w:t>
      </w:r>
      <w:r w:rsidR="00EF2D50">
        <w:t>r</w:t>
      </w:r>
      <w:r w:rsidR="005D7145">
        <w:t>,</w:t>
      </w:r>
      <w:r w:rsidR="00443C95">
        <w:t xml:space="preserve"> </w:t>
      </w:r>
      <w:r w:rsidR="00AB418E">
        <w:t xml:space="preserve">‘the </w:t>
      </w:r>
      <w:r w:rsidR="0087025C">
        <w:t xml:space="preserve">undefeated boys’ </w:t>
      </w:r>
      <w:r w:rsidR="005A5905">
        <w:t xml:space="preserve">is </w:t>
      </w:r>
      <w:r w:rsidR="00EF2D50">
        <w:t xml:space="preserve">the part of the </w:t>
      </w:r>
      <w:r w:rsidR="003047BA">
        <w:t xml:space="preserve">tenor </w:t>
      </w:r>
      <w:proofErr w:type="spellStart"/>
      <w:r w:rsidR="00EF2D50">
        <w:t>duplum</w:t>
      </w:r>
      <w:proofErr w:type="spellEnd"/>
      <w:r w:rsidR="00EF2D50">
        <w:t>, and</w:t>
      </w:r>
      <w:r w:rsidR="005A5905">
        <w:t xml:space="preserve"> </w:t>
      </w:r>
      <w:r w:rsidR="0087025C">
        <w:t xml:space="preserve">sings of </w:t>
      </w:r>
      <w:r w:rsidR="00A1205B">
        <w:t>the boys burning in the furnace of Kin</w:t>
      </w:r>
      <w:r w:rsidR="00CD4B84">
        <w:t>g</w:t>
      </w:r>
      <w:r w:rsidR="00A1205B">
        <w:t xml:space="preserve"> Nebuchadnezzar</w:t>
      </w:r>
      <w:r w:rsidR="00CD4B84">
        <w:t xml:space="preserve"> for not bowing to his golden idol</w:t>
      </w:r>
      <w:r w:rsidR="00EF2D50">
        <w:t xml:space="preserve"> </w:t>
      </w:r>
      <w:r w:rsidR="003A5D67">
        <w:t>when they</w:t>
      </w:r>
      <w:r w:rsidR="006A63B7">
        <w:t xml:space="preserve"> </w:t>
      </w:r>
      <w:r w:rsidR="00EF2D50">
        <w:t>are</w:t>
      </w:r>
      <w:r w:rsidR="006A63B7">
        <w:t xml:space="preserve"> joined by an a</w:t>
      </w:r>
      <w:r w:rsidR="00CF4214">
        <w:t>n</w:t>
      </w:r>
      <w:r w:rsidR="006A63B7">
        <w:t xml:space="preserve">gelic </w:t>
      </w:r>
      <w:r w:rsidR="00EF2D50">
        <w:t>saviour</w:t>
      </w:r>
      <w:r w:rsidR="006A63B7">
        <w:t>.</w:t>
      </w:r>
      <w:r w:rsidR="00CD4B84">
        <w:rPr>
          <w:rStyle w:val="FootnoteReference"/>
        </w:rPr>
        <w:footnoteReference w:id="81"/>
      </w:r>
      <w:r w:rsidR="0024531E">
        <w:t xml:space="preserve"> </w:t>
      </w:r>
      <w:r w:rsidR="008C2C19">
        <w:t xml:space="preserve">This song is interesting because it </w:t>
      </w:r>
      <w:r w:rsidR="00DA090C">
        <w:t xml:space="preserve">depicts Gwenfrewi as a </w:t>
      </w:r>
      <w:r w:rsidR="00BE3E32">
        <w:t>‘</w:t>
      </w:r>
      <w:r w:rsidR="00DA090C">
        <w:t>virgin martyr</w:t>
      </w:r>
      <w:r w:rsidR="00BE3E32">
        <w:t>’</w:t>
      </w:r>
      <w:r w:rsidR="00D15B70">
        <w:t xml:space="preserve">, deliberately associating her with the </w:t>
      </w:r>
      <w:r w:rsidR="000C591F">
        <w:t>f</w:t>
      </w:r>
      <w:r w:rsidR="003115EA">
        <w:t>a</w:t>
      </w:r>
      <w:r w:rsidR="000C591F">
        <w:t xml:space="preserve">mous </w:t>
      </w:r>
      <w:r w:rsidR="003A5D67">
        <w:t xml:space="preserve">early </w:t>
      </w:r>
      <w:r w:rsidR="003115EA">
        <w:t>R</w:t>
      </w:r>
      <w:r w:rsidR="000C591F">
        <w:t xml:space="preserve">oman martyrs </w:t>
      </w:r>
      <w:r w:rsidR="003A5D67">
        <w:t>of</w:t>
      </w:r>
      <w:r w:rsidR="000C591F">
        <w:t xml:space="preserve"> Perpetua, Felicity</w:t>
      </w:r>
      <w:r w:rsidR="003115EA">
        <w:t>, Cecilia and others.</w:t>
      </w:r>
      <w:r w:rsidR="003A5D67">
        <w:rPr>
          <w:rStyle w:val="FootnoteReference"/>
        </w:rPr>
        <w:footnoteReference w:id="82"/>
      </w:r>
      <w:r w:rsidR="003115EA">
        <w:t xml:space="preserve"> </w:t>
      </w:r>
      <w:r w:rsidR="009C2137">
        <w:t>Gwenfrewi</w:t>
      </w:r>
      <w:r w:rsidR="0038324E">
        <w:t xml:space="preserve">’s resuscitation arguably should exclude her from this group, </w:t>
      </w:r>
      <w:r w:rsidR="00932EFE">
        <w:t xml:space="preserve">medieval virgins forsaking marriage to become a religious sister </w:t>
      </w:r>
      <w:r w:rsidR="00BA1780">
        <w:t xml:space="preserve">could not expect to be regarded as a red “blood martyr” in the same way as the early Roman </w:t>
      </w:r>
      <w:r w:rsidR="00766827">
        <w:t>virgin martyrs.</w:t>
      </w:r>
      <w:r w:rsidR="00766827">
        <w:rPr>
          <w:rStyle w:val="FootnoteReference"/>
        </w:rPr>
        <w:footnoteReference w:id="83"/>
      </w:r>
      <w:r w:rsidR="00766827">
        <w:t xml:space="preserve"> </w:t>
      </w:r>
      <w:r w:rsidR="0012532B">
        <w:t>Nevertheless,</w:t>
      </w:r>
      <w:r w:rsidR="00766827">
        <w:t xml:space="preserve"> not only is she </w:t>
      </w:r>
      <w:r w:rsidR="0012532B">
        <w:t xml:space="preserve">associated </w:t>
      </w:r>
      <w:r w:rsidR="00766827">
        <w:t xml:space="preserve">but </w:t>
      </w:r>
      <w:r w:rsidR="00877761">
        <w:t>the text refers</w:t>
      </w:r>
      <w:r w:rsidR="00766827">
        <w:t xml:space="preserve"> to her as ‘first among </w:t>
      </w:r>
      <w:r w:rsidR="0012532B">
        <w:t xml:space="preserve">the dancers in paradise… applaud the maiden </w:t>
      </w:r>
      <w:proofErr w:type="spellStart"/>
      <w:r w:rsidR="0012532B">
        <w:t>Wenefreda</w:t>
      </w:r>
      <w:proofErr w:type="spellEnd"/>
      <w:r w:rsidR="0012532B">
        <w:t>!’</w:t>
      </w:r>
      <w:r w:rsidR="0012532B">
        <w:rPr>
          <w:rStyle w:val="FootnoteReference"/>
        </w:rPr>
        <w:footnoteReference w:id="84"/>
      </w:r>
      <w:r w:rsidR="005E0FD3">
        <w:t xml:space="preserve"> </w:t>
      </w:r>
      <w:r w:rsidR="00EA755E">
        <w:t xml:space="preserve">It is clear that although the church had not </w:t>
      </w:r>
      <w:r w:rsidR="00A83A24">
        <w:t xml:space="preserve">yet </w:t>
      </w:r>
      <w:r w:rsidR="00EA755E">
        <w:t xml:space="preserve">proclaimed her </w:t>
      </w:r>
      <w:r w:rsidR="00CD0410">
        <w:t>as a virgin martyr</w:t>
      </w:r>
      <w:r w:rsidR="00EA755E">
        <w:t xml:space="preserve">, </w:t>
      </w:r>
      <w:r w:rsidR="00CD0410">
        <w:t>she was always regarded as one by he</w:t>
      </w:r>
      <w:r w:rsidR="00586C0C">
        <w:t>r Christian peers</w:t>
      </w:r>
      <w:r w:rsidR="00A83A24">
        <w:t>,</w:t>
      </w:r>
      <w:r w:rsidR="00586C0C">
        <w:t xml:space="preserve"> and </w:t>
      </w:r>
      <w:r w:rsidR="00BC6777">
        <w:t xml:space="preserve">despite her resuscitation, her martyrdom was </w:t>
      </w:r>
      <w:r w:rsidR="004C591A">
        <w:t>one of, if not the most important aspect of her saintly identity</w:t>
      </w:r>
      <w:r w:rsidR="00586C0C">
        <w:t>.</w:t>
      </w:r>
      <w:r w:rsidR="00586C0C">
        <w:rPr>
          <w:rStyle w:val="FootnoteReference"/>
        </w:rPr>
        <w:footnoteReference w:id="85"/>
      </w:r>
      <w:r w:rsidR="00586C0C">
        <w:t xml:space="preserve"> </w:t>
      </w:r>
    </w:p>
    <w:p w14:paraId="2CAF4141" w14:textId="77777777" w:rsidR="00463054" w:rsidRDefault="00463054" w:rsidP="005D7145">
      <w:pPr>
        <w:ind w:firstLine="720"/>
      </w:pPr>
    </w:p>
    <w:p w14:paraId="45EA7C07" w14:textId="66264D2E" w:rsidR="004E415F" w:rsidRDefault="009D1A17" w:rsidP="002F310E">
      <w:pPr>
        <w:ind w:firstLine="720"/>
      </w:pPr>
      <w:r>
        <w:t xml:space="preserve">Over the </w:t>
      </w:r>
      <w:r w:rsidR="00DE54FF">
        <w:t>14</w:t>
      </w:r>
      <w:r w:rsidR="00DE54FF" w:rsidRPr="00DE54FF">
        <w:rPr>
          <w:vertAlign w:val="superscript"/>
        </w:rPr>
        <w:t>th</w:t>
      </w:r>
      <w:r w:rsidR="00DE54FF">
        <w:t xml:space="preserve"> century</w:t>
      </w:r>
      <w:r>
        <w:t xml:space="preserve"> English Royal interests </w:t>
      </w:r>
      <w:r w:rsidR="00DE54FF">
        <w:t>in Wales</w:t>
      </w:r>
      <w:r w:rsidR="001922D2">
        <w:t xml:space="preserve"> gradually</w:t>
      </w:r>
      <w:r w:rsidR="00DE54FF">
        <w:t xml:space="preserve"> </w:t>
      </w:r>
      <w:r>
        <w:t>shifted from St. David’s and St. Asaph</w:t>
      </w:r>
      <w:r w:rsidR="00DE54FF">
        <w:t>’</w:t>
      </w:r>
      <w:r>
        <w:t>s</w:t>
      </w:r>
      <w:r w:rsidR="00DE54FF">
        <w:t xml:space="preserve"> to the Holywell</w:t>
      </w:r>
      <w:r w:rsidR="000D02AE">
        <w:t>.</w:t>
      </w:r>
      <w:r w:rsidR="001922D2">
        <w:rPr>
          <w:rStyle w:val="FootnoteReference"/>
        </w:rPr>
        <w:footnoteReference w:id="86"/>
      </w:r>
      <w:r w:rsidR="00463054">
        <w:t xml:space="preserve"> </w:t>
      </w:r>
      <w:r w:rsidR="00CB5BA6">
        <w:t>Although the cult of Gwenfrewi reached its peak in the 15</w:t>
      </w:r>
      <w:r w:rsidR="00CB5BA6" w:rsidRPr="00604E85">
        <w:rPr>
          <w:vertAlign w:val="superscript"/>
        </w:rPr>
        <w:t>th</w:t>
      </w:r>
      <w:r w:rsidR="00CB5BA6">
        <w:t xml:space="preserve"> century, the foundations were arguably laid in the final years of the 1300’s. </w:t>
      </w:r>
      <w:r w:rsidR="00463054">
        <w:t xml:space="preserve">In </w:t>
      </w:r>
      <w:r w:rsidR="0023607B">
        <w:t>1398</w:t>
      </w:r>
      <w:r w:rsidR="00EB798F">
        <w:t xml:space="preserve"> Roger Walden, Archbishop of Canterbury ordered </w:t>
      </w:r>
      <w:r w:rsidR="00386BE4">
        <w:t>for</w:t>
      </w:r>
      <w:r w:rsidR="00EB798F">
        <w:t xml:space="preserve"> her</w:t>
      </w:r>
      <w:r w:rsidR="00386BE4">
        <w:t xml:space="preserve"> feast day on the 3</w:t>
      </w:r>
      <w:r w:rsidR="00386BE4" w:rsidRPr="00386BE4">
        <w:rPr>
          <w:vertAlign w:val="superscript"/>
        </w:rPr>
        <w:t>rd</w:t>
      </w:r>
      <w:r w:rsidR="00386BE4">
        <w:t xml:space="preserve"> of November to be celebrated across the province of Canterbury with nine celebratory </w:t>
      </w:r>
      <w:proofErr w:type="spellStart"/>
      <w:r w:rsidR="00386BE4">
        <w:t>lectiones</w:t>
      </w:r>
      <w:proofErr w:type="spellEnd"/>
      <w:r w:rsidR="00386BE4">
        <w:t>.</w:t>
      </w:r>
      <w:r w:rsidR="00386BE4">
        <w:rPr>
          <w:rStyle w:val="FootnoteReference"/>
        </w:rPr>
        <w:footnoteReference w:id="87"/>
      </w:r>
      <w:r w:rsidR="00AF2B3D">
        <w:t xml:space="preserve"> In the same year, Richard II</w:t>
      </w:r>
      <w:r w:rsidR="009E3EF8">
        <w:t xml:space="preserve"> reportedly made a pilgrimage to Holywell</w:t>
      </w:r>
      <w:r w:rsidR="00615B57">
        <w:t>.</w:t>
      </w:r>
      <w:r w:rsidR="00615B57">
        <w:rPr>
          <w:rStyle w:val="FootnoteReference"/>
        </w:rPr>
        <w:footnoteReference w:id="88"/>
      </w:r>
      <w:r w:rsidR="00741190">
        <w:t xml:space="preserve"> </w:t>
      </w:r>
      <w:r w:rsidR="00001B50">
        <w:t>Richard’s pilgrimage</w:t>
      </w:r>
      <w:r w:rsidR="001113EC">
        <w:t xml:space="preserve"> was likely for </w:t>
      </w:r>
      <w:r w:rsidR="000207D4">
        <w:t xml:space="preserve">contemporary </w:t>
      </w:r>
      <w:r w:rsidR="001113EC">
        <w:t>political reasons however it</w:t>
      </w:r>
      <w:r w:rsidR="00001B50">
        <w:t xml:space="preserve"> marks the beginning of increasing devotion to Gwenfrewi </w:t>
      </w:r>
      <w:r w:rsidR="00EC5680">
        <w:t>from the noble and royal families of England</w:t>
      </w:r>
      <w:r w:rsidR="00D2165D">
        <w:t xml:space="preserve">, and arguably set the </w:t>
      </w:r>
      <w:r w:rsidR="00D2165D">
        <w:lastRenderedPageBreak/>
        <w:t>table for the developments of the next century.</w:t>
      </w:r>
      <w:r w:rsidR="00D2165D">
        <w:rPr>
          <w:rStyle w:val="FootnoteReference"/>
        </w:rPr>
        <w:footnoteReference w:id="89"/>
      </w:r>
      <w:r w:rsidR="00CA6DA7">
        <w:t xml:space="preserve"> This increase in devotion however suffered a minor setback </w:t>
      </w:r>
      <w:r w:rsidR="00B016C9">
        <w:t>between 1399 and 1401</w:t>
      </w:r>
      <w:r w:rsidR="00553D1D">
        <w:t>, when d</w:t>
      </w:r>
      <w:r w:rsidR="00C0588F">
        <w:t>ue to political tensions linked to G</w:t>
      </w:r>
      <w:r w:rsidR="00A06CE5">
        <w:t xml:space="preserve">lyn </w:t>
      </w:r>
      <w:proofErr w:type="spellStart"/>
      <w:r w:rsidR="007A4C61" w:rsidRPr="007A4C61">
        <w:t>Dŵr’s</w:t>
      </w:r>
      <w:proofErr w:type="spellEnd"/>
      <w:r w:rsidR="007A4C61" w:rsidRPr="007A4C61">
        <w:t xml:space="preserve"> revol</w:t>
      </w:r>
      <w:r w:rsidR="007A4C61">
        <w:t>t, t</w:t>
      </w:r>
      <w:r w:rsidR="00F2777A">
        <w:t xml:space="preserve">he </w:t>
      </w:r>
      <w:r w:rsidR="007A4C61">
        <w:t>1398</w:t>
      </w:r>
      <w:r w:rsidR="00F2777A">
        <w:t xml:space="preserve"> elevation of Gwenfrewi’s </w:t>
      </w:r>
      <w:r w:rsidR="00C206E1">
        <w:t>feast</w:t>
      </w:r>
      <w:r w:rsidR="008C6779">
        <w:t xml:space="preserve"> day</w:t>
      </w:r>
      <w:r w:rsidR="00C206E1">
        <w:t xml:space="preserve"> </w:t>
      </w:r>
      <w:r w:rsidR="007820A9" w:rsidRPr="007820A9">
        <w:t xml:space="preserve">along with those of St. David’s and St. Chad’s </w:t>
      </w:r>
      <w:r w:rsidR="007820A9">
        <w:t>,</w:t>
      </w:r>
      <w:r w:rsidR="00B016C9">
        <w:t>w</w:t>
      </w:r>
      <w:r w:rsidR="00943F64">
        <w:t>as</w:t>
      </w:r>
      <w:r w:rsidR="00B016C9">
        <w:t xml:space="preserve"> </w:t>
      </w:r>
      <w:r w:rsidR="00C206E1">
        <w:t>re</w:t>
      </w:r>
      <w:r w:rsidR="00B016C9">
        <w:t>pealed</w:t>
      </w:r>
      <w:r w:rsidR="00C206E1">
        <w:t xml:space="preserve"> </w:t>
      </w:r>
      <w:r w:rsidR="007A4C61">
        <w:t>s</w:t>
      </w:r>
      <w:r w:rsidR="007820A9">
        <w:t>hortly</w:t>
      </w:r>
      <w:r w:rsidR="007A4C61">
        <w:t xml:space="preserve"> after it was issued</w:t>
      </w:r>
      <w:r w:rsidR="007820A9">
        <w:t xml:space="preserve"> </w:t>
      </w:r>
      <w:r w:rsidR="00C2417D">
        <w:t>by Thomas Arundel</w:t>
      </w:r>
      <w:r w:rsidR="002B410B">
        <w:t>.</w:t>
      </w:r>
      <w:r w:rsidR="002B410B">
        <w:rPr>
          <w:rStyle w:val="FootnoteReference"/>
        </w:rPr>
        <w:footnoteReference w:id="90"/>
      </w:r>
      <w:r w:rsidR="009B064B">
        <w:t xml:space="preserve"> Richard II was deposed in 1399 by his cousin,</w:t>
      </w:r>
      <w:r w:rsidR="002875ED">
        <w:t xml:space="preserve"> who took</w:t>
      </w:r>
      <w:r w:rsidR="009B064B">
        <w:t xml:space="preserve"> the throne to become Henry IV</w:t>
      </w:r>
      <w:r w:rsidR="00294812">
        <w:t>, potentially limiting the effects of Richard</w:t>
      </w:r>
      <w:r w:rsidR="002875ED">
        <w:t>’s</w:t>
      </w:r>
      <w:r w:rsidR="00294812">
        <w:t xml:space="preserve"> pilgrimage</w:t>
      </w:r>
      <w:r w:rsidR="008F6ACB">
        <w:t xml:space="preserve">. However, Henry IV </w:t>
      </w:r>
      <w:r w:rsidR="0039289B">
        <w:t>w</w:t>
      </w:r>
      <w:r w:rsidR="006D3227">
        <w:t>ould make h</w:t>
      </w:r>
      <w:r w:rsidR="0039289B">
        <w:t>is own pilgrimage to Holywell</w:t>
      </w:r>
      <w:r w:rsidR="00B125D5">
        <w:t>, even building a chapel</w:t>
      </w:r>
      <w:r w:rsidR="00F618C4">
        <w:t xml:space="preserve"> at the site</w:t>
      </w:r>
      <w:r w:rsidR="00B125D5">
        <w:t>,</w:t>
      </w:r>
      <w:r w:rsidR="005D49B0">
        <w:t xml:space="preserve"> after his victory at the battle of Shrewsbury</w:t>
      </w:r>
      <w:r w:rsidR="006D3227">
        <w:t xml:space="preserve"> in July 1403</w:t>
      </w:r>
      <w:r w:rsidR="005D49B0">
        <w:t>.</w:t>
      </w:r>
      <w:r w:rsidR="006D3227">
        <w:rPr>
          <w:rStyle w:val="FootnoteReference"/>
        </w:rPr>
        <w:footnoteReference w:id="91"/>
      </w:r>
      <w:r w:rsidR="009237AC">
        <w:t xml:space="preserve"> </w:t>
      </w:r>
      <w:r w:rsidR="00883F53">
        <w:t xml:space="preserve">Henry IV’s pilgrimage was influenced by a number of factors; politically, there were fears of a Welsh invasion </w:t>
      </w:r>
      <w:r w:rsidR="00F618C4">
        <w:t>in</w:t>
      </w:r>
      <w:r w:rsidR="00883F53">
        <w:t xml:space="preserve"> the </w:t>
      </w:r>
      <w:r w:rsidR="003F288C">
        <w:t>n</w:t>
      </w:r>
      <w:r w:rsidR="00883F53">
        <w:t>orthern and middle</w:t>
      </w:r>
      <w:r w:rsidR="003F288C">
        <w:t xml:space="preserve"> March, </w:t>
      </w:r>
      <w:r w:rsidR="00475094">
        <w:t xml:space="preserve">the pilgrimage also gave thanks to Gwenfrewi for </w:t>
      </w:r>
      <w:r w:rsidR="008E2447">
        <w:t xml:space="preserve">his victory at her site of veneration, </w:t>
      </w:r>
      <w:r w:rsidR="003A5AC8">
        <w:t xml:space="preserve">and </w:t>
      </w:r>
      <w:r w:rsidR="00A064CA">
        <w:t>emphasis</w:t>
      </w:r>
      <w:r w:rsidR="003A5AC8">
        <w:t>ed</w:t>
      </w:r>
      <w:r w:rsidR="008E2447">
        <w:t xml:space="preserve"> her blessing on his </w:t>
      </w:r>
      <w:r w:rsidR="00A064CA">
        <w:t>victories in North Wales</w:t>
      </w:r>
      <w:r w:rsidR="00271F87">
        <w:t>.</w:t>
      </w:r>
      <w:r w:rsidR="00271F87">
        <w:rPr>
          <w:rStyle w:val="FootnoteReference"/>
        </w:rPr>
        <w:footnoteReference w:id="92"/>
      </w:r>
      <w:r w:rsidR="003A5AC8">
        <w:t xml:space="preserve"> </w:t>
      </w:r>
      <w:r w:rsidR="00271F87">
        <w:t xml:space="preserve">However, </w:t>
      </w:r>
      <w:r w:rsidR="005B0FF7">
        <w:t xml:space="preserve">Gwenfrewi was not just associated with the Royalist victory at Shrewsbury, but </w:t>
      </w:r>
      <w:r w:rsidR="003A5AC8">
        <w:t xml:space="preserve">also </w:t>
      </w:r>
      <w:r w:rsidR="00DB71BA">
        <w:t xml:space="preserve">with </w:t>
      </w:r>
      <w:r w:rsidR="003A5AC8">
        <w:t>s</w:t>
      </w:r>
      <w:r w:rsidR="00DB71BA">
        <w:t>aving the</w:t>
      </w:r>
      <w:r w:rsidR="003A5AC8">
        <w:t xml:space="preserve"> life of the</w:t>
      </w:r>
      <w:r w:rsidR="00DB71BA">
        <w:t xml:space="preserve"> king’s son from a</w:t>
      </w:r>
      <w:r w:rsidR="00A16A8B">
        <w:t xml:space="preserve">n almost </w:t>
      </w:r>
      <w:r w:rsidR="00DB71BA">
        <w:t>fatal arrow wound.</w:t>
      </w:r>
      <w:r w:rsidR="00146D17">
        <w:rPr>
          <w:rStyle w:val="FootnoteReference"/>
        </w:rPr>
        <w:footnoteReference w:id="93"/>
      </w:r>
      <w:r w:rsidR="00B56773">
        <w:t xml:space="preserve"> After this event, Henry and his followers </w:t>
      </w:r>
      <w:r w:rsidR="0094263E">
        <w:t xml:space="preserve">including his son began to openly </w:t>
      </w:r>
      <w:r w:rsidR="00E263F4">
        <w:t>venerate the saint</w:t>
      </w:r>
      <w:r w:rsidR="00C97A17">
        <w:t>, bringing her to the attention of a wider audience in England.</w:t>
      </w:r>
      <w:r w:rsidR="00C97A17">
        <w:rPr>
          <w:rStyle w:val="FootnoteReference"/>
        </w:rPr>
        <w:footnoteReference w:id="94"/>
      </w:r>
      <w:r w:rsidR="009F7D45">
        <w:t xml:space="preserve"> She received further veneration from Henry V </w:t>
      </w:r>
      <w:r w:rsidR="00381555">
        <w:t xml:space="preserve">in 1416 </w:t>
      </w:r>
      <w:r w:rsidR="00842108">
        <w:t xml:space="preserve">when </w:t>
      </w:r>
      <w:r w:rsidR="00381555">
        <w:t>after his victor</w:t>
      </w:r>
      <w:r w:rsidR="000C43D6">
        <w:t>ies in Agincourt and Harfleur,</w:t>
      </w:r>
      <w:r w:rsidR="00381555">
        <w:t xml:space="preserve"> </w:t>
      </w:r>
      <w:r w:rsidR="00842108">
        <w:t>he undertook</w:t>
      </w:r>
      <w:r w:rsidR="00381555">
        <w:t xml:space="preserve"> a pilgrimage from Shrewsbury to Holywell</w:t>
      </w:r>
      <w:r w:rsidR="000C43D6">
        <w:t>.</w:t>
      </w:r>
      <w:r w:rsidR="000C43D6">
        <w:rPr>
          <w:rStyle w:val="FootnoteReference"/>
        </w:rPr>
        <w:footnoteReference w:id="95"/>
      </w:r>
      <w:r w:rsidR="008D7747">
        <w:t xml:space="preserve"> This pilgrimage </w:t>
      </w:r>
      <w:r w:rsidR="00311A8E">
        <w:t xml:space="preserve">was possibly influenced by the large number of Welshmen in his army, </w:t>
      </w:r>
      <w:r w:rsidR="0074248C">
        <w:t xml:space="preserve">or </w:t>
      </w:r>
      <w:r w:rsidR="0044309F">
        <w:t xml:space="preserve">perhaps also related to the </w:t>
      </w:r>
      <w:r w:rsidR="00842108">
        <w:t xml:space="preserve">recent </w:t>
      </w:r>
      <w:r w:rsidR="0044309F">
        <w:t xml:space="preserve">defeat of </w:t>
      </w:r>
      <w:r w:rsidR="0044309F">
        <w:t xml:space="preserve">Glyn </w:t>
      </w:r>
      <w:proofErr w:type="spellStart"/>
      <w:r w:rsidR="0044309F" w:rsidRPr="007A4C61">
        <w:t>Dŵ</w:t>
      </w:r>
      <w:r w:rsidR="0044309F">
        <w:t>r</w:t>
      </w:r>
      <w:proofErr w:type="spellEnd"/>
      <w:r w:rsidR="0044309F">
        <w:t>.</w:t>
      </w:r>
      <w:r w:rsidR="0044309F">
        <w:rPr>
          <w:rStyle w:val="FootnoteReference"/>
        </w:rPr>
        <w:footnoteReference w:id="96"/>
      </w:r>
      <w:r w:rsidR="007173F6">
        <w:t xml:space="preserve"> It has been argued by scholars such as Lowry that </w:t>
      </w:r>
      <w:r w:rsidR="00097C3F">
        <w:t xml:space="preserve">Gwenfrewi offered the English a convenient means of </w:t>
      </w:r>
      <w:r w:rsidR="00CF494F">
        <w:t>“</w:t>
      </w:r>
      <w:r w:rsidR="00097C3F">
        <w:t>wooing Celtic sensibilities</w:t>
      </w:r>
      <w:r w:rsidR="00CF494F">
        <w:t>”</w:t>
      </w:r>
      <w:r w:rsidR="00097C3F">
        <w:t xml:space="preserve"> when it was </w:t>
      </w:r>
      <w:r w:rsidR="00842108">
        <w:t>required.</w:t>
      </w:r>
      <w:r w:rsidR="00097C3F">
        <w:rPr>
          <w:rStyle w:val="FootnoteReference"/>
        </w:rPr>
        <w:footnoteReference w:id="97"/>
      </w:r>
      <w:r w:rsidR="00CF494F">
        <w:t xml:space="preserve"> </w:t>
      </w:r>
      <w:r w:rsidR="0037722C">
        <w:t xml:space="preserve">Regardless of the reason however, the cult of Gwenfrewi exploded </w:t>
      </w:r>
      <w:r w:rsidR="00FB4605">
        <w:t>once again as s</w:t>
      </w:r>
      <w:r w:rsidR="00B371F7">
        <w:t>he was</w:t>
      </w:r>
      <w:r w:rsidR="00C40780">
        <w:t xml:space="preserve"> </w:t>
      </w:r>
      <w:r w:rsidR="00B371F7">
        <w:t>elevated</w:t>
      </w:r>
      <w:r w:rsidR="00F52E6E">
        <w:t xml:space="preserve"> </w:t>
      </w:r>
      <w:r w:rsidR="00CF0115">
        <w:t xml:space="preserve">once again </w:t>
      </w:r>
      <w:r w:rsidR="00B371F7">
        <w:t>to a saint of the see of Canterbury</w:t>
      </w:r>
      <w:r w:rsidR="00947D41">
        <w:t xml:space="preserve"> by archbishop </w:t>
      </w:r>
      <w:proofErr w:type="spellStart"/>
      <w:r w:rsidR="00947D41">
        <w:t>Chichele</w:t>
      </w:r>
      <w:proofErr w:type="spellEnd"/>
      <w:r w:rsidR="00947D41">
        <w:t xml:space="preserve"> of Canterbury</w:t>
      </w:r>
      <w:r w:rsidR="00487B23">
        <w:t xml:space="preserve"> a</w:t>
      </w:r>
      <w:r w:rsidR="00AF5E83">
        <w:t>nd</w:t>
      </w:r>
      <w:r w:rsidR="00CF0115">
        <w:t xml:space="preserve"> </w:t>
      </w:r>
      <w:r w:rsidR="00487B23">
        <w:t>former bishop of St. David’s</w:t>
      </w:r>
      <w:r w:rsidR="00CF0115">
        <w:t>,</w:t>
      </w:r>
      <w:r w:rsidR="00947D41">
        <w:t xml:space="preserve"> in 1415</w:t>
      </w:r>
      <w:r w:rsidR="004A628F">
        <w:t>,</w:t>
      </w:r>
      <w:r w:rsidR="00036EBA">
        <w:t xml:space="preserve"> who ordered that the feast days of Gwenfrew</w:t>
      </w:r>
      <w:r w:rsidR="00AF5E83">
        <w:t>i</w:t>
      </w:r>
      <w:r w:rsidR="00036EBA">
        <w:t xml:space="preserve"> and David</w:t>
      </w:r>
      <w:r w:rsidR="006042CC">
        <w:t xml:space="preserve"> should be celebrated </w:t>
      </w:r>
      <w:r w:rsidR="006042CC">
        <w:rPr>
          <w:i/>
          <w:iCs/>
        </w:rPr>
        <w:t>cum regime choro</w:t>
      </w:r>
      <w:r w:rsidR="00947D41">
        <w:t>.</w:t>
      </w:r>
      <w:r w:rsidR="00FB4605">
        <w:rPr>
          <w:rStyle w:val="FootnoteReference"/>
        </w:rPr>
        <w:footnoteReference w:id="98"/>
      </w:r>
      <w:r w:rsidR="00FB4605">
        <w:t xml:space="preserve"> </w:t>
      </w:r>
      <w:r w:rsidR="00393F9B">
        <w:t xml:space="preserve">In 1452, the </w:t>
      </w:r>
      <w:r w:rsidR="00164CB3">
        <w:t>bishop of Salisbury even protested how he could not afford the number of candles needed for the occasion.</w:t>
      </w:r>
      <w:r w:rsidR="0087297E">
        <w:rPr>
          <w:rStyle w:val="FootnoteReference"/>
        </w:rPr>
        <w:footnoteReference w:id="99"/>
      </w:r>
      <w:r w:rsidR="00164CB3">
        <w:t xml:space="preserve"> </w:t>
      </w:r>
      <w:r w:rsidR="00FB4605">
        <w:t xml:space="preserve">Her saintly status </w:t>
      </w:r>
      <w:r w:rsidR="00D840DA">
        <w:t xml:space="preserve">also </w:t>
      </w:r>
      <w:r w:rsidR="00FB4605">
        <w:t xml:space="preserve">became ratified by </w:t>
      </w:r>
      <w:r w:rsidR="00D840DA">
        <w:t>Pope Martin V in 1427 when he issued indulgences to those visiting her shrine</w:t>
      </w:r>
      <w:r w:rsidR="00F46A48">
        <w:t>, leading to further pilgrimage.</w:t>
      </w:r>
      <w:r w:rsidR="00F46A48">
        <w:rPr>
          <w:rStyle w:val="FootnoteReference"/>
        </w:rPr>
        <w:footnoteReference w:id="100"/>
      </w:r>
      <w:r w:rsidR="00393F9B">
        <w:t xml:space="preserve"> </w:t>
      </w:r>
      <w:r w:rsidR="00E9308E">
        <w:t>Over the course of the 15</w:t>
      </w:r>
      <w:r w:rsidR="00E9308E" w:rsidRPr="00E9308E">
        <w:rPr>
          <w:vertAlign w:val="superscript"/>
        </w:rPr>
        <w:t>th</w:t>
      </w:r>
      <w:r w:rsidR="00E9308E">
        <w:t xml:space="preserve"> century</w:t>
      </w:r>
      <w:r w:rsidR="007F6B82">
        <w:t xml:space="preserve">, </w:t>
      </w:r>
      <w:r w:rsidR="00E831A2">
        <w:t>there are numerous middle English translations written and disseminated</w:t>
      </w:r>
      <w:r w:rsidR="006A4E27">
        <w:t>. Her</w:t>
      </w:r>
      <w:r w:rsidR="006A4E27" w:rsidRPr="00893506">
        <w:rPr>
          <w:i/>
          <w:iCs/>
        </w:rPr>
        <w:t xml:space="preserve"> </w:t>
      </w:r>
      <w:proofErr w:type="spellStart"/>
      <w:r w:rsidR="00D1163B" w:rsidRPr="00893506">
        <w:rPr>
          <w:i/>
          <w:iCs/>
        </w:rPr>
        <w:t>lyf</w:t>
      </w:r>
      <w:proofErr w:type="spellEnd"/>
      <w:r w:rsidR="006A4E27">
        <w:t xml:space="preserve"> </w:t>
      </w:r>
      <w:r w:rsidR="00702B0B">
        <w:t xml:space="preserve">is included in </w:t>
      </w:r>
      <w:r w:rsidR="00027EB8">
        <w:t xml:space="preserve">the </w:t>
      </w:r>
      <w:proofErr w:type="spellStart"/>
      <w:r w:rsidR="00027EB8">
        <w:rPr>
          <w:i/>
          <w:iCs/>
        </w:rPr>
        <w:t>Gilte</w:t>
      </w:r>
      <w:proofErr w:type="spellEnd"/>
      <w:r w:rsidR="00027EB8">
        <w:rPr>
          <w:i/>
          <w:iCs/>
        </w:rPr>
        <w:t xml:space="preserve"> </w:t>
      </w:r>
      <w:proofErr w:type="spellStart"/>
      <w:r w:rsidR="00027EB8">
        <w:rPr>
          <w:i/>
          <w:iCs/>
        </w:rPr>
        <w:t>Legende</w:t>
      </w:r>
      <w:proofErr w:type="spellEnd"/>
      <w:r w:rsidR="00027EB8">
        <w:t xml:space="preserve"> </w:t>
      </w:r>
      <w:proofErr w:type="spellStart"/>
      <w:r w:rsidR="00027EB8">
        <w:t>witten</w:t>
      </w:r>
      <w:proofErr w:type="spellEnd"/>
      <w:r w:rsidR="00027EB8">
        <w:t xml:space="preserve"> in 1438</w:t>
      </w:r>
      <w:r w:rsidR="00ED6D93">
        <w:t xml:space="preserve">, and William Caxton’s printed edition of the </w:t>
      </w:r>
      <w:r w:rsidR="00ED6D93" w:rsidRPr="004F017F">
        <w:rPr>
          <w:i/>
          <w:iCs/>
        </w:rPr>
        <w:t>Golden Legend</w:t>
      </w:r>
      <w:r w:rsidR="00823599">
        <w:t xml:space="preserve"> in 1483</w:t>
      </w:r>
      <w:r w:rsidR="004F017F">
        <w:t xml:space="preserve">, she is also included I some versions of the </w:t>
      </w:r>
      <w:r w:rsidR="004F017F">
        <w:rPr>
          <w:i/>
          <w:iCs/>
        </w:rPr>
        <w:t>South English Legendary</w:t>
      </w:r>
      <w:r w:rsidR="004F017F">
        <w:t xml:space="preserve"> </w:t>
      </w:r>
      <w:r w:rsidR="00F80750">
        <w:t>in wide circulation from the late 13</w:t>
      </w:r>
      <w:r w:rsidR="00F80750" w:rsidRPr="00F80750">
        <w:rPr>
          <w:vertAlign w:val="superscript"/>
        </w:rPr>
        <w:t>th</w:t>
      </w:r>
      <w:r w:rsidR="00F80750">
        <w:t xml:space="preserve"> century</w:t>
      </w:r>
      <w:r w:rsidR="00823599">
        <w:t>.</w:t>
      </w:r>
      <w:r w:rsidR="00823599">
        <w:rPr>
          <w:rStyle w:val="FootnoteReference"/>
        </w:rPr>
        <w:footnoteReference w:id="101"/>
      </w:r>
      <w:r w:rsidR="00BC5366">
        <w:t xml:space="preserve"> </w:t>
      </w:r>
      <w:r w:rsidR="00D1163B">
        <w:t xml:space="preserve"> These versions are again broadly translations of the 12</w:t>
      </w:r>
      <w:r w:rsidR="00D1163B" w:rsidRPr="00D1163B">
        <w:rPr>
          <w:vertAlign w:val="superscript"/>
        </w:rPr>
        <w:t>th</w:t>
      </w:r>
      <w:r w:rsidR="00D1163B">
        <w:t xml:space="preserve"> century lives, but they make stress of particular details and include</w:t>
      </w:r>
      <w:r w:rsidR="00BE0146">
        <w:t xml:space="preserve"> new pieces of information.</w:t>
      </w:r>
      <w:r w:rsidR="00893506">
        <w:t xml:space="preserve"> </w:t>
      </w:r>
      <w:r w:rsidR="00BE0146">
        <w:t>Caxton</w:t>
      </w:r>
      <w:r w:rsidR="00893506">
        <w:t xml:space="preserve">’s </w:t>
      </w:r>
      <w:proofErr w:type="spellStart"/>
      <w:r w:rsidR="00444DD4">
        <w:rPr>
          <w:i/>
          <w:iCs/>
        </w:rPr>
        <w:t>lyf</w:t>
      </w:r>
      <w:proofErr w:type="spellEnd"/>
      <w:r w:rsidR="00444DD4">
        <w:rPr>
          <w:i/>
          <w:iCs/>
        </w:rPr>
        <w:t xml:space="preserve"> </w:t>
      </w:r>
      <w:r w:rsidR="00444DD4">
        <w:t>for example, makes</w:t>
      </w:r>
      <w:r w:rsidR="000825E4">
        <w:t xml:space="preserve"> particular reference for example to </w:t>
      </w:r>
      <w:r w:rsidR="00F028E0">
        <w:t>an English well of Gwenfrewi</w:t>
      </w:r>
      <w:r w:rsidR="00636611">
        <w:t xml:space="preserve"> at Woolston, where prior Robert and his company washed her relics.</w:t>
      </w:r>
      <w:r w:rsidR="005A1370">
        <w:rPr>
          <w:rStyle w:val="FootnoteReference"/>
        </w:rPr>
        <w:footnoteReference w:id="102"/>
      </w:r>
      <w:r w:rsidR="00E66D85">
        <w:t xml:space="preserve"> His text in general focuses on her English cult rather than her Welsh one, going </w:t>
      </w:r>
      <w:r w:rsidR="00E66D85">
        <w:lastRenderedPageBreak/>
        <w:t xml:space="preserve">as </w:t>
      </w:r>
      <w:r w:rsidR="00DF0DA9">
        <w:t xml:space="preserve">far as to claim Beuno was “a monk in the said </w:t>
      </w:r>
      <w:proofErr w:type="spellStart"/>
      <w:r w:rsidR="00DF0DA9">
        <w:t>Englond</w:t>
      </w:r>
      <w:proofErr w:type="spellEnd"/>
      <w:r w:rsidR="00DF0DA9">
        <w:t>”.</w:t>
      </w:r>
      <w:r w:rsidR="00DF0DA9">
        <w:rPr>
          <w:rStyle w:val="FootnoteReference"/>
        </w:rPr>
        <w:footnoteReference w:id="103"/>
      </w:r>
      <w:r w:rsidR="00DF0DA9">
        <w:t xml:space="preserve"> However it was not just in England that the cult of Gwenfrewi thrived, </w:t>
      </w:r>
      <w:r w:rsidR="00E543DA">
        <w:t>Holywell and Wales w</w:t>
      </w:r>
      <w:r w:rsidR="00F72672">
        <w:t>ere</w:t>
      </w:r>
      <w:r w:rsidR="00E543DA">
        <w:t xml:space="preserve"> directly affected by her veneration</w:t>
      </w:r>
      <w:r w:rsidR="00F72672">
        <w:t xml:space="preserve"> across the border,</w:t>
      </w:r>
      <w:r w:rsidR="00E543DA">
        <w:t xml:space="preserve"> </w:t>
      </w:r>
      <w:r w:rsidR="00180B8F">
        <w:t xml:space="preserve">and it is from this period that her Welsh </w:t>
      </w:r>
      <w:r w:rsidR="00F72672">
        <w:rPr>
          <w:i/>
          <w:iCs/>
        </w:rPr>
        <w:t xml:space="preserve">buchedd </w:t>
      </w:r>
      <w:r w:rsidR="00F72672">
        <w:t>survives</w:t>
      </w:r>
      <w:r w:rsidR="00B33CFB">
        <w:t>.</w:t>
      </w:r>
      <w:r w:rsidR="001E5671">
        <w:t xml:space="preserve"> </w:t>
      </w:r>
    </w:p>
    <w:p w14:paraId="078E78C9" w14:textId="77777777" w:rsidR="004E415F" w:rsidRDefault="004E415F" w:rsidP="007F6B82">
      <w:pPr>
        <w:ind w:firstLine="720"/>
      </w:pPr>
    </w:p>
    <w:p w14:paraId="0C7A0518" w14:textId="56084998" w:rsidR="00071C44" w:rsidRDefault="0086517E" w:rsidP="00071C44">
      <w:pPr>
        <w:ind w:firstLine="720"/>
      </w:pPr>
      <w:r>
        <w:t>The Welsh life of Gwenfrewi remains understudied save for the excellent work of Jane Cartwright.</w:t>
      </w:r>
      <w:r>
        <w:rPr>
          <w:rStyle w:val="FootnoteReference"/>
        </w:rPr>
        <w:footnoteReference w:id="104"/>
      </w:r>
      <w:r>
        <w:t xml:space="preserve"> </w:t>
      </w:r>
      <w:r w:rsidR="00301972">
        <w:t xml:space="preserve">The </w:t>
      </w:r>
      <w:r w:rsidR="008F68F7">
        <w:t xml:space="preserve">buchedd survives </w:t>
      </w:r>
      <w:r w:rsidR="004D6D79">
        <w:t>in a number of manuscripts</w:t>
      </w:r>
      <w:r w:rsidR="00E61D71">
        <w:t xml:space="preserve"> all of a North Walian origin</w:t>
      </w:r>
      <w:r w:rsidR="007775CF">
        <w:t>,</w:t>
      </w:r>
      <w:r w:rsidR="00E61D71">
        <w:t xml:space="preserve"> and</w:t>
      </w:r>
      <w:r w:rsidR="007775CF">
        <w:t xml:space="preserve"> </w:t>
      </w:r>
      <w:r w:rsidR="00F04901">
        <w:t>derived from Robert</w:t>
      </w:r>
      <w:r w:rsidR="00E61D71">
        <w:t xml:space="preserve"> Pennant’s</w:t>
      </w:r>
      <w:r w:rsidR="00F04901">
        <w:t xml:space="preserve"> </w:t>
      </w:r>
      <w:r w:rsidR="00F04901" w:rsidRPr="00E61D71">
        <w:rPr>
          <w:i/>
          <w:iCs/>
        </w:rPr>
        <w:t>vita</w:t>
      </w:r>
      <w:r w:rsidR="00FA1210">
        <w:rPr>
          <w:i/>
          <w:iCs/>
        </w:rPr>
        <w:t xml:space="preserve">. </w:t>
      </w:r>
      <w:r w:rsidR="00FA1210">
        <w:t>T</w:t>
      </w:r>
      <w:r w:rsidR="007775CF" w:rsidRPr="00F04901">
        <w:t>he</w:t>
      </w:r>
      <w:r w:rsidR="007775CF">
        <w:t xml:space="preserve"> earliest</w:t>
      </w:r>
      <w:r w:rsidR="0066370A">
        <w:t xml:space="preserve"> of these manuscripts is</w:t>
      </w:r>
      <w:r w:rsidR="007775CF">
        <w:t xml:space="preserve"> Pen 27ii.</w:t>
      </w:r>
      <w:r w:rsidR="007775CF">
        <w:rPr>
          <w:rStyle w:val="FootnoteReference"/>
        </w:rPr>
        <w:footnoteReference w:id="105"/>
      </w:r>
      <w:r w:rsidR="008F68F7">
        <w:t xml:space="preserve"> </w:t>
      </w:r>
      <w:r w:rsidR="005F7400">
        <w:t xml:space="preserve">Although </w:t>
      </w:r>
      <w:r w:rsidR="00CE29AA">
        <w:t xml:space="preserve">they generally </w:t>
      </w:r>
      <w:r w:rsidR="00563032">
        <w:t>show</w:t>
      </w:r>
      <w:r w:rsidR="00CE29AA">
        <w:t xml:space="preserve"> a ten</w:t>
      </w:r>
      <w:r w:rsidR="00B30E6F">
        <w:t>d</w:t>
      </w:r>
      <w:r w:rsidR="008F2552">
        <w:t xml:space="preserve">ency to summarise, </w:t>
      </w:r>
      <w:r w:rsidR="005B196E">
        <w:t>in all three of the Welsh manuscripts, the writer chooses to elaborate</w:t>
      </w:r>
      <w:r w:rsidR="00B30E6F">
        <w:t xml:space="preserve"> on the Latin description of Beuno.</w:t>
      </w:r>
      <w:r w:rsidR="00B30E6F">
        <w:rPr>
          <w:rStyle w:val="FootnoteReference"/>
        </w:rPr>
        <w:footnoteReference w:id="106"/>
      </w:r>
      <w:r w:rsidR="00F4205F">
        <w:t xml:space="preserve"> </w:t>
      </w:r>
      <w:r w:rsidR="0076397B">
        <w:t xml:space="preserve">Over the </w:t>
      </w:r>
      <w:r w:rsidR="00DB7443">
        <w:t>15</w:t>
      </w:r>
      <w:r w:rsidR="00DB7443" w:rsidRPr="00DB7443">
        <w:rPr>
          <w:vertAlign w:val="superscript"/>
        </w:rPr>
        <w:t>th</w:t>
      </w:r>
      <w:r w:rsidR="00DB7443">
        <w:t xml:space="preserve"> and 16</w:t>
      </w:r>
      <w:r w:rsidR="00DB7443" w:rsidRPr="00DB7443">
        <w:rPr>
          <w:vertAlign w:val="superscript"/>
        </w:rPr>
        <w:t>th</w:t>
      </w:r>
      <w:r w:rsidR="00DB7443">
        <w:t xml:space="preserve"> centuries, Gwenfrewi’s cult flourishes in </w:t>
      </w:r>
      <w:r w:rsidR="00FA1210">
        <w:t>Wales</w:t>
      </w:r>
      <w:r w:rsidR="00DB7443">
        <w:t xml:space="preserve">, poems devoted to her can be found in the writings of </w:t>
      </w:r>
      <w:proofErr w:type="spellStart"/>
      <w:r w:rsidR="00DB7443">
        <w:t>Iuean</w:t>
      </w:r>
      <w:proofErr w:type="spellEnd"/>
      <w:r w:rsidR="00DB7443">
        <w:t xml:space="preserve"> </w:t>
      </w:r>
      <w:proofErr w:type="spellStart"/>
      <w:r w:rsidR="00DB7443">
        <w:t>Bydydd</w:t>
      </w:r>
      <w:proofErr w:type="spellEnd"/>
      <w:r w:rsidR="00DB7443">
        <w:t xml:space="preserve"> Hir (</w:t>
      </w:r>
      <w:r w:rsidR="006119B1" w:rsidRPr="006119B1">
        <w:rPr>
          <w:i/>
          <w:iCs/>
        </w:rPr>
        <w:t>fl.</w:t>
      </w:r>
      <w:r w:rsidR="00271E73">
        <w:t>1450-85)</w:t>
      </w:r>
      <w:r w:rsidR="006119B1">
        <w:t xml:space="preserve">, Tudur Aled </w:t>
      </w:r>
      <w:r w:rsidR="007956C1">
        <w:t>(1460</w:t>
      </w:r>
      <w:r w:rsidR="008A6020">
        <w:t xml:space="preserve">-1532), </w:t>
      </w:r>
      <w:proofErr w:type="spellStart"/>
      <w:r w:rsidR="008A6020">
        <w:t>Siôn</w:t>
      </w:r>
      <w:proofErr w:type="spellEnd"/>
      <w:r w:rsidR="008A6020">
        <w:t xml:space="preserve"> ap Hywel ap </w:t>
      </w:r>
      <w:proofErr w:type="spellStart"/>
      <w:r w:rsidR="008A6020">
        <w:t>Llywelyn</w:t>
      </w:r>
      <w:proofErr w:type="spellEnd"/>
      <w:r w:rsidR="008A6020">
        <w:t xml:space="preserve"> </w:t>
      </w:r>
      <w:proofErr w:type="spellStart"/>
      <w:r w:rsidR="008A6020">
        <w:t>Fychan</w:t>
      </w:r>
      <w:proofErr w:type="spellEnd"/>
      <w:r w:rsidR="008A6020">
        <w:t xml:space="preserve"> (fl. 1490-1532)</w:t>
      </w:r>
      <w:r w:rsidR="008A6020">
        <w:t>, and t</w:t>
      </w:r>
      <w:r w:rsidR="008A6020">
        <w:t xml:space="preserve">wo medieval </w:t>
      </w:r>
      <w:proofErr w:type="spellStart"/>
      <w:r w:rsidR="008A6020">
        <w:t>welsh</w:t>
      </w:r>
      <w:proofErr w:type="spellEnd"/>
      <w:r w:rsidR="008A6020">
        <w:t xml:space="preserve"> </w:t>
      </w:r>
      <w:proofErr w:type="spellStart"/>
      <w:r w:rsidR="008A6020" w:rsidRPr="008A6020">
        <w:rPr>
          <w:i/>
          <w:iCs/>
        </w:rPr>
        <w:t>cywyddau</w:t>
      </w:r>
      <w:proofErr w:type="spellEnd"/>
      <w:r w:rsidR="008A6020">
        <w:t xml:space="preserve"> without authorship</w:t>
      </w:r>
      <w:r w:rsidR="008A6020">
        <w:t>.</w:t>
      </w:r>
      <w:r w:rsidR="00855CDB">
        <w:rPr>
          <w:rStyle w:val="FootnoteReference"/>
        </w:rPr>
        <w:footnoteReference w:id="107"/>
      </w:r>
      <w:r w:rsidR="00501583">
        <w:t xml:space="preserve"> </w:t>
      </w:r>
      <w:r w:rsidR="005E6EB4">
        <w:t>The poems do not adhere strictly to the life and demonstrate a slightly more fluid</w:t>
      </w:r>
      <w:r w:rsidR="006E1201">
        <w:t xml:space="preserve"> understanding of the</w:t>
      </w:r>
      <w:r w:rsidR="00CB22F5">
        <w:t xml:space="preserve"> story </w:t>
      </w:r>
      <w:r w:rsidR="006E1201">
        <w:t>of Gwenfrewi. For example</w:t>
      </w:r>
      <w:r w:rsidR="007F31FC">
        <w:t>,</w:t>
      </w:r>
      <w:r w:rsidR="006E1201">
        <w:t xml:space="preserve"> </w:t>
      </w:r>
      <w:r w:rsidR="003767DF">
        <w:t xml:space="preserve">Tudur Aled describes the scar on Gwenfrewi’s neck as </w:t>
      </w:r>
      <w:r w:rsidR="00227358">
        <w:t xml:space="preserve">“a crimson thread” rather than the traditional white mark that gives </w:t>
      </w:r>
      <w:r w:rsidR="00E63E6B">
        <w:t>the saint</w:t>
      </w:r>
      <w:r w:rsidR="00227358">
        <w:t xml:space="preserve"> her name.</w:t>
      </w:r>
      <w:r w:rsidR="00F920DD">
        <w:rPr>
          <w:rStyle w:val="FootnoteReference"/>
        </w:rPr>
        <w:footnoteReference w:id="108"/>
      </w:r>
      <w:r w:rsidR="00C30205">
        <w:t xml:space="preserve"> </w:t>
      </w:r>
      <w:r w:rsidR="00195C49">
        <w:t xml:space="preserve">Many of the </w:t>
      </w:r>
      <w:proofErr w:type="gramStart"/>
      <w:r w:rsidR="00360B1F">
        <w:t>poems</w:t>
      </w:r>
      <w:proofErr w:type="gramEnd"/>
      <w:r w:rsidR="00195C49">
        <w:t xml:space="preserve"> cen</w:t>
      </w:r>
      <w:r w:rsidR="00CB47D8">
        <w:t>tre</w:t>
      </w:r>
      <w:r w:rsidR="00195C49">
        <w:t xml:space="preserve"> on </w:t>
      </w:r>
      <w:r w:rsidR="00CB47D8">
        <w:t xml:space="preserve">the site of </w:t>
      </w:r>
      <w:r w:rsidR="00195C49">
        <w:t>Holywell,</w:t>
      </w:r>
      <w:r w:rsidR="009512B3">
        <w:t xml:space="preserve"> </w:t>
      </w:r>
      <w:r w:rsidR="00211CC4">
        <w:t>in an anonymous cywydd translated by Barry J. Lewis, the poet</w:t>
      </w:r>
      <w:r w:rsidR="006D2848">
        <w:t xml:space="preserve"> tells us of the numbers of pilgrims who come to her well for healing. </w:t>
      </w:r>
    </w:p>
    <w:p w14:paraId="7D7BAD15" w14:textId="77777777" w:rsidR="00071C44" w:rsidRDefault="00071C44" w:rsidP="00071C44">
      <w:pPr>
        <w:ind w:firstLine="720"/>
      </w:pPr>
    </w:p>
    <w:p w14:paraId="3BFA72F5" w14:textId="458B2569" w:rsidR="00071C44" w:rsidRDefault="00071C44" w:rsidP="00071C44">
      <w:pPr>
        <w:ind w:firstLine="720"/>
      </w:pPr>
      <w:r>
        <w:t>“</w:t>
      </w:r>
      <w:r w:rsidR="002902D6">
        <w:t>If there are sick and lame men,</w:t>
      </w:r>
    </w:p>
    <w:p w14:paraId="2269218A" w14:textId="6CE7F07B" w:rsidR="002902D6" w:rsidRDefault="002902D6" w:rsidP="00071C44">
      <w:pPr>
        <w:ind w:firstLine="720"/>
      </w:pPr>
      <w:r>
        <w:t>She satisfies them with joy</w:t>
      </w:r>
      <w:r w:rsidR="00565A1C">
        <w:t>.</w:t>
      </w:r>
    </w:p>
    <w:p w14:paraId="6BCC5825" w14:textId="5B4D742F" w:rsidR="00565A1C" w:rsidRDefault="00565A1C" w:rsidP="00071C44">
      <w:pPr>
        <w:ind w:firstLine="720"/>
      </w:pPr>
      <w:r>
        <w:t>Fortunately, from every count</w:t>
      </w:r>
      <w:r w:rsidR="0071368B">
        <w:t>ry,</w:t>
      </w:r>
    </w:p>
    <w:p w14:paraId="53A99D28" w14:textId="1B8B53AB" w:rsidR="0071368B" w:rsidRDefault="0071368B" w:rsidP="00071C44">
      <w:pPr>
        <w:ind w:firstLine="720"/>
      </w:pPr>
      <w:r>
        <w:t>They come on their twos to the well.</w:t>
      </w:r>
    </w:p>
    <w:p w14:paraId="24804DE7" w14:textId="594076D6" w:rsidR="00C92DF3" w:rsidRDefault="00D556CE" w:rsidP="00C92DF3">
      <w:pPr>
        <w:ind w:firstLine="720"/>
      </w:pPr>
      <w:r>
        <w:t xml:space="preserve">In their two </w:t>
      </w:r>
      <w:proofErr w:type="gramStart"/>
      <w:r>
        <w:t>thousands</w:t>
      </w:r>
      <w:proofErr w:type="gramEnd"/>
      <w:r>
        <w:t xml:space="preserve"> they steadfastly come </w:t>
      </w:r>
    </w:p>
    <w:p w14:paraId="5D0528C9" w14:textId="19E116CB" w:rsidR="00C92DF3" w:rsidRDefault="00C92DF3" w:rsidP="00C92DF3">
      <w:pPr>
        <w:ind w:firstLine="720"/>
      </w:pPr>
      <w:r>
        <w:t>For prosperity, all to the well,</w:t>
      </w:r>
    </w:p>
    <w:p w14:paraId="4D11FA2F" w14:textId="44FF6E88" w:rsidR="00C92DF3" w:rsidRDefault="00C92DF3" w:rsidP="00C92DF3">
      <w:pPr>
        <w:ind w:firstLine="720"/>
      </w:pPr>
      <w:r>
        <w:t>To savour the pure wine which is a miracle</w:t>
      </w:r>
    </w:p>
    <w:p w14:paraId="18BF2B9A" w14:textId="52BDEB86" w:rsidR="00F3661C" w:rsidRDefault="00F3661C" w:rsidP="00C92DF3">
      <w:pPr>
        <w:ind w:firstLine="720"/>
      </w:pPr>
      <w:r>
        <w:t>With its taste far better than wine.”</w:t>
      </w:r>
      <w:r w:rsidR="00065893">
        <w:rPr>
          <w:rStyle w:val="FootnoteReference"/>
        </w:rPr>
        <w:footnoteReference w:id="109"/>
      </w:r>
    </w:p>
    <w:p w14:paraId="0D6E8DAF" w14:textId="77777777" w:rsidR="008C7FD9" w:rsidRDefault="008C7FD9" w:rsidP="00C92DF3">
      <w:pPr>
        <w:ind w:firstLine="720"/>
      </w:pPr>
    </w:p>
    <w:p w14:paraId="784CA5E6" w14:textId="755F53CD" w:rsidR="006E23EF" w:rsidRDefault="008C7FD9" w:rsidP="008C7FD9">
      <w:r>
        <w:t>It is clear from this poem how popular the site of Holywell was in this period</w:t>
      </w:r>
      <w:r w:rsidR="008E4163">
        <w:t xml:space="preserve">, not just in Wales, but in England, and potentially even further afield. </w:t>
      </w:r>
      <w:r w:rsidR="009D10DD">
        <w:t xml:space="preserve">It is no surprise then that Holywell received </w:t>
      </w:r>
      <w:r w:rsidR="00AC6CA8">
        <w:t xml:space="preserve">such patronage. </w:t>
      </w:r>
      <w:r w:rsidR="00B125D5">
        <w:t>The</w:t>
      </w:r>
      <w:r w:rsidR="00821B1A">
        <w:t xml:space="preserve"> late 15</w:t>
      </w:r>
      <w:r w:rsidR="00821B1A" w:rsidRPr="00821B1A">
        <w:rPr>
          <w:vertAlign w:val="superscript"/>
        </w:rPr>
        <w:t>th</w:t>
      </w:r>
      <w:r w:rsidR="00821B1A">
        <w:t xml:space="preserve"> century well chapel at Holywell has frequently been attributed to Margaret Beaufort, who also financed a publication of the</w:t>
      </w:r>
      <w:r w:rsidR="00FF1832">
        <w:t xml:space="preserve"> saint’s life.</w:t>
      </w:r>
      <w:r w:rsidR="00FF1832">
        <w:rPr>
          <w:rStyle w:val="FootnoteReference"/>
        </w:rPr>
        <w:footnoteReference w:id="110"/>
      </w:r>
      <w:r w:rsidR="00FF1832">
        <w:t xml:space="preserve"> It seems unlikely </w:t>
      </w:r>
      <w:r w:rsidR="00D004CD">
        <w:t xml:space="preserve">though </w:t>
      </w:r>
      <w:r w:rsidR="00FF1832">
        <w:t>that th</w:t>
      </w:r>
      <w:r w:rsidR="0082184A">
        <w:t>is attribution is correct</w:t>
      </w:r>
      <w:r w:rsidR="00D004CD">
        <w:t xml:space="preserve"> as the</w:t>
      </w:r>
      <w:r w:rsidR="0082184A">
        <w:t xml:space="preserve"> </w:t>
      </w:r>
      <w:r w:rsidR="00D004CD">
        <w:t>a</w:t>
      </w:r>
      <w:r w:rsidR="0082184A">
        <w:t>bbot of Basingwerk (1481-1522) Thomas Pennant</w:t>
      </w:r>
      <w:r w:rsidR="007C383B">
        <w:t>, is praised in Welsh poetry for erecting the structure</w:t>
      </w:r>
      <w:r w:rsidR="00B4075E">
        <w:t>.</w:t>
      </w:r>
      <w:r w:rsidR="00B4075E">
        <w:rPr>
          <w:rStyle w:val="FootnoteReference"/>
        </w:rPr>
        <w:footnoteReference w:id="111"/>
      </w:r>
      <w:r w:rsidR="0023453C">
        <w:t xml:space="preserve"> </w:t>
      </w:r>
      <w:r w:rsidR="00B4747A">
        <w:t>Regardles</w:t>
      </w:r>
      <w:r w:rsidR="008B5818">
        <w:t xml:space="preserve">s, </w:t>
      </w:r>
      <w:r w:rsidR="005A097B">
        <w:t>Holywell maintained the attention</w:t>
      </w:r>
      <w:r w:rsidR="00512846">
        <w:t xml:space="preserve"> of the nobility through to the 16</w:t>
      </w:r>
      <w:r w:rsidR="00512846" w:rsidRPr="00512846">
        <w:rPr>
          <w:vertAlign w:val="superscript"/>
        </w:rPr>
        <w:t>th</w:t>
      </w:r>
      <w:r w:rsidR="00512846">
        <w:t xml:space="preserve"> centur</w:t>
      </w:r>
      <w:r w:rsidR="00821309">
        <w:t xml:space="preserve">y. Edwards IV </w:t>
      </w:r>
      <w:r w:rsidR="00C50081">
        <w:t>made a pilgrimage to the site, and Richard III</w:t>
      </w:r>
      <w:r w:rsidR="00DF6343">
        <w:t xml:space="preserve"> granted an annuity to the Abbot of Basingwer</w:t>
      </w:r>
      <w:r w:rsidR="00077D35">
        <w:t>k</w:t>
      </w:r>
      <w:r w:rsidR="00DF6343">
        <w:t>, a fund held in place by Henry VII</w:t>
      </w:r>
      <w:r w:rsidR="00DD21C2">
        <w:t xml:space="preserve"> and Henry VIII.</w:t>
      </w:r>
      <w:r w:rsidR="00DD21C2">
        <w:rPr>
          <w:rStyle w:val="FootnoteReference"/>
        </w:rPr>
        <w:footnoteReference w:id="112"/>
      </w:r>
      <w:r w:rsidR="00DF6343">
        <w:t xml:space="preserve"> </w:t>
      </w:r>
      <w:r w:rsidR="00B13E90">
        <w:t xml:space="preserve">despite </w:t>
      </w:r>
      <w:r w:rsidR="00077D35">
        <w:t xml:space="preserve">the </w:t>
      </w:r>
      <w:r w:rsidR="00B13E90">
        <w:t xml:space="preserve">presence of her relics in </w:t>
      </w:r>
      <w:r w:rsidR="00B13E90">
        <w:lastRenderedPageBreak/>
        <w:t xml:space="preserve">Shrewsbury, the </w:t>
      </w:r>
      <w:r w:rsidR="00077D35">
        <w:t>English crown</w:t>
      </w:r>
      <w:r w:rsidR="00B13E90">
        <w:t xml:space="preserve"> clearly</w:t>
      </w:r>
      <w:r w:rsidR="00077D35">
        <w:t xml:space="preserve"> never lost sight of Holywell</w:t>
      </w:r>
      <w:r w:rsidR="00B13E90">
        <w:t>.</w:t>
      </w:r>
      <w:r w:rsidR="00B13E90">
        <w:rPr>
          <w:rStyle w:val="FootnoteReference"/>
        </w:rPr>
        <w:footnoteReference w:id="113"/>
      </w:r>
      <w:r w:rsidR="00352817">
        <w:t xml:space="preserve"> Henry VII, son</w:t>
      </w:r>
      <w:r w:rsidR="0095523F">
        <w:t xml:space="preserve"> of </w:t>
      </w:r>
      <w:r w:rsidR="00352817">
        <w:t xml:space="preserve">Margaret Beaufort, </w:t>
      </w:r>
      <w:r w:rsidR="0095523F">
        <w:t>built a statue to Gwenfrewi</w:t>
      </w:r>
      <w:r w:rsidR="005845F8">
        <w:t xml:space="preserve"> in his lady chapel at Westminster abbey</w:t>
      </w:r>
      <w:r w:rsidR="00E160D2">
        <w:t>.</w:t>
      </w:r>
      <w:r w:rsidR="00E160D2">
        <w:rPr>
          <w:rStyle w:val="FootnoteReference"/>
        </w:rPr>
        <w:footnoteReference w:id="114"/>
      </w:r>
      <w:r w:rsidR="00E75F7D">
        <w:t xml:space="preserve"> As a Welsh</w:t>
      </w:r>
      <w:r w:rsidR="00A80F17">
        <w:t xml:space="preserve"> born king of England, the figure of Gwenfrewi was potentially a uniting one and symbolic of his </w:t>
      </w:r>
      <w:r w:rsidR="000B767A">
        <w:t>reign.</w:t>
      </w:r>
      <w:r w:rsidR="00710A55">
        <w:t xml:space="preserve"> </w:t>
      </w:r>
      <w:r w:rsidR="00D06ED6">
        <w:t xml:space="preserve">Her cult also </w:t>
      </w:r>
      <w:r w:rsidR="00916D16">
        <w:t>never lost the popular attention, a</w:t>
      </w:r>
      <w:r w:rsidR="00710A55">
        <w:t xml:space="preserve"> passage from Cardiff MS. 50 </w:t>
      </w:r>
      <w:r w:rsidR="007E010E">
        <w:t xml:space="preserve">records a </w:t>
      </w:r>
      <w:r w:rsidR="003B0C73">
        <w:t>16</w:t>
      </w:r>
      <w:r w:rsidR="003B0C73" w:rsidRPr="003B0C73">
        <w:rPr>
          <w:vertAlign w:val="superscript"/>
        </w:rPr>
        <w:t>th</w:t>
      </w:r>
      <w:r w:rsidR="003B0C73">
        <w:t xml:space="preserve"> century </w:t>
      </w:r>
      <w:r w:rsidR="007E010E">
        <w:t>description of the wel</w:t>
      </w:r>
      <w:r w:rsidR="00D8661B">
        <w:t>l.</w:t>
      </w:r>
    </w:p>
    <w:p w14:paraId="40F46CC8" w14:textId="77777777" w:rsidR="00D8661B" w:rsidRDefault="00D8661B" w:rsidP="008C7FD9"/>
    <w:p w14:paraId="1A89F018" w14:textId="490731BC" w:rsidR="00D8661B" w:rsidRDefault="00D8661B" w:rsidP="00D8661B">
      <w:pPr>
        <w:pStyle w:val="ListParagraph"/>
        <w:rPr>
          <w:bCs/>
        </w:rPr>
      </w:pPr>
      <w:r>
        <w:rPr>
          <w:bCs/>
        </w:rPr>
        <w:t xml:space="preserve">“The </w:t>
      </w:r>
      <w:proofErr w:type="spellStart"/>
      <w:r>
        <w:rPr>
          <w:bCs/>
        </w:rPr>
        <w:t>Mosse</w:t>
      </w:r>
      <w:proofErr w:type="spellEnd"/>
      <w:r>
        <w:rPr>
          <w:bCs/>
        </w:rPr>
        <w:t xml:space="preserve"> </w:t>
      </w:r>
      <w:proofErr w:type="spellStart"/>
      <w:r>
        <w:rPr>
          <w:bCs/>
        </w:rPr>
        <w:t>yt</w:t>
      </w:r>
      <w:proofErr w:type="spellEnd"/>
      <w:r>
        <w:rPr>
          <w:bCs/>
        </w:rPr>
        <w:t xml:space="preserve"> growth </w:t>
      </w:r>
      <w:proofErr w:type="spellStart"/>
      <w:r>
        <w:rPr>
          <w:bCs/>
        </w:rPr>
        <w:t>vppon</w:t>
      </w:r>
      <w:proofErr w:type="spellEnd"/>
      <w:r>
        <w:rPr>
          <w:bCs/>
        </w:rPr>
        <w:t xml:space="preserve"> Stones </w:t>
      </w:r>
      <w:proofErr w:type="spellStart"/>
      <w:r>
        <w:rPr>
          <w:bCs/>
        </w:rPr>
        <w:t>wthin</w:t>
      </w:r>
      <w:proofErr w:type="spellEnd"/>
      <w:r>
        <w:rPr>
          <w:bCs/>
        </w:rPr>
        <w:t xml:space="preserve"> </w:t>
      </w:r>
      <w:proofErr w:type="spellStart"/>
      <w:r>
        <w:rPr>
          <w:bCs/>
        </w:rPr>
        <w:t>yt</w:t>
      </w:r>
      <w:proofErr w:type="spellEnd"/>
      <w:r>
        <w:rPr>
          <w:bCs/>
        </w:rPr>
        <w:t xml:space="preserve"> </w:t>
      </w:r>
      <w:proofErr w:type="spellStart"/>
      <w:r>
        <w:rPr>
          <w:bCs/>
        </w:rPr>
        <w:t>ys</w:t>
      </w:r>
      <w:proofErr w:type="spellEnd"/>
      <w:r>
        <w:rPr>
          <w:bCs/>
        </w:rPr>
        <w:t xml:space="preserve"> very </w:t>
      </w:r>
      <w:proofErr w:type="spellStart"/>
      <w:r>
        <w:rPr>
          <w:bCs/>
        </w:rPr>
        <w:t>sweete</w:t>
      </w:r>
      <w:proofErr w:type="spellEnd"/>
      <w:r>
        <w:rPr>
          <w:bCs/>
        </w:rPr>
        <w:t xml:space="preserve"> of odour and smell, whereof </w:t>
      </w:r>
      <w:proofErr w:type="gramStart"/>
      <w:r>
        <w:rPr>
          <w:bCs/>
        </w:rPr>
        <w:t>there</w:t>
      </w:r>
      <w:proofErr w:type="gramEnd"/>
      <w:r>
        <w:rPr>
          <w:bCs/>
        </w:rPr>
        <w:t xml:space="preserve"> bee </w:t>
      </w:r>
      <w:proofErr w:type="spellStart"/>
      <w:r>
        <w:rPr>
          <w:bCs/>
        </w:rPr>
        <w:t>Garlandes</w:t>
      </w:r>
      <w:proofErr w:type="spellEnd"/>
      <w:r>
        <w:rPr>
          <w:bCs/>
        </w:rPr>
        <w:t xml:space="preserve"> made and </w:t>
      </w:r>
      <w:proofErr w:type="spellStart"/>
      <w:r>
        <w:rPr>
          <w:bCs/>
        </w:rPr>
        <w:t>caryed</w:t>
      </w:r>
      <w:proofErr w:type="spellEnd"/>
      <w:r>
        <w:rPr>
          <w:bCs/>
        </w:rPr>
        <w:t xml:space="preserve"> many </w:t>
      </w:r>
      <w:proofErr w:type="spellStart"/>
      <w:r>
        <w:rPr>
          <w:bCs/>
        </w:rPr>
        <w:t>myles</w:t>
      </w:r>
      <w:proofErr w:type="spellEnd"/>
      <w:r>
        <w:rPr>
          <w:bCs/>
        </w:rPr>
        <w:t xml:space="preserve"> for ye rareness of the matter. </w:t>
      </w:r>
      <w:proofErr w:type="spellStart"/>
      <w:r>
        <w:rPr>
          <w:bCs/>
        </w:rPr>
        <w:t>Yt</w:t>
      </w:r>
      <w:proofErr w:type="spellEnd"/>
      <w:r>
        <w:rPr>
          <w:bCs/>
        </w:rPr>
        <w:t xml:space="preserve"> </w:t>
      </w:r>
      <w:proofErr w:type="spellStart"/>
      <w:r>
        <w:rPr>
          <w:bCs/>
        </w:rPr>
        <w:t>ys</w:t>
      </w:r>
      <w:proofErr w:type="spellEnd"/>
      <w:r>
        <w:rPr>
          <w:bCs/>
        </w:rPr>
        <w:t xml:space="preserve"> </w:t>
      </w:r>
      <w:proofErr w:type="spellStart"/>
      <w:r>
        <w:rPr>
          <w:bCs/>
        </w:rPr>
        <w:t>sayde</w:t>
      </w:r>
      <w:proofErr w:type="spellEnd"/>
      <w:r>
        <w:rPr>
          <w:bCs/>
        </w:rPr>
        <w:t xml:space="preserve"> that Stones, Wands or </w:t>
      </w:r>
      <w:proofErr w:type="spellStart"/>
      <w:r>
        <w:rPr>
          <w:bCs/>
        </w:rPr>
        <w:t>hankercherffs</w:t>
      </w:r>
      <w:proofErr w:type="spellEnd"/>
      <w:r>
        <w:rPr>
          <w:bCs/>
        </w:rPr>
        <w:t xml:space="preserve"> cast into </w:t>
      </w:r>
      <w:proofErr w:type="spellStart"/>
      <w:r>
        <w:rPr>
          <w:bCs/>
        </w:rPr>
        <w:t>yt</w:t>
      </w:r>
      <w:proofErr w:type="spellEnd"/>
      <w:r>
        <w:rPr>
          <w:bCs/>
        </w:rPr>
        <w:t xml:space="preserve"> do gather as </w:t>
      </w:r>
      <w:proofErr w:type="spellStart"/>
      <w:r>
        <w:rPr>
          <w:bCs/>
        </w:rPr>
        <w:t>yt</w:t>
      </w:r>
      <w:proofErr w:type="spellEnd"/>
      <w:r>
        <w:rPr>
          <w:bCs/>
        </w:rPr>
        <w:t xml:space="preserve"> were redd </w:t>
      </w:r>
      <w:proofErr w:type="spellStart"/>
      <w:r>
        <w:rPr>
          <w:bCs/>
        </w:rPr>
        <w:t>spottes</w:t>
      </w:r>
      <w:proofErr w:type="spellEnd"/>
      <w:r>
        <w:rPr>
          <w:bCs/>
        </w:rPr>
        <w:t xml:space="preserve"> of the colour of blood”</w:t>
      </w:r>
      <w:r w:rsidR="006C51E3">
        <w:rPr>
          <w:rStyle w:val="FootnoteReference"/>
          <w:bCs/>
        </w:rPr>
        <w:footnoteReference w:id="115"/>
      </w:r>
    </w:p>
    <w:p w14:paraId="3E62E12D" w14:textId="77777777" w:rsidR="00D8661B" w:rsidRDefault="00D8661B" w:rsidP="00D8661B">
      <w:pPr>
        <w:pStyle w:val="ListParagraph"/>
        <w:rPr>
          <w:bCs/>
        </w:rPr>
      </w:pPr>
    </w:p>
    <w:p w14:paraId="5C06353D" w14:textId="56C7D07B" w:rsidR="00D8661B" w:rsidRDefault="003B0C73" w:rsidP="001906BE">
      <w:pPr>
        <w:ind w:firstLine="720"/>
        <w:rPr>
          <w:bCs/>
        </w:rPr>
      </w:pPr>
      <w:r>
        <w:rPr>
          <w:bCs/>
        </w:rPr>
        <w:t>This passage describes</w:t>
      </w:r>
      <w:r w:rsidR="00AE73C0">
        <w:rPr>
          <w:bCs/>
        </w:rPr>
        <w:t xml:space="preserve"> the </w:t>
      </w:r>
      <w:r w:rsidR="001906BE">
        <w:rPr>
          <w:bCs/>
        </w:rPr>
        <w:t>sweet-smelling</w:t>
      </w:r>
      <w:r w:rsidR="00AE73C0">
        <w:rPr>
          <w:bCs/>
        </w:rPr>
        <w:t xml:space="preserve"> </w:t>
      </w:r>
      <w:r w:rsidR="00B3741C">
        <w:rPr>
          <w:bCs/>
        </w:rPr>
        <w:t xml:space="preserve">odour of the moss around the well, </w:t>
      </w:r>
      <w:r w:rsidR="003C66C0">
        <w:rPr>
          <w:bCs/>
        </w:rPr>
        <w:t>and describes how</w:t>
      </w:r>
      <w:r w:rsidR="00440FFD">
        <w:rPr>
          <w:bCs/>
        </w:rPr>
        <w:t xml:space="preserve"> offerings are cast in to the </w:t>
      </w:r>
      <w:r w:rsidR="008F5D6A">
        <w:rPr>
          <w:bCs/>
        </w:rPr>
        <w:t>spring, much in the same way Gwenfrewi would</w:t>
      </w:r>
      <w:r w:rsidR="0013128B">
        <w:rPr>
          <w:bCs/>
        </w:rPr>
        <w:t xml:space="preserve"> </w:t>
      </w:r>
      <w:r w:rsidR="00963D43">
        <w:rPr>
          <w:bCs/>
        </w:rPr>
        <w:t xml:space="preserve">cast her gifts to Beuno. It is clear that in this period, worship was truly flourishing </w:t>
      </w:r>
      <w:r w:rsidR="00531675">
        <w:rPr>
          <w:bCs/>
        </w:rPr>
        <w:t>at the holy sites of Gwenfrewi.</w:t>
      </w:r>
    </w:p>
    <w:p w14:paraId="2EE7A80C" w14:textId="77777777" w:rsidR="0045410B" w:rsidRDefault="0045410B" w:rsidP="008C7FD9">
      <w:pPr>
        <w:rPr>
          <w:bCs/>
        </w:rPr>
      </w:pPr>
    </w:p>
    <w:p w14:paraId="08D909FB" w14:textId="6B7E25D5" w:rsidR="00981CE3" w:rsidRDefault="0045410B" w:rsidP="008C7FD9">
      <w:pPr>
        <w:rPr>
          <w:bCs/>
        </w:rPr>
      </w:pPr>
      <w:r>
        <w:rPr>
          <w:bCs/>
        </w:rPr>
        <w:tab/>
      </w:r>
      <w:r w:rsidR="00486E78">
        <w:rPr>
          <w:bCs/>
        </w:rPr>
        <w:t xml:space="preserve">Beginning with the Act of Supremacy in 1534 however, Henry VIII’s reformation radically transformed the </w:t>
      </w:r>
      <w:r w:rsidR="00C0067D">
        <w:rPr>
          <w:bCs/>
        </w:rPr>
        <w:t>worship of saints in England and Wales</w:t>
      </w:r>
      <w:r w:rsidR="00486E78">
        <w:rPr>
          <w:bCs/>
        </w:rPr>
        <w:t>.</w:t>
      </w:r>
      <w:r w:rsidR="004E3A51">
        <w:rPr>
          <w:bCs/>
        </w:rPr>
        <w:t xml:space="preserve"> Shrewsbury abbey surrendered to the commissioners in 1540</w:t>
      </w:r>
      <w:r w:rsidR="003A1C48">
        <w:rPr>
          <w:bCs/>
        </w:rPr>
        <w:t xml:space="preserve">, </w:t>
      </w:r>
      <w:r w:rsidR="009660BB">
        <w:rPr>
          <w:bCs/>
        </w:rPr>
        <w:t>many of the abbey buildings were destroyed</w:t>
      </w:r>
      <w:r w:rsidR="00F27343">
        <w:rPr>
          <w:bCs/>
        </w:rPr>
        <w:t>, and the relics of Gwenfrewi were thrown out.</w:t>
      </w:r>
      <w:r w:rsidR="00F27343">
        <w:rPr>
          <w:rStyle w:val="FootnoteReference"/>
          <w:bCs/>
        </w:rPr>
        <w:footnoteReference w:id="116"/>
      </w:r>
      <w:r w:rsidR="00C0067D">
        <w:rPr>
          <w:bCs/>
        </w:rPr>
        <w:t xml:space="preserve"> </w:t>
      </w:r>
      <w:r w:rsidR="00EB40D1">
        <w:rPr>
          <w:bCs/>
        </w:rPr>
        <w:t xml:space="preserve">Despite </w:t>
      </w:r>
      <w:r w:rsidR="006E53BB">
        <w:rPr>
          <w:bCs/>
        </w:rPr>
        <w:t xml:space="preserve">this upheaval however, Gwenfrewi’s cult did not </w:t>
      </w:r>
      <w:r w:rsidR="00D06060">
        <w:rPr>
          <w:bCs/>
        </w:rPr>
        <w:t>dis</w:t>
      </w:r>
      <w:r w:rsidR="003A1C48">
        <w:rPr>
          <w:bCs/>
        </w:rPr>
        <w:t>integrate</w:t>
      </w:r>
      <w:r w:rsidR="00D06060">
        <w:rPr>
          <w:bCs/>
        </w:rPr>
        <w:t xml:space="preserve">. </w:t>
      </w:r>
      <w:r w:rsidR="0005652B">
        <w:rPr>
          <w:bCs/>
        </w:rPr>
        <w:t xml:space="preserve">Part of her relics apparently </w:t>
      </w:r>
      <w:r w:rsidR="003A1C48">
        <w:rPr>
          <w:bCs/>
        </w:rPr>
        <w:t xml:space="preserve">even </w:t>
      </w:r>
      <w:r w:rsidR="0005652B">
        <w:rPr>
          <w:bCs/>
        </w:rPr>
        <w:t>survived</w:t>
      </w:r>
      <w:r w:rsidR="000E6E26">
        <w:rPr>
          <w:bCs/>
        </w:rPr>
        <w:t>;</w:t>
      </w:r>
      <w:r w:rsidR="0005652B">
        <w:rPr>
          <w:bCs/>
        </w:rPr>
        <w:t xml:space="preserve"> one small fingerbone was </w:t>
      </w:r>
      <w:r w:rsidR="00181B65">
        <w:rPr>
          <w:bCs/>
        </w:rPr>
        <w:t>rescued and eventually given to the English college in Rome.</w:t>
      </w:r>
      <w:r w:rsidR="00181B65">
        <w:rPr>
          <w:rStyle w:val="FootnoteReference"/>
          <w:bCs/>
        </w:rPr>
        <w:footnoteReference w:id="117"/>
      </w:r>
      <w:r w:rsidR="00D313A0">
        <w:rPr>
          <w:bCs/>
        </w:rPr>
        <w:t xml:space="preserve"> Her reliquary box in Gwytherin also survived</w:t>
      </w:r>
      <w:r w:rsidR="000E12FF">
        <w:rPr>
          <w:bCs/>
        </w:rPr>
        <w:t xml:space="preserve"> until much later, appearing in a 17</w:t>
      </w:r>
      <w:r w:rsidR="000E12FF" w:rsidRPr="000E12FF">
        <w:rPr>
          <w:bCs/>
          <w:vertAlign w:val="superscript"/>
        </w:rPr>
        <w:t>th</w:t>
      </w:r>
      <w:r w:rsidR="000E12FF">
        <w:rPr>
          <w:bCs/>
        </w:rPr>
        <w:t xml:space="preserve"> century sketch.</w:t>
      </w:r>
      <w:r w:rsidR="000E12FF">
        <w:rPr>
          <w:rStyle w:val="FootnoteReference"/>
          <w:bCs/>
        </w:rPr>
        <w:footnoteReference w:id="118"/>
      </w:r>
      <w:r w:rsidR="004337DF">
        <w:rPr>
          <w:bCs/>
        </w:rPr>
        <w:t xml:space="preserve"> It is clear that veneration of Gwenfrewi remained</w:t>
      </w:r>
      <w:r w:rsidR="00415EB0">
        <w:rPr>
          <w:bCs/>
        </w:rPr>
        <w:t xml:space="preserve"> </w:t>
      </w:r>
      <w:r w:rsidR="00D65FC0">
        <w:rPr>
          <w:bCs/>
        </w:rPr>
        <w:t xml:space="preserve">somewhat </w:t>
      </w:r>
      <w:r w:rsidR="00415EB0">
        <w:rPr>
          <w:bCs/>
        </w:rPr>
        <w:t>active through the reigns of Henry VIII and Ed</w:t>
      </w:r>
      <w:r w:rsidR="009E7E16">
        <w:rPr>
          <w:bCs/>
        </w:rPr>
        <w:t>ward VI</w:t>
      </w:r>
      <w:r w:rsidR="000E6E26">
        <w:rPr>
          <w:bCs/>
        </w:rPr>
        <w:t>.</w:t>
      </w:r>
      <w:r w:rsidR="008C7B5D">
        <w:rPr>
          <w:bCs/>
        </w:rPr>
        <w:t xml:space="preserve"> </w:t>
      </w:r>
      <w:r w:rsidR="00D65FC0">
        <w:rPr>
          <w:bCs/>
        </w:rPr>
        <w:t>During the reign of Mary I</w:t>
      </w:r>
      <w:r w:rsidR="009E7E16">
        <w:rPr>
          <w:bCs/>
        </w:rPr>
        <w:t xml:space="preserve"> 1556</w:t>
      </w:r>
      <w:r w:rsidR="00D65FC0">
        <w:rPr>
          <w:bCs/>
        </w:rPr>
        <w:t>,</w:t>
      </w:r>
      <w:r w:rsidR="009E7E16">
        <w:rPr>
          <w:bCs/>
        </w:rPr>
        <w:t xml:space="preserve"> Bishop </w:t>
      </w:r>
      <w:proofErr w:type="spellStart"/>
      <w:r w:rsidR="009E7E16">
        <w:rPr>
          <w:bCs/>
        </w:rPr>
        <w:t>Goldwell</w:t>
      </w:r>
      <w:proofErr w:type="spellEnd"/>
      <w:r w:rsidR="00F740BD">
        <w:rPr>
          <w:bCs/>
        </w:rPr>
        <w:t xml:space="preserve"> of St. Asaph prevailed upon Paul IV to </w:t>
      </w:r>
      <w:r w:rsidR="00313B51">
        <w:rPr>
          <w:bCs/>
        </w:rPr>
        <w:t>renew the indulgences granted to Holywell</w:t>
      </w:r>
      <w:r w:rsidR="00D65FC0">
        <w:rPr>
          <w:bCs/>
        </w:rPr>
        <w:t xml:space="preserve"> pilgrims</w:t>
      </w:r>
      <w:r w:rsidR="00313B51">
        <w:rPr>
          <w:bCs/>
        </w:rPr>
        <w:t>.</w:t>
      </w:r>
      <w:r w:rsidR="00313B51">
        <w:rPr>
          <w:rStyle w:val="FootnoteReference"/>
          <w:bCs/>
        </w:rPr>
        <w:footnoteReference w:id="119"/>
      </w:r>
      <w:r w:rsidR="009B5F98">
        <w:rPr>
          <w:bCs/>
        </w:rPr>
        <w:t xml:space="preserve"> </w:t>
      </w:r>
      <w:r w:rsidR="003A5924">
        <w:rPr>
          <w:bCs/>
        </w:rPr>
        <w:t xml:space="preserve">Later in 1583, Gwenfrewi’s </w:t>
      </w:r>
      <w:r w:rsidR="00A216D7">
        <w:rPr>
          <w:bCs/>
        </w:rPr>
        <w:t>feast was one of only four Welsh saint’s feasts recorded in the Roman Martyrology.</w:t>
      </w:r>
      <w:r w:rsidR="00A216D7">
        <w:rPr>
          <w:rStyle w:val="FootnoteReference"/>
          <w:bCs/>
        </w:rPr>
        <w:footnoteReference w:id="120"/>
      </w:r>
      <w:r w:rsidR="00A216D7">
        <w:rPr>
          <w:bCs/>
        </w:rPr>
        <w:t xml:space="preserve"> It is testament to her international recognition that she was included when St. David </w:t>
      </w:r>
      <w:r w:rsidR="00B97228">
        <w:rPr>
          <w:bCs/>
        </w:rPr>
        <w:t xml:space="preserve">himself </w:t>
      </w:r>
      <w:r w:rsidR="00A216D7">
        <w:rPr>
          <w:bCs/>
        </w:rPr>
        <w:t>was originally omitted</w:t>
      </w:r>
      <w:r w:rsidR="00B97228">
        <w:rPr>
          <w:bCs/>
        </w:rPr>
        <w:t>.</w:t>
      </w:r>
      <w:r w:rsidR="00A216D7">
        <w:rPr>
          <w:rStyle w:val="FootnoteReference"/>
          <w:bCs/>
        </w:rPr>
        <w:footnoteReference w:id="121"/>
      </w:r>
      <w:r w:rsidR="00A216D7">
        <w:rPr>
          <w:bCs/>
        </w:rPr>
        <w:t xml:space="preserve"> Throughout the modern period, </w:t>
      </w:r>
      <w:r w:rsidR="005F7BDE">
        <w:rPr>
          <w:bCs/>
        </w:rPr>
        <w:t xml:space="preserve">veneration and admiration of Gwenfrewi </w:t>
      </w:r>
      <w:r w:rsidR="006D415E">
        <w:rPr>
          <w:bCs/>
        </w:rPr>
        <w:t xml:space="preserve">has </w:t>
      </w:r>
      <w:r w:rsidR="005F7BDE">
        <w:rPr>
          <w:bCs/>
        </w:rPr>
        <w:t xml:space="preserve">remained </w:t>
      </w:r>
      <w:r w:rsidR="006D415E">
        <w:rPr>
          <w:bCs/>
        </w:rPr>
        <w:t xml:space="preserve">vibrant </w:t>
      </w:r>
      <w:r w:rsidR="005F7BDE">
        <w:rPr>
          <w:bCs/>
        </w:rPr>
        <w:t>across her various sites</w:t>
      </w:r>
      <w:r w:rsidR="006D415E">
        <w:rPr>
          <w:bCs/>
        </w:rPr>
        <w:t>.</w:t>
      </w:r>
      <w:r w:rsidR="005F7BDE">
        <w:rPr>
          <w:bCs/>
        </w:rPr>
        <w:t xml:space="preserve"> </w:t>
      </w:r>
      <w:r w:rsidR="006D415E">
        <w:rPr>
          <w:bCs/>
        </w:rPr>
        <w:t>A</w:t>
      </w:r>
      <w:r w:rsidR="005F7BDE">
        <w:rPr>
          <w:bCs/>
        </w:rPr>
        <w:t>fter the reformation</w:t>
      </w:r>
      <w:r w:rsidR="006D415E">
        <w:rPr>
          <w:bCs/>
        </w:rPr>
        <w:t>,</w:t>
      </w:r>
      <w:r w:rsidR="00F424DF">
        <w:rPr>
          <w:bCs/>
        </w:rPr>
        <w:t xml:space="preserve"> the Jesuits became particularly active around the area of Holywell, a</w:t>
      </w:r>
      <w:r w:rsidR="00244635">
        <w:rPr>
          <w:bCs/>
        </w:rPr>
        <w:t>n</w:t>
      </w:r>
      <w:r w:rsidR="00F424DF">
        <w:rPr>
          <w:bCs/>
        </w:rPr>
        <w:t xml:space="preserve">d </w:t>
      </w:r>
      <w:r w:rsidR="00C23A09">
        <w:rPr>
          <w:bCs/>
        </w:rPr>
        <w:t xml:space="preserve">numerous </w:t>
      </w:r>
      <w:r w:rsidR="00F424DF">
        <w:rPr>
          <w:bCs/>
        </w:rPr>
        <w:t xml:space="preserve">further </w:t>
      </w:r>
      <w:r w:rsidR="0076198B">
        <w:rPr>
          <w:bCs/>
        </w:rPr>
        <w:t>cures were reportedly attributed to her well.</w:t>
      </w:r>
      <w:r w:rsidR="0076198B">
        <w:rPr>
          <w:rStyle w:val="FootnoteReference"/>
          <w:bCs/>
        </w:rPr>
        <w:footnoteReference w:id="122"/>
      </w:r>
      <w:r w:rsidR="00960B65">
        <w:rPr>
          <w:bCs/>
        </w:rPr>
        <w:t xml:space="preserve"> </w:t>
      </w:r>
      <w:r w:rsidR="005E077F">
        <w:rPr>
          <w:bCs/>
        </w:rPr>
        <w:t xml:space="preserve">Until the 1960s, </w:t>
      </w:r>
      <w:r w:rsidR="00DF39E6">
        <w:rPr>
          <w:bCs/>
        </w:rPr>
        <w:t xml:space="preserve">crutches were piled up around the well, many with labels </w:t>
      </w:r>
      <w:r w:rsidR="001617C4">
        <w:rPr>
          <w:bCs/>
        </w:rPr>
        <w:t xml:space="preserve">detailing the cures </w:t>
      </w:r>
      <w:r w:rsidR="006D415E">
        <w:rPr>
          <w:bCs/>
        </w:rPr>
        <w:t>obtained</w:t>
      </w:r>
      <w:r w:rsidR="001617C4">
        <w:rPr>
          <w:bCs/>
        </w:rPr>
        <w:t xml:space="preserve"> by their former owners.</w:t>
      </w:r>
      <w:r w:rsidR="001617C4">
        <w:rPr>
          <w:rStyle w:val="FootnoteReference"/>
          <w:bCs/>
        </w:rPr>
        <w:footnoteReference w:id="123"/>
      </w:r>
      <w:r w:rsidR="000B7D40">
        <w:rPr>
          <w:bCs/>
        </w:rPr>
        <w:t xml:space="preserve"> The Gwytherin reliquary </w:t>
      </w:r>
      <w:r w:rsidR="006D415E">
        <w:rPr>
          <w:bCs/>
        </w:rPr>
        <w:t xml:space="preserve">box </w:t>
      </w:r>
      <w:r w:rsidR="000B7D40">
        <w:rPr>
          <w:bCs/>
        </w:rPr>
        <w:t>gradually deteriorated, in 1844</w:t>
      </w:r>
      <w:r w:rsidR="006D415E">
        <w:rPr>
          <w:bCs/>
        </w:rPr>
        <w:t xml:space="preserve"> </w:t>
      </w:r>
      <w:r w:rsidR="000B7D40">
        <w:rPr>
          <w:bCs/>
        </w:rPr>
        <w:t xml:space="preserve">the clerk told </w:t>
      </w:r>
      <w:r w:rsidR="00001921">
        <w:rPr>
          <w:bCs/>
        </w:rPr>
        <w:t xml:space="preserve">Father John Griffith Wynne, how </w:t>
      </w:r>
      <w:r w:rsidR="00972AA0">
        <w:rPr>
          <w:bCs/>
        </w:rPr>
        <w:t>the greater part of it had been carried off by pilgrim</w:t>
      </w:r>
      <w:r w:rsidR="006D415E">
        <w:rPr>
          <w:bCs/>
        </w:rPr>
        <w:t xml:space="preserve">s </w:t>
      </w:r>
      <w:r w:rsidR="00972AA0">
        <w:rPr>
          <w:bCs/>
        </w:rPr>
        <w:t xml:space="preserve">offering him a shilling to </w:t>
      </w:r>
      <w:r w:rsidR="006D415E">
        <w:rPr>
          <w:bCs/>
        </w:rPr>
        <w:t>shave</w:t>
      </w:r>
      <w:r w:rsidR="007F7E60">
        <w:rPr>
          <w:bCs/>
        </w:rPr>
        <w:t xml:space="preserve"> a piece </w:t>
      </w:r>
      <w:r w:rsidR="007F7E60">
        <w:rPr>
          <w:bCs/>
        </w:rPr>
        <w:lastRenderedPageBreak/>
        <w:t>of the chest</w:t>
      </w:r>
      <w:r w:rsidR="00367E4B">
        <w:rPr>
          <w:bCs/>
        </w:rPr>
        <w:t>.</w:t>
      </w:r>
      <w:r w:rsidR="00367E4B">
        <w:rPr>
          <w:rStyle w:val="FootnoteReference"/>
          <w:bCs/>
        </w:rPr>
        <w:footnoteReference w:id="124"/>
      </w:r>
      <w:r w:rsidR="003D6763">
        <w:rPr>
          <w:bCs/>
        </w:rPr>
        <w:t xml:space="preserve"> In 185</w:t>
      </w:r>
      <w:r w:rsidR="00E30B0E">
        <w:rPr>
          <w:bCs/>
        </w:rPr>
        <w:t>5</w:t>
      </w:r>
      <w:r w:rsidR="003D6763">
        <w:rPr>
          <w:bCs/>
        </w:rPr>
        <w:t xml:space="preserve">, </w:t>
      </w:r>
      <w:r w:rsidR="00633A81">
        <w:rPr>
          <w:bCs/>
        </w:rPr>
        <w:t>her fingerbone, saved from the reformation,</w:t>
      </w:r>
      <w:r w:rsidR="001A1E3C">
        <w:rPr>
          <w:bCs/>
        </w:rPr>
        <w:t xml:space="preserve"> was </w:t>
      </w:r>
      <w:r w:rsidR="00E62261">
        <w:rPr>
          <w:bCs/>
        </w:rPr>
        <w:t>returned from Rome.</w:t>
      </w:r>
      <w:r w:rsidR="00E62261">
        <w:rPr>
          <w:rStyle w:val="FootnoteReference"/>
          <w:bCs/>
        </w:rPr>
        <w:footnoteReference w:id="125"/>
      </w:r>
      <w:r w:rsidR="001069DD">
        <w:rPr>
          <w:bCs/>
        </w:rPr>
        <w:t xml:space="preserve"> It was split in two,</w:t>
      </w:r>
      <w:r w:rsidR="00C56CC3" w:rsidRPr="00C56CC3">
        <w:rPr>
          <w:bCs/>
        </w:rPr>
        <w:t xml:space="preserve"> </w:t>
      </w:r>
      <w:r w:rsidR="00C56CC3">
        <w:rPr>
          <w:bCs/>
        </w:rPr>
        <w:t>half was returned to Holywell</w:t>
      </w:r>
      <w:r w:rsidR="001069DD">
        <w:rPr>
          <w:bCs/>
        </w:rPr>
        <w:t>, and the other</w:t>
      </w:r>
      <w:r w:rsidR="00C56CC3" w:rsidRPr="00C56CC3">
        <w:rPr>
          <w:bCs/>
        </w:rPr>
        <w:t xml:space="preserve"> </w:t>
      </w:r>
      <w:r w:rsidR="00C56CC3">
        <w:rPr>
          <w:bCs/>
        </w:rPr>
        <w:t>half is held in the modern Roman Catholic cathedral in Shrewsbury</w:t>
      </w:r>
      <w:r w:rsidR="00E63E24">
        <w:rPr>
          <w:bCs/>
        </w:rPr>
        <w:t>.</w:t>
      </w:r>
      <w:r w:rsidR="00E63E24">
        <w:rPr>
          <w:rStyle w:val="FootnoteReference"/>
          <w:bCs/>
        </w:rPr>
        <w:footnoteReference w:id="126"/>
      </w:r>
      <w:r w:rsidR="00DB41FB">
        <w:rPr>
          <w:bCs/>
        </w:rPr>
        <w:t xml:space="preserve"> </w:t>
      </w:r>
    </w:p>
    <w:p w14:paraId="570A20B5" w14:textId="77777777" w:rsidR="00981CE3" w:rsidRDefault="00981CE3" w:rsidP="008C7FD9">
      <w:pPr>
        <w:rPr>
          <w:bCs/>
        </w:rPr>
      </w:pPr>
    </w:p>
    <w:p w14:paraId="69B6A9AC" w14:textId="1EA76221" w:rsidR="00346BFA" w:rsidRDefault="00742DB4" w:rsidP="00CB7FB2">
      <w:pPr>
        <w:ind w:firstLine="720"/>
        <w:rPr>
          <w:bCs/>
        </w:rPr>
      </w:pPr>
      <w:r>
        <w:rPr>
          <w:bCs/>
        </w:rPr>
        <w:t>The cult associated with Gwenfrewi over the centuries has spread vastly from its origin in North Wales</w:t>
      </w:r>
      <w:r>
        <w:rPr>
          <w:bCs/>
        </w:rPr>
        <w:t xml:space="preserve">. </w:t>
      </w:r>
      <w:r w:rsidR="00DB41FB">
        <w:rPr>
          <w:bCs/>
        </w:rPr>
        <w:t xml:space="preserve">Holywell remains </w:t>
      </w:r>
      <w:r w:rsidR="009C1B2B">
        <w:rPr>
          <w:bCs/>
        </w:rPr>
        <w:t xml:space="preserve">by far the most well-known holy well in Wales, and </w:t>
      </w:r>
      <w:r w:rsidR="00981CE3">
        <w:rPr>
          <w:bCs/>
        </w:rPr>
        <w:t>is one of</w:t>
      </w:r>
      <w:r w:rsidR="009C1B2B">
        <w:rPr>
          <w:bCs/>
        </w:rPr>
        <w:t xml:space="preserve"> the </w:t>
      </w:r>
      <w:r w:rsidR="00FE6FF9">
        <w:rPr>
          <w:bCs/>
        </w:rPr>
        <w:t>Seven Wonders of Wales</w:t>
      </w:r>
      <w:r w:rsidR="009E6998">
        <w:rPr>
          <w:bCs/>
        </w:rPr>
        <w:t>.</w:t>
      </w:r>
      <w:r w:rsidR="00CB7FB2">
        <w:rPr>
          <w:rStyle w:val="FootnoteReference"/>
          <w:bCs/>
        </w:rPr>
        <w:footnoteReference w:id="127"/>
      </w:r>
      <w:r>
        <w:rPr>
          <w:bCs/>
        </w:rPr>
        <w:t xml:space="preserve"> </w:t>
      </w:r>
      <w:r w:rsidR="00760D62">
        <w:rPr>
          <w:bCs/>
        </w:rPr>
        <w:t xml:space="preserve">The guild of St. </w:t>
      </w:r>
      <w:proofErr w:type="spellStart"/>
      <w:r w:rsidR="00760D62">
        <w:rPr>
          <w:bCs/>
        </w:rPr>
        <w:t>Winefride</w:t>
      </w:r>
      <w:proofErr w:type="spellEnd"/>
      <w:r w:rsidR="00760D62">
        <w:rPr>
          <w:bCs/>
        </w:rPr>
        <w:t>, renewed in 1987, still process</w:t>
      </w:r>
      <w:r>
        <w:rPr>
          <w:bCs/>
        </w:rPr>
        <w:t xml:space="preserve"> </w:t>
      </w:r>
      <w:r w:rsidR="00760D62">
        <w:rPr>
          <w:bCs/>
        </w:rPr>
        <w:t xml:space="preserve">each year </w:t>
      </w:r>
      <w:r w:rsidR="00211E20">
        <w:rPr>
          <w:bCs/>
        </w:rPr>
        <w:t>on translation day, from St. Giles to Shrewsbury abbey, just as prior Robert and his party did in 1138</w:t>
      </w:r>
      <w:r w:rsidR="00C54D2B">
        <w:rPr>
          <w:bCs/>
        </w:rPr>
        <w:t>.</w:t>
      </w:r>
      <w:r w:rsidR="00C54D2B">
        <w:rPr>
          <w:rStyle w:val="FootnoteReference"/>
          <w:bCs/>
        </w:rPr>
        <w:footnoteReference w:id="128"/>
      </w:r>
      <w:r w:rsidR="00EC390C">
        <w:rPr>
          <w:bCs/>
        </w:rPr>
        <w:t xml:space="preserve"> </w:t>
      </w:r>
      <w:r w:rsidR="00661085">
        <w:rPr>
          <w:bCs/>
        </w:rPr>
        <w:t xml:space="preserve">Although </w:t>
      </w:r>
      <w:r w:rsidR="00EA0FCD">
        <w:rPr>
          <w:bCs/>
        </w:rPr>
        <w:t>great change</w:t>
      </w:r>
      <w:r w:rsidR="00C72315">
        <w:rPr>
          <w:bCs/>
        </w:rPr>
        <w:t xml:space="preserve">s </w:t>
      </w:r>
      <w:r w:rsidR="00EA0FCD">
        <w:rPr>
          <w:bCs/>
        </w:rPr>
        <w:t>ha</w:t>
      </w:r>
      <w:r w:rsidR="00C72315">
        <w:rPr>
          <w:bCs/>
        </w:rPr>
        <w:t>ve</w:t>
      </w:r>
      <w:r w:rsidR="00EA0FCD">
        <w:rPr>
          <w:bCs/>
        </w:rPr>
        <w:t xml:space="preserve"> occurred </w:t>
      </w:r>
      <w:r w:rsidR="00C72315">
        <w:rPr>
          <w:bCs/>
        </w:rPr>
        <w:t>in her</w:t>
      </w:r>
      <w:r w:rsidR="001D1BA4">
        <w:rPr>
          <w:bCs/>
        </w:rPr>
        <w:t xml:space="preserve"> almost 1,400 year history,</w:t>
      </w:r>
      <w:r w:rsidR="00C72315">
        <w:rPr>
          <w:bCs/>
        </w:rPr>
        <w:t xml:space="preserve"> </w:t>
      </w:r>
      <w:r w:rsidR="001D1BA4">
        <w:rPr>
          <w:bCs/>
        </w:rPr>
        <w:t>s</w:t>
      </w:r>
      <w:r w:rsidR="00EC390C">
        <w:rPr>
          <w:bCs/>
        </w:rPr>
        <w:t xml:space="preserve">omething about the story </w:t>
      </w:r>
      <w:r w:rsidR="001F221A">
        <w:rPr>
          <w:bCs/>
        </w:rPr>
        <w:t xml:space="preserve">of Gwenfrewi has appealed to </w:t>
      </w:r>
      <w:r w:rsidR="00D4592D">
        <w:rPr>
          <w:bCs/>
        </w:rPr>
        <w:t xml:space="preserve">a vast </w:t>
      </w:r>
      <w:r w:rsidR="00A537F0">
        <w:rPr>
          <w:bCs/>
        </w:rPr>
        <w:t>body</w:t>
      </w:r>
      <w:r w:rsidR="00D4592D">
        <w:rPr>
          <w:bCs/>
        </w:rPr>
        <w:t xml:space="preserve"> of people</w:t>
      </w:r>
      <w:r w:rsidR="00860254">
        <w:rPr>
          <w:bCs/>
        </w:rPr>
        <w:t xml:space="preserve"> of different languages and nationalities</w:t>
      </w:r>
      <w:r w:rsidR="001906BE">
        <w:rPr>
          <w:bCs/>
        </w:rPr>
        <w:t>, an admiration that continues to the present day</w:t>
      </w:r>
      <w:r w:rsidR="00661085">
        <w:rPr>
          <w:bCs/>
        </w:rPr>
        <w:t xml:space="preserve">. </w:t>
      </w:r>
    </w:p>
    <w:p w14:paraId="71DDF3A9" w14:textId="77777777" w:rsidR="00FB4F8C" w:rsidRDefault="00FB4F8C" w:rsidP="00CB7FB2">
      <w:pPr>
        <w:ind w:firstLine="720"/>
        <w:rPr>
          <w:bCs/>
        </w:rPr>
      </w:pPr>
    </w:p>
    <w:p w14:paraId="377A436F" w14:textId="77777777" w:rsidR="00FB4F8C" w:rsidRDefault="00FB4F8C" w:rsidP="00CB7FB2">
      <w:pPr>
        <w:ind w:firstLine="720"/>
        <w:rPr>
          <w:bCs/>
        </w:rPr>
      </w:pPr>
    </w:p>
    <w:p w14:paraId="42041080" w14:textId="77777777" w:rsidR="00BB1713" w:rsidRDefault="00BB1713" w:rsidP="00CB7FB2">
      <w:pPr>
        <w:ind w:firstLine="720"/>
        <w:rPr>
          <w:bCs/>
        </w:rPr>
      </w:pPr>
    </w:p>
    <w:p w14:paraId="67E7EF04" w14:textId="77777777" w:rsidR="00BB1713" w:rsidRDefault="00BB1713" w:rsidP="00CB7FB2">
      <w:pPr>
        <w:ind w:firstLine="720"/>
        <w:rPr>
          <w:bCs/>
        </w:rPr>
      </w:pPr>
    </w:p>
    <w:p w14:paraId="1482A468" w14:textId="77777777" w:rsidR="00BB1713" w:rsidRDefault="00BB1713" w:rsidP="00CB7FB2">
      <w:pPr>
        <w:ind w:firstLine="720"/>
        <w:rPr>
          <w:bCs/>
        </w:rPr>
      </w:pPr>
    </w:p>
    <w:p w14:paraId="111C1BAD" w14:textId="77777777" w:rsidR="00BB1713" w:rsidRDefault="00BB1713" w:rsidP="00CB7FB2">
      <w:pPr>
        <w:ind w:firstLine="720"/>
        <w:rPr>
          <w:bCs/>
        </w:rPr>
      </w:pPr>
    </w:p>
    <w:p w14:paraId="0ADE326D" w14:textId="77777777" w:rsidR="00BB1713" w:rsidRDefault="00BB1713" w:rsidP="00CB7FB2">
      <w:pPr>
        <w:ind w:firstLine="720"/>
        <w:rPr>
          <w:bCs/>
        </w:rPr>
      </w:pPr>
    </w:p>
    <w:p w14:paraId="27B29629" w14:textId="77777777" w:rsidR="00BB1713" w:rsidRDefault="00BB1713" w:rsidP="00CB7FB2">
      <w:pPr>
        <w:ind w:firstLine="720"/>
        <w:rPr>
          <w:bCs/>
        </w:rPr>
      </w:pPr>
    </w:p>
    <w:p w14:paraId="2C357DF6" w14:textId="77777777" w:rsidR="00BB1713" w:rsidRDefault="00BB1713" w:rsidP="00CB7FB2">
      <w:pPr>
        <w:ind w:firstLine="720"/>
        <w:rPr>
          <w:bCs/>
        </w:rPr>
      </w:pPr>
    </w:p>
    <w:p w14:paraId="4ED399C2" w14:textId="77777777" w:rsidR="00BB1713" w:rsidRDefault="00BB1713" w:rsidP="00CB7FB2">
      <w:pPr>
        <w:ind w:firstLine="720"/>
        <w:rPr>
          <w:bCs/>
        </w:rPr>
      </w:pPr>
    </w:p>
    <w:p w14:paraId="78876EA9" w14:textId="77777777" w:rsidR="00BB1713" w:rsidRDefault="00BB1713" w:rsidP="00CB7FB2">
      <w:pPr>
        <w:ind w:firstLine="720"/>
        <w:rPr>
          <w:bCs/>
        </w:rPr>
      </w:pPr>
    </w:p>
    <w:p w14:paraId="565DE1D0" w14:textId="77777777" w:rsidR="00BB1713" w:rsidRDefault="00BB1713" w:rsidP="00CB7FB2">
      <w:pPr>
        <w:ind w:firstLine="720"/>
        <w:rPr>
          <w:bCs/>
        </w:rPr>
      </w:pPr>
    </w:p>
    <w:p w14:paraId="047C0F1F" w14:textId="77777777" w:rsidR="00BB1713" w:rsidRDefault="00BB1713" w:rsidP="00CB7FB2">
      <w:pPr>
        <w:ind w:firstLine="720"/>
        <w:rPr>
          <w:bCs/>
        </w:rPr>
      </w:pPr>
    </w:p>
    <w:p w14:paraId="53AD048D" w14:textId="77777777" w:rsidR="00BB1713" w:rsidRDefault="00BB1713" w:rsidP="00CB7FB2">
      <w:pPr>
        <w:ind w:firstLine="720"/>
        <w:rPr>
          <w:bCs/>
        </w:rPr>
      </w:pPr>
    </w:p>
    <w:p w14:paraId="6EE26E8C" w14:textId="77777777" w:rsidR="00BB1713" w:rsidRDefault="00BB1713" w:rsidP="00CB7FB2">
      <w:pPr>
        <w:ind w:firstLine="720"/>
        <w:rPr>
          <w:bCs/>
        </w:rPr>
      </w:pPr>
    </w:p>
    <w:p w14:paraId="4D6B92C9" w14:textId="77777777" w:rsidR="00BB1713" w:rsidRDefault="00BB1713" w:rsidP="00CB7FB2">
      <w:pPr>
        <w:ind w:firstLine="720"/>
        <w:rPr>
          <w:bCs/>
        </w:rPr>
      </w:pPr>
    </w:p>
    <w:p w14:paraId="7CC8445E" w14:textId="77777777" w:rsidR="00BB1713" w:rsidRDefault="00BB1713" w:rsidP="00CB7FB2">
      <w:pPr>
        <w:ind w:firstLine="720"/>
        <w:rPr>
          <w:bCs/>
        </w:rPr>
      </w:pPr>
    </w:p>
    <w:p w14:paraId="068A48C2" w14:textId="77777777" w:rsidR="00BB1713" w:rsidRDefault="00BB1713" w:rsidP="00CB7FB2">
      <w:pPr>
        <w:ind w:firstLine="720"/>
        <w:rPr>
          <w:bCs/>
        </w:rPr>
      </w:pPr>
    </w:p>
    <w:p w14:paraId="20700321" w14:textId="77777777" w:rsidR="00BB1713" w:rsidRDefault="00BB1713" w:rsidP="00CB7FB2">
      <w:pPr>
        <w:ind w:firstLine="720"/>
        <w:rPr>
          <w:bCs/>
        </w:rPr>
      </w:pPr>
    </w:p>
    <w:p w14:paraId="7B5C2E48" w14:textId="77777777" w:rsidR="00BB1713" w:rsidRDefault="00BB1713" w:rsidP="00CB7FB2">
      <w:pPr>
        <w:ind w:firstLine="720"/>
        <w:rPr>
          <w:bCs/>
        </w:rPr>
      </w:pPr>
    </w:p>
    <w:p w14:paraId="37644BE9" w14:textId="77777777" w:rsidR="00BB1713" w:rsidRDefault="00BB1713" w:rsidP="00CB7FB2">
      <w:pPr>
        <w:ind w:firstLine="720"/>
        <w:rPr>
          <w:bCs/>
        </w:rPr>
      </w:pPr>
    </w:p>
    <w:p w14:paraId="0DC6FF38" w14:textId="77777777" w:rsidR="00BB1713" w:rsidRDefault="00BB1713" w:rsidP="00CB7FB2">
      <w:pPr>
        <w:ind w:firstLine="720"/>
        <w:rPr>
          <w:bCs/>
        </w:rPr>
      </w:pPr>
    </w:p>
    <w:p w14:paraId="0EAA0882" w14:textId="77777777" w:rsidR="00BB1713" w:rsidRDefault="00BB1713" w:rsidP="00CB7FB2">
      <w:pPr>
        <w:ind w:firstLine="720"/>
        <w:rPr>
          <w:bCs/>
        </w:rPr>
      </w:pPr>
    </w:p>
    <w:p w14:paraId="426D8E09" w14:textId="77777777" w:rsidR="00BB1713" w:rsidRDefault="00BB1713" w:rsidP="00CB7FB2">
      <w:pPr>
        <w:ind w:firstLine="720"/>
        <w:rPr>
          <w:bCs/>
        </w:rPr>
      </w:pPr>
    </w:p>
    <w:p w14:paraId="03FCC77F" w14:textId="77777777" w:rsidR="00BB1713" w:rsidRDefault="00BB1713" w:rsidP="00CB7FB2">
      <w:pPr>
        <w:ind w:firstLine="720"/>
        <w:rPr>
          <w:bCs/>
        </w:rPr>
      </w:pPr>
    </w:p>
    <w:p w14:paraId="6765A8F6" w14:textId="77777777" w:rsidR="00BB1713" w:rsidRDefault="00BB1713" w:rsidP="00CB7FB2">
      <w:pPr>
        <w:ind w:firstLine="720"/>
        <w:rPr>
          <w:bCs/>
        </w:rPr>
      </w:pPr>
    </w:p>
    <w:p w14:paraId="72C5134D" w14:textId="77777777" w:rsidR="00BB1713" w:rsidRDefault="00BB1713" w:rsidP="00CB7FB2">
      <w:pPr>
        <w:ind w:firstLine="720"/>
        <w:rPr>
          <w:bCs/>
        </w:rPr>
      </w:pPr>
    </w:p>
    <w:p w14:paraId="7C187156" w14:textId="77777777" w:rsidR="00BB1713" w:rsidRDefault="00BB1713" w:rsidP="00CB7FB2">
      <w:pPr>
        <w:ind w:firstLine="720"/>
        <w:rPr>
          <w:bCs/>
        </w:rPr>
      </w:pPr>
    </w:p>
    <w:sdt>
      <w:sdtPr>
        <w:id w:val="-85464076"/>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2C8453E1" w14:textId="3C4CA67E" w:rsidR="004C4085" w:rsidRDefault="002E5C71" w:rsidP="00DD1429">
          <w:pPr>
            <w:pStyle w:val="Heading1"/>
          </w:pPr>
          <w:r>
            <w:t>Bibliography</w:t>
          </w:r>
        </w:p>
        <w:p w14:paraId="2B7C6E82" w14:textId="77777777" w:rsidR="00DD1429" w:rsidRDefault="00DD1429" w:rsidP="00BB1713"/>
        <w:p w14:paraId="0A790F82" w14:textId="559A3B92" w:rsidR="005B0DF8" w:rsidRDefault="005B0DF8" w:rsidP="0051409A">
          <w:pPr>
            <w:pStyle w:val="ListParagraph"/>
            <w:numPr>
              <w:ilvl w:val="0"/>
              <w:numId w:val="2"/>
            </w:numPr>
          </w:pPr>
          <w:r>
            <w:t xml:space="preserve">Janet </w:t>
          </w:r>
          <w:r w:rsidRPr="001617C4">
            <w:t>Bord,</w:t>
          </w:r>
          <w:r>
            <w:t xml:space="preserve"> </w:t>
          </w:r>
          <w:r w:rsidRPr="001617C4">
            <w:t xml:space="preserve">“St </w:t>
          </w:r>
          <w:proofErr w:type="spellStart"/>
          <w:r w:rsidRPr="001617C4">
            <w:t>Winefride’s</w:t>
          </w:r>
          <w:proofErr w:type="spellEnd"/>
          <w:r w:rsidRPr="001617C4">
            <w:t xml:space="preserve"> Well, Holywell, Clwyd.” </w:t>
          </w:r>
          <w:r w:rsidRPr="00D45D97">
            <w:rPr>
              <w:i/>
              <w:iCs/>
            </w:rPr>
            <w:t>Folklore,</w:t>
          </w:r>
          <w:r>
            <w:t xml:space="preserve"> </w:t>
          </w:r>
          <w:r w:rsidRPr="001617C4">
            <w:t>105</w:t>
          </w:r>
          <w:r>
            <w:t xml:space="preserve"> (</w:t>
          </w:r>
          <w:r w:rsidRPr="001617C4">
            <w:t>1994</w:t>
          </w:r>
          <w:r>
            <w:t>)</w:t>
          </w:r>
          <w:r w:rsidRPr="001617C4">
            <w:t xml:space="preserve"> 99</w:t>
          </w:r>
          <w:r>
            <w:t>-109</w:t>
          </w:r>
          <w:r w:rsidRPr="001617C4">
            <w:t xml:space="preserve"> </w:t>
          </w:r>
          <w:hyperlink r:id="rId8" w:history="1">
            <w:r w:rsidRPr="006979B8">
              <w:rPr>
                <w:rStyle w:val="Hyperlink"/>
              </w:rPr>
              <w:t>http://www.jstor.org/stable/1260635</w:t>
            </w:r>
          </w:hyperlink>
          <w:r w:rsidRPr="001617C4">
            <w:t>.</w:t>
          </w:r>
          <w:r>
            <w:t xml:space="preserve"> [</w:t>
          </w:r>
          <w:r w:rsidRPr="001617C4">
            <w:t>Accessed 8</w:t>
          </w:r>
          <w:r w:rsidRPr="0030016D">
            <w:rPr>
              <w:vertAlign w:val="superscript"/>
            </w:rPr>
            <w:t>th</w:t>
          </w:r>
          <w:r w:rsidRPr="001617C4">
            <w:t xml:space="preserve"> Apr</w:t>
          </w:r>
          <w:r>
            <w:t>il</w:t>
          </w:r>
          <w:r w:rsidRPr="001617C4">
            <w:t xml:space="preserve"> 2025</w:t>
          </w:r>
          <w:r>
            <w:t>]</w:t>
          </w:r>
          <w:r w:rsidRPr="001617C4">
            <w:t>.</w:t>
          </w:r>
        </w:p>
        <w:p w14:paraId="07A99E1C" w14:textId="77777777" w:rsidR="005B0DF8" w:rsidRDefault="005B0DF8" w:rsidP="005B0DF8">
          <w:pPr>
            <w:pStyle w:val="ListParagraph"/>
          </w:pPr>
        </w:p>
        <w:p w14:paraId="5BC49F5B" w14:textId="6154A778" w:rsidR="0051409A" w:rsidRDefault="0051409A" w:rsidP="0051409A">
          <w:pPr>
            <w:pStyle w:val="ListParagraph"/>
            <w:numPr>
              <w:ilvl w:val="0"/>
              <w:numId w:val="2"/>
            </w:numPr>
          </w:pPr>
          <w:r>
            <w:t>David Callander (ed.), ‘</w:t>
          </w:r>
          <w:r w:rsidRPr="00E93B62">
            <w:t xml:space="preserve">Vita </w:t>
          </w:r>
          <w:proofErr w:type="spellStart"/>
          <w:r w:rsidRPr="00E93B62">
            <w:t>Sancte</w:t>
          </w:r>
          <w:proofErr w:type="spellEnd"/>
          <w:r w:rsidRPr="00E93B62">
            <w:t xml:space="preserve"> </w:t>
          </w:r>
          <w:proofErr w:type="spellStart"/>
          <w:r w:rsidRPr="00E93B62">
            <w:t>Wenefrede</w:t>
          </w:r>
          <w:proofErr w:type="spellEnd"/>
          <w:r w:rsidRPr="00E93B62">
            <w:t xml:space="preserve"> (Lansdowne 436 version)</w:t>
          </w:r>
          <w:r>
            <w:t xml:space="preserve">’, </w:t>
          </w:r>
          <w:proofErr w:type="spellStart"/>
          <w:r>
            <w:rPr>
              <w:i/>
              <w:iCs/>
            </w:rPr>
            <w:t>Seintiae</w:t>
          </w:r>
          <w:proofErr w:type="spellEnd"/>
          <w:r>
            <w:rPr>
              <w:i/>
              <w:iCs/>
            </w:rPr>
            <w:t xml:space="preserve">, </w:t>
          </w:r>
          <w:proofErr w:type="spellStart"/>
          <w:r>
            <w:rPr>
              <w:i/>
              <w:iCs/>
            </w:rPr>
            <w:t>Cwlt</w:t>
          </w:r>
          <w:proofErr w:type="spellEnd"/>
          <w:r>
            <w:rPr>
              <w:i/>
              <w:iCs/>
            </w:rPr>
            <w:t xml:space="preserve"> y </w:t>
          </w:r>
          <w:proofErr w:type="spellStart"/>
          <w:r>
            <w:rPr>
              <w:i/>
              <w:iCs/>
            </w:rPr>
            <w:t>Seintiau</w:t>
          </w:r>
          <w:proofErr w:type="spellEnd"/>
          <w:r>
            <w:rPr>
              <w:i/>
              <w:iCs/>
            </w:rPr>
            <w:t xml:space="preserve"> </w:t>
          </w:r>
          <w:proofErr w:type="spellStart"/>
          <w:r>
            <w:rPr>
              <w:i/>
              <w:iCs/>
            </w:rPr>
            <w:t>yng</w:t>
          </w:r>
          <w:proofErr w:type="spellEnd"/>
          <w:r>
            <w:rPr>
              <w:i/>
              <w:iCs/>
            </w:rPr>
            <w:t xml:space="preserve"> </w:t>
          </w:r>
          <w:proofErr w:type="spellStart"/>
          <w:r>
            <w:rPr>
              <w:i/>
              <w:iCs/>
            </w:rPr>
            <w:t>Nghymru</w:t>
          </w:r>
          <w:proofErr w:type="spellEnd"/>
          <w:r>
            <w:rPr>
              <w:i/>
              <w:iCs/>
            </w:rPr>
            <w:t xml:space="preserve"> </w:t>
          </w:r>
          <w:r>
            <w:t>(2023)</w:t>
          </w:r>
          <w:r>
            <w:rPr>
              <w:i/>
              <w:iCs/>
            </w:rPr>
            <w:t xml:space="preserve"> </w:t>
          </w:r>
          <w:hyperlink r:id="rId9" w:history="1">
            <w:r w:rsidRPr="006979B8">
              <w:rPr>
                <w:rStyle w:val="Hyperlink"/>
              </w:rPr>
              <w:t>https://saints.wales/wp-content/uploads/2023/03/Wenefreda-Lans.pdf</w:t>
            </w:r>
          </w:hyperlink>
          <w:r>
            <w:t xml:space="preserve"> [accessed: 6th April 2025]</w:t>
          </w:r>
          <w:r>
            <w:t>.</w:t>
          </w:r>
        </w:p>
        <w:p w14:paraId="67AF2B03" w14:textId="77777777" w:rsidR="0051409A" w:rsidRDefault="0051409A" w:rsidP="0051409A"/>
        <w:p w14:paraId="77301484" w14:textId="651117A2" w:rsidR="004C4085" w:rsidRDefault="004C4085" w:rsidP="002E5C71">
          <w:pPr>
            <w:pStyle w:val="ListParagraph"/>
            <w:numPr>
              <w:ilvl w:val="0"/>
              <w:numId w:val="2"/>
            </w:numPr>
          </w:pPr>
          <w:r>
            <w:t xml:space="preserve">Jane </w:t>
          </w:r>
          <w:r w:rsidRPr="00655673">
            <w:t xml:space="preserve">Cartwright, </w:t>
          </w:r>
          <w:r w:rsidRPr="00655673">
            <w:rPr>
              <w:i/>
              <w:iCs/>
            </w:rPr>
            <w:t>Feminine Sanctity and Spirituality in Medieval Wales</w:t>
          </w:r>
          <w:r w:rsidRPr="00655673">
            <w:t xml:space="preserve"> (Cardiff: University of Wales Press, 2008)</w:t>
          </w:r>
          <w:r>
            <w:t>.</w:t>
          </w:r>
        </w:p>
        <w:p w14:paraId="5AEA6B81" w14:textId="77777777" w:rsidR="00DD1429" w:rsidRDefault="00DD1429" w:rsidP="00DD1429"/>
        <w:p w14:paraId="40097060" w14:textId="0EAE9EB7" w:rsidR="00DD1429" w:rsidRDefault="00DD1429" w:rsidP="00DD1429">
          <w:pPr>
            <w:pStyle w:val="ListParagraph"/>
            <w:numPr>
              <w:ilvl w:val="0"/>
              <w:numId w:val="2"/>
            </w:numPr>
          </w:pPr>
          <w:r w:rsidRPr="00DD1429">
            <w:t xml:space="preserve">Jane Cartwright, The Welsh Versions of the Life of </w:t>
          </w:r>
          <w:proofErr w:type="spellStart"/>
          <w:r w:rsidRPr="00DD1429">
            <w:t>Gwenfrewy</w:t>
          </w:r>
          <w:proofErr w:type="spellEnd"/>
          <w:r w:rsidRPr="00DD1429">
            <w:t xml:space="preserve"> (</w:t>
          </w:r>
          <w:proofErr w:type="spellStart"/>
          <w:r w:rsidRPr="00DD1429">
            <w:t>Canolfan</w:t>
          </w:r>
          <w:proofErr w:type="spellEnd"/>
          <w:r w:rsidRPr="00DD1429">
            <w:t xml:space="preserve"> </w:t>
          </w:r>
          <w:proofErr w:type="spellStart"/>
          <w:r w:rsidRPr="00DD1429">
            <w:t>Uwchefrydiau</w:t>
          </w:r>
          <w:proofErr w:type="spellEnd"/>
          <w:r w:rsidRPr="00DD1429">
            <w:t xml:space="preserve"> </w:t>
          </w:r>
          <w:proofErr w:type="spellStart"/>
          <w:r w:rsidRPr="00DD1429">
            <w:t>Cymreig</w:t>
          </w:r>
          <w:proofErr w:type="spellEnd"/>
          <w:r w:rsidRPr="00DD1429">
            <w:t xml:space="preserve"> a </w:t>
          </w:r>
          <w:proofErr w:type="spellStart"/>
          <w:r w:rsidRPr="00DD1429">
            <w:t>Cheltaidd</w:t>
          </w:r>
          <w:proofErr w:type="spellEnd"/>
          <w:r w:rsidRPr="00DD1429">
            <w:t xml:space="preserve"> </w:t>
          </w:r>
          <w:proofErr w:type="spellStart"/>
          <w:r w:rsidRPr="00DD1429">
            <w:t>Prifysgol</w:t>
          </w:r>
          <w:proofErr w:type="spellEnd"/>
          <w:r w:rsidRPr="00DD1429">
            <w:t xml:space="preserve"> Cymru, 2022)</w:t>
          </w:r>
          <w:r>
            <w:t>.</w:t>
          </w:r>
        </w:p>
        <w:p w14:paraId="00648E40" w14:textId="77777777" w:rsidR="00A20622" w:rsidRDefault="00A20622" w:rsidP="00A20622">
          <w:pPr>
            <w:pStyle w:val="ListParagraph"/>
          </w:pPr>
        </w:p>
        <w:p w14:paraId="4B43BADD" w14:textId="7630CFDE" w:rsidR="00A20622" w:rsidRDefault="00A20622" w:rsidP="00DD1429">
          <w:pPr>
            <w:pStyle w:val="ListParagraph"/>
            <w:numPr>
              <w:ilvl w:val="0"/>
              <w:numId w:val="2"/>
            </w:numPr>
          </w:pPr>
          <w:r w:rsidRPr="006E1F47">
            <w:t>Nancy</w:t>
          </w:r>
          <w:r>
            <w:t xml:space="preserve"> </w:t>
          </w:r>
          <w:r w:rsidRPr="006E1F47">
            <w:t xml:space="preserve">Edwards, and Tristan Gray Hulse, ‘A Fragment of a Reliquary Casket from Gwytherin, North Wales’, </w:t>
          </w:r>
          <w:r w:rsidRPr="006E1F47">
            <w:rPr>
              <w:i/>
              <w:iCs/>
            </w:rPr>
            <w:t>The Antiquaries Journal</w:t>
          </w:r>
          <w:r w:rsidRPr="006E1F47">
            <w:t>, 72 (1992) 91–101</w:t>
          </w:r>
          <w:r>
            <w:t>.</w:t>
          </w:r>
        </w:p>
        <w:p w14:paraId="5432F28B" w14:textId="77777777" w:rsidR="008E4714" w:rsidRDefault="008E4714" w:rsidP="008E4714">
          <w:pPr>
            <w:pStyle w:val="ListParagraph"/>
          </w:pPr>
        </w:p>
        <w:p w14:paraId="7DDAF697" w14:textId="01EEECA0" w:rsidR="008E4714" w:rsidRDefault="008E4714" w:rsidP="00DD1429">
          <w:pPr>
            <w:pStyle w:val="ListParagraph"/>
            <w:numPr>
              <w:ilvl w:val="0"/>
              <w:numId w:val="2"/>
            </w:numPr>
          </w:pPr>
          <w:r w:rsidRPr="009500AD">
            <w:t>Nancy</w:t>
          </w:r>
          <w:r>
            <w:t xml:space="preserve"> </w:t>
          </w:r>
          <w:r w:rsidRPr="009500AD">
            <w:t xml:space="preserve">Edwards, </w:t>
          </w:r>
          <w:r w:rsidRPr="009500AD">
            <w:rPr>
              <w:i/>
              <w:iCs/>
            </w:rPr>
            <w:t>Life in Early Medieval Wales</w:t>
          </w:r>
          <w:r w:rsidRPr="009500AD">
            <w:t xml:space="preserve"> (Oxford: Oxford University Press, 2023)</w:t>
          </w:r>
          <w:r>
            <w:t>.</w:t>
          </w:r>
        </w:p>
        <w:p w14:paraId="0AA917BC" w14:textId="77777777" w:rsidR="00DD1429" w:rsidRDefault="00DD1429" w:rsidP="00A20622"/>
        <w:p w14:paraId="278F9DAC" w14:textId="77777777" w:rsidR="00F56068" w:rsidRDefault="004C4085" w:rsidP="002E5C71">
          <w:pPr>
            <w:pStyle w:val="ListParagraph"/>
            <w:numPr>
              <w:ilvl w:val="0"/>
              <w:numId w:val="2"/>
            </w:numPr>
          </w:pPr>
          <w:r>
            <w:t xml:space="preserve">Hugh </w:t>
          </w:r>
          <w:proofErr w:type="spellStart"/>
          <w:r w:rsidRPr="002D6076">
            <w:t>Feiss</w:t>
          </w:r>
          <w:proofErr w:type="spellEnd"/>
          <w:r w:rsidRPr="002D6076">
            <w:t xml:space="preserve">, Catherine </w:t>
          </w:r>
          <w:proofErr w:type="spellStart"/>
          <w:r w:rsidRPr="002D6076">
            <w:t>Hamaker</w:t>
          </w:r>
          <w:proofErr w:type="spellEnd"/>
          <w:r w:rsidRPr="002D6076">
            <w:t>, Roland Pepin,</w:t>
          </w:r>
          <w:r>
            <w:t xml:space="preserve"> </w:t>
          </w:r>
          <w:r w:rsidRPr="002D6076">
            <w:rPr>
              <w:i/>
              <w:iCs/>
            </w:rPr>
            <w:t xml:space="preserve">Two </w:t>
          </w:r>
          <w:proofErr w:type="spellStart"/>
          <w:r w:rsidRPr="002D6076">
            <w:rPr>
              <w:i/>
              <w:iCs/>
            </w:rPr>
            <w:t>Mediæval</w:t>
          </w:r>
          <w:proofErr w:type="spellEnd"/>
          <w:r w:rsidRPr="002D6076">
            <w:rPr>
              <w:i/>
              <w:iCs/>
            </w:rPr>
            <w:t xml:space="preserve"> Lives of Saint </w:t>
          </w:r>
          <w:proofErr w:type="spellStart"/>
          <w:r w:rsidRPr="002D6076">
            <w:rPr>
              <w:i/>
              <w:iCs/>
            </w:rPr>
            <w:t>Winefride</w:t>
          </w:r>
          <w:proofErr w:type="spellEnd"/>
          <w:r w:rsidRPr="002D6076">
            <w:t xml:space="preserve"> (Toronto: Peregrina Publishing Co., 2000)</w:t>
          </w:r>
          <w:r>
            <w:t>.</w:t>
          </w:r>
        </w:p>
        <w:p w14:paraId="3576F783" w14:textId="77777777" w:rsidR="008E4714" w:rsidRDefault="008E4714" w:rsidP="008E4714">
          <w:pPr>
            <w:pStyle w:val="ListParagraph"/>
          </w:pPr>
        </w:p>
        <w:p w14:paraId="53065851" w14:textId="48535220" w:rsidR="008E4714" w:rsidRDefault="008E4714" w:rsidP="002E5C71">
          <w:pPr>
            <w:pStyle w:val="ListParagraph"/>
            <w:numPr>
              <w:ilvl w:val="0"/>
              <w:numId w:val="2"/>
            </w:numPr>
          </w:pPr>
          <w:r>
            <w:t xml:space="preserve">James Ryan Gregory, </w:t>
          </w:r>
          <w:r>
            <w:rPr>
              <w:i/>
              <w:iCs/>
            </w:rPr>
            <w:t xml:space="preserve">A Welsh Saint in England: Translation, Orality, and National Identity in the Cult of St. </w:t>
          </w:r>
          <w:proofErr w:type="spellStart"/>
          <w:r>
            <w:rPr>
              <w:i/>
              <w:iCs/>
            </w:rPr>
            <w:t>Gwenfrewy</w:t>
          </w:r>
          <w:proofErr w:type="spellEnd"/>
          <w:r>
            <w:rPr>
              <w:i/>
              <w:iCs/>
            </w:rPr>
            <w:t>, 1138-1512</w:t>
          </w:r>
          <w:r>
            <w:t xml:space="preserve"> (PhD Thesis, University of Georgia, 2012)</w:t>
          </w:r>
          <w:r>
            <w:t>.</w:t>
          </w:r>
        </w:p>
        <w:p w14:paraId="6B02EDBA" w14:textId="77777777" w:rsidR="00784472" w:rsidRDefault="00784472" w:rsidP="00784472">
          <w:pPr>
            <w:pStyle w:val="ListParagraph"/>
          </w:pPr>
        </w:p>
        <w:p w14:paraId="6C6EA027" w14:textId="591FF5D3" w:rsidR="00784472" w:rsidRDefault="00784472" w:rsidP="002E5C71">
          <w:pPr>
            <w:pStyle w:val="ListParagraph"/>
            <w:numPr>
              <w:ilvl w:val="0"/>
              <w:numId w:val="2"/>
            </w:numPr>
          </w:pPr>
          <w:r w:rsidRPr="00493AAD">
            <w:t>Griffith Hartwell</w:t>
          </w:r>
          <w:r>
            <w:t xml:space="preserve"> J</w:t>
          </w:r>
          <w:r w:rsidRPr="00493AAD">
            <w:t xml:space="preserve">ones, </w:t>
          </w:r>
          <w:r w:rsidRPr="001767E0">
            <w:rPr>
              <w:i/>
              <w:iCs/>
            </w:rPr>
            <w:t>Celtic Britain and the Pilgrim Movement</w:t>
          </w:r>
          <w:r w:rsidRPr="00493AAD">
            <w:t xml:space="preserve"> (London: Honourable Society of </w:t>
          </w:r>
          <w:proofErr w:type="spellStart"/>
          <w:r w:rsidRPr="00493AAD">
            <w:t>Cymmrodorion</w:t>
          </w:r>
          <w:proofErr w:type="spellEnd"/>
          <w:r w:rsidRPr="00493AAD">
            <w:t>, 1912)</w:t>
          </w:r>
          <w:r>
            <w:t>.</w:t>
          </w:r>
        </w:p>
        <w:p w14:paraId="4BA08E59" w14:textId="77777777" w:rsidR="00F56068" w:rsidRDefault="00F56068" w:rsidP="00F56068">
          <w:pPr>
            <w:pStyle w:val="ListParagraph"/>
          </w:pPr>
        </w:p>
        <w:p w14:paraId="1FF9C364" w14:textId="77777777" w:rsidR="00516CEF" w:rsidRDefault="008A1777" w:rsidP="002E5C71">
          <w:pPr>
            <w:pStyle w:val="ListParagraph"/>
            <w:numPr>
              <w:ilvl w:val="0"/>
              <w:numId w:val="2"/>
            </w:numPr>
          </w:pPr>
          <w:r w:rsidRPr="00DB53C5">
            <w:t>Elissa R</w:t>
          </w:r>
          <w:r>
            <w:t xml:space="preserve">. </w:t>
          </w:r>
          <w:proofErr w:type="spellStart"/>
          <w:r w:rsidRPr="00DB53C5">
            <w:t>Henken</w:t>
          </w:r>
          <w:proofErr w:type="spellEnd"/>
          <w:r w:rsidRPr="00DB53C5">
            <w:t xml:space="preserve">, </w:t>
          </w:r>
          <w:r w:rsidRPr="00DB53C5">
            <w:rPr>
              <w:i/>
              <w:iCs/>
            </w:rPr>
            <w:t>Traditions of the Welsh Saints</w:t>
          </w:r>
          <w:r w:rsidRPr="00DB53C5">
            <w:t xml:space="preserve"> (Cambridge: D.S. Brewer, 1987)</w:t>
          </w:r>
          <w:r>
            <w:t>.</w:t>
          </w:r>
        </w:p>
        <w:p w14:paraId="441CFA8E" w14:textId="77777777" w:rsidR="00C917BC" w:rsidRDefault="00C917BC" w:rsidP="00C917BC">
          <w:pPr>
            <w:pStyle w:val="ListParagraph"/>
          </w:pPr>
        </w:p>
        <w:p w14:paraId="203C4B2F" w14:textId="4EEEBAB7" w:rsidR="00C917BC" w:rsidRDefault="00C917BC" w:rsidP="002E5C71">
          <w:pPr>
            <w:pStyle w:val="ListParagraph"/>
            <w:numPr>
              <w:ilvl w:val="0"/>
              <w:numId w:val="2"/>
            </w:numPr>
          </w:pPr>
          <w:r w:rsidRPr="000A5DC4">
            <w:t xml:space="preserve">Kathryn Hurlock, </w:t>
          </w:r>
          <w:r w:rsidRPr="000A5DC4">
            <w:rPr>
              <w:i/>
              <w:iCs/>
            </w:rPr>
            <w:t>Politics and Pilgrimage, Medieval Welsh Pilgrimage, c.1100-1500</w:t>
          </w:r>
          <w:r w:rsidRPr="000A5DC4">
            <w:t xml:space="preserve"> (Palgrave Macmillan US)</w:t>
          </w:r>
          <w:r>
            <w:t xml:space="preserve"> </w:t>
          </w:r>
          <w:r w:rsidRPr="000A5DC4">
            <w:t>175–207</w:t>
          </w:r>
          <w:r w:rsidR="007717D9">
            <w:t>.</w:t>
          </w:r>
        </w:p>
        <w:p w14:paraId="458376FD" w14:textId="77777777" w:rsidR="007717D9" w:rsidRDefault="007717D9" w:rsidP="007717D9">
          <w:pPr>
            <w:pStyle w:val="ListParagraph"/>
          </w:pPr>
        </w:p>
        <w:p w14:paraId="27DC3254" w14:textId="7366EF14" w:rsidR="007717D9" w:rsidRDefault="007717D9" w:rsidP="002E5C71">
          <w:pPr>
            <w:pStyle w:val="ListParagraph"/>
            <w:numPr>
              <w:ilvl w:val="0"/>
              <w:numId w:val="2"/>
            </w:numPr>
          </w:pPr>
          <w:r>
            <w:t xml:space="preserve">Barry J. Lewis, </w:t>
          </w:r>
          <w:r w:rsidRPr="001B59F6">
            <w:rPr>
              <w:i/>
              <w:iCs/>
            </w:rPr>
            <w:t xml:space="preserve">Medieval Welsh Poems to Saints and Shrines </w:t>
          </w:r>
          <w:r w:rsidRPr="001B59F6">
            <w:t>(School of Celtic Studies, Dublin Institute for Advanced Studies, 2015)</w:t>
          </w:r>
          <w:r>
            <w:t>.</w:t>
          </w:r>
        </w:p>
        <w:p w14:paraId="7CF57486" w14:textId="77777777" w:rsidR="00C917BC" w:rsidRDefault="00C917BC" w:rsidP="00C917BC">
          <w:pPr>
            <w:pStyle w:val="ListParagraph"/>
          </w:pPr>
        </w:p>
        <w:p w14:paraId="74D726B9" w14:textId="483BCC67" w:rsidR="00C917BC" w:rsidRDefault="00C917BC" w:rsidP="00C917BC">
          <w:pPr>
            <w:pStyle w:val="ListParagraph"/>
            <w:numPr>
              <w:ilvl w:val="0"/>
              <w:numId w:val="2"/>
            </w:numPr>
          </w:pPr>
          <w:r>
            <w:t xml:space="preserve">Evelyn Nicholson, ‘Unveiling the Sensory Sinfonia: Re-imagining the Sonorous Essence of Medieval Pilgrimage’, </w:t>
          </w:r>
          <w:r w:rsidRPr="00541F62">
            <w:rPr>
              <w:i/>
              <w:iCs/>
            </w:rPr>
            <w:t>European Studies Conference Selected Proceeding</w:t>
          </w:r>
          <w:r>
            <w:rPr>
              <w:i/>
              <w:iCs/>
            </w:rPr>
            <w:t xml:space="preserve">s, University of Nebraska Omaha </w:t>
          </w:r>
          <w:r>
            <w:t xml:space="preserve">(2023) </w:t>
          </w:r>
          <w:hyperlink r:id="rId10" w:history="1">
            <w:r w:rsidRPr="006979B8">
              <w:rPr>
                <w:rStyle w:val="Hyperlink"/>
              </w:rPr>
              <w:t>https://www.unomaha.edu/college-of-arts-and-sciences/european-studies-conference/esc-proceedings/evelyn-nicholson-pdf.pdf</w:t>
            </w:r>
          </w:hyperlink>
          <w:r>
            <w:t xml:space="preserve"> [accessed: 6</w:t>
          </w:r>
          <w:r w:rsidRPr="00ED7601">
            <w:rPr>
              <w:vertAlign w:val="superscript"/>
            </w:rPr>
            <w:t>th</w:t>
          </w:r>
          <w:r>
            <w:t xml:space="preserve"> April 2025].</w:t>
          </w:r>
        </w:p>
        <w:p w14:paraId="4BC9A586" w14:textId="77777777" w:rsidR="00516CEF" w:rsidRDefault="00516CEF" w:rsidP="00516CEF">
          <w:pPr>
            <w:pStyle w:val="ListParagraph"/>
          </w:pPr>
        </w:p>
        <w:p w14:paraId="6923A5E1" w14:textId="77777777" w:rsidR="009841F2" w:rsidRDefault="00516CEF" w:rsidP="002E5C71">
          <w:pPr>
            <w:pStyle w:val="ListParagraph"/>
            <w:numPr>
              <w:ilvl w:val="0"/>
              <w:numId w:val="2"/>
            </w:numPr>
          </w:pPr>
          <w:r w:rsidRPr="00A24564">
            <w:t>Evelyn</w:t>
          </w:r>
          <w:r>
            <w:t xml:space="preserve"> </w:t>
          </w:r>
          <w:r w:rsidRPr="00A24564">
            <w:t>Nicholson-Jenkins,</w:t>
          </w:r>
          <w:r>
            <w:t xml:space="preserve"> </w:t>
          </w:r>
          <w:r w:rsidRPr="00A24564">
            <w:t xml:space="preserve">‘From the Foothills of Snowdonia to Shrewsbury and Beyond: The Transition of St. </w:t>
          </w:r>
          <w:proofErr w:type="spellStart"/>
          <w:r w:rsidRPr="00A24564">
            <w:t>Winefride</w:t>
          </w:r>
          <w:proofErr w:type="spellEnd"/>
          <w:r w:rsidRPr="00A24564">
            <w:t xml:space="preserve"> from Child to Great Saint’, </w:t>
          </w:r>
          <w:r w:rsidRPr="00A24564">
            <w:rPr>
              <w:i/>
              <w:iCs/>
            </w:rPr>
            <w:t>Essays in Medieval Studies</w:t>
          </w:r>
          <w:r w:rsidRPr="00A24564">
            <w:t>, 37.1 (2022) 1–13</w:t>
          </w:r>
          <w:r>
            <w:t>.</w:t>
          </w:r>
        </w:p>
        <w:p w14:paraId="179F959D" w14:textId="77777777" w:rsidR="009841F2" w:rsidRDefault="009841F2" w:rsidP="00C917BC"/>
        <w:p w14:paraId="7D4B2A9D" w14:textId="77777777" w:rsidR="008E4714" w:rsidRDefault="009841F2" w:rsidP="002E5C71">
          <w:pPr>
            <w:pStyle w:val="ListParagraph"/>
            <w:numPr>
              <w:ilvl w:val="0"/>
              <w:numId w:val="2"/>
            </w:numPr>
          </w:pPr>
          <w:r>
            <w:t xml:space="preserve">Ian </w:t>
          </w:r>
          <w:proofErr w:type="spellStart"/>
          <w:r w:rsidRPr="00A24564">
            <w:t>Richards</w:t>
          </w:r>
          <w:r>
            <w:t>,’T</w:t>
          </w:r>
          <w:r w:rsidRPr="00A24564">
            <w:t>he</w:t>
          </w:r>
          <w:proofErr w:type="spellEnd"/>
          <w:r w:rsidRPr="00A24564">
            <w:t xml:space="preserve"> Welsh Female Saint: Patterns within a Social Framework.</w:t>
          </w:r>
          <w:r>
            <w:t>’</w:t>
          </w:r>
          <w:r w:rsidRPr="00A24564">
            <w:t xml:space="preserve"> </w:t>
          </w:r>
          <w:r>
            <w:rPr>
              <w:i/>
              <w:iCs/>
            </w:rPr>
            <w:t>The Student Researcher-University of Wales Trinity Saint David</w:t>
          </w:r>
          <w:r>
            <w:t xml:space="preserve">, 2:1 </w:t>
          </w:r>
          <w:r w:rsidRPr="00A24564">
            <w:t>(201</w:t>
          </w:r>
          <w:r>
            <w:t>2</w:t>
          </w:r>
          <w:r w:rsidRPr="00A24564">
            <w:t>) 69</w:t>
          </w:r>
          <w:r>
            <w:t>-77</w:t>
          </w:r>
          <w:r w:rsidR="005D00FF">
            <w:t>.</w:t>
          </w:r>
        </w:p>
        <w:p w14:paraId="4F7C2D53" w14:textId="77777777" w:rsidR="00BB1713" w:rsidRDefault="00BB1713" w:rsidP="00BB1713">
          <w:pPr>
            <w:pStyle w:val="ListParagraph"/>
          </w:pPr>
        </w:p>
        <w:p w14:paraId="799E785B" w14:textId="3693D287" w:rsidR="00BB1713" w:rsidRDefault="00BB1713" w:rsidP="002E5C71">
          <w:pPr>
            <w:pStyle w:val="ListParagraph"/>
            <w:numPr>
              <w:ilvl w:val="0"/>
              <w:numId w:val="2"/>
            </w:numPr>
          </w:pPr>
          <w:r>
            <w:t xml:space="preserve">Nigel </w:t>
          </w:r>
          <w:proofErr w:type="spellStart"/>
          <w:r>
            <w:t>Tringham</w:t>
          </w:r>
          <w:proofErr w:type="spellEnd"/>
          <w:r>
            <w:t xml:space="preserve">, ‘Basingwerk Abbey (Flints.) and its Founders: </w:t>
          </w:r>
          <w:proofErr w:type="gramStart"/>
          <w:r>
            <w:t>an</w:t>
          </w:r>
          <w:proofErr w:type="gramEnd"/>
          <w:r>
            <w:t xml:space="preserve"> Earl, a King and a Prince’, </w:t>
          </w:r>
          <w:r>
            <w:rPr>
              <w:i/>
              <w:iCs/>
            </w:rPr>
            <w:t>The Welsh History Review</w:t>
          </w:r>
          <w:r>
            <w:t>, 30.3 (2021) 287-319</w:t>
          </w:r>
          <w:r w:rsidR="0084256B">
            <w:t>.</w:t>
          </w:r>
        </w:p>
        <w:p w14:paraId="4F77F69F" w14:textId="77777777" w:rsidR="00FB16E3" w:rsidRDefault="00FB16E3" w:rsidP="00FB16E3">
          <w:pPr>
            <w:pStyle w:val="ListParagraph"/>
          </w:pPr>
        </w:p>
        <w:p w14:paraId="7042D87C" w14:textId="506F5B05" w:rsidR="00FB16E3" w:rsidRDefault="00FB16E3" w:rsidP="002E5C71">
          <w:pPr>
            <w:pStyle w:val="ListParagraph"/>
            <w:numPr>
              <w:ilvl w:val="0"/>
              <w:numId w:val="2"/>
            </w:numPr>
          </w:pPr>
          <w:r>
            <w:t xml:space="preserve">Fiona Winward, ‘The Lives of St </w:t>
          </w:r>
          <w:proofErr w:type="spellStart"/>
          <w:r>
            <w:t>Wenefred</w:t>
          </w:r>
          <w:proofErr w:type="spellEnd"/>
          <w:r w:rsidRPr="00BD3AD0">
            <w:t xml:space="preserve"> (BHL 8847-51</w:t>
          </w:r>
          <w:r w:rsidRPr="00FB5D4B">
            <w:t>)”</w:t>
          </w:r>
          <w:r w:rsidRPr="00FB5D4B">
            <w:rPr>
              <w:i/>
              <w:iCs/>
            </w:rPr>
            <w:t xml:space="preserve">, Analecta </w:t>
          </w:r>
          <w:proofErr w:type="spellStart"/>
          <w:r w:rsidRPr="00FB5D4B">
            <w:rPr>
              <w:i/>
              <w:iCs/>
            </w:rPr>
            <w:t>Bollandiana</w:t>
          </w:r>
          <w:proofErr w:type="spellEnd"/>
          <w:r>
            <w:rPr>
              <w:i/>
              <w:iCs/>
            </w:rPr>
            <w:t>,</w:t>
          </w:r>
          <w:r w:rsidRPr="00BD3AD0">
            <w:t xml:space="preserve"> 117 (1999) 89</w:t>
          </w:r>
          <w:r>
            <w:t>-1</w:t>
          </w:r>
          <w:r w:rsidRPr="00BD3AD0">
            <w:t>32</w:t>
          </w:r>
          <w:r>
            <w:t>.</w:t>
          </w:r>
        </w:p>
        <w:p w14:paraId="47AEB12F" w14:textId="34808EDB" w:rsidR="008E4714" w:rsidRDefault="008E4714" w:rsidP="008E4714">
          <w:pPr>
            <w:pStyle w:val="ListParagraph"/>
          </w:pPr>
        </w:p>
      </w:sdtContent>
    </w:sdt>
    <w:p w14:paraId="25DD35F7" w14:textId="77777777" w:rsidR="00FB4F8C" w:rsidRPr="00AE73C0" w:rsidRDefault="00FB4F8C" w:rsidP="00CB7FB2">
      <w:pPr>
        <w:ind w:firstLine="720"/>
        <w:rPr>
          <w:bCs/>
        </w:rPr>
      </w:pPr>
    </w:p>
    <w:sectPr w:rsidR="00FB4F8C" w:rsidRPr="00AE73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0EDF17" w14:textId="77777777" w:rsidR="00C742C3" w:rsidRDefault="00C742C3" w:rsidP="00655673">
      <w:r>
        <w:separator/>
      </w:r>
    </w:p>
  </w:endnote>
  <w:endnote w:type="continuationSeparator" w:id="0">
    <w:p w14:paraId="49E621E0" w14:textId="77777777" w:rsidR="00C742C3" w:rsidRDefault="00C742C3" w:rsidP="00655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7ED85" w14:textId="77777777" w:rsidR="00C742C3" w:rsidRDefault="00C742C3" w:rsidP="00655673">
      <w:r>
        <w:separator/>
      </w:r>
    </w:p>
  </w:footnote>
  <w:footnote w:type="continuationSeparator" w:id="0">
    <w:p w14:paraId="24E397BD" w14:textId="77777777" w:rsidR="00C742C3" w:rsidRDefault="00C742C3" w:rsidP="00655673">
      <w:r>
        <w:continuationSeparator/>
      </w:r>
    </w:p>
  </w:footnote>
  <w:footnote w:id="1">
    <w:p w14:paraId="64BF384B" w14:textId="77777777" w:rsidR="00655673" w:rsidRDefault="00655673">
      <w:pPr>
        <w:pStyle w:val="FootnoteText"/>
      </w:pPr>
      <w:r>
        <w:rPr>
          <w:rStyle w:val="FootnoteReference"/>
        </w:rPr>
        <w:footnoteRef/>
      </w:r>
      <w:r>
        <w:t xml:space="preserve"> Jane </w:t>
      </w:r>
      <w:r w:rsidRPr="00655673">
        <w:t xml:space="preserve">Cartwright, </w:t>
      </w:r>
      <w:r w:rsidRPr="00655673">
        <w:rPr>
          <w:i/>
          <w:iCs/>
        </w:rPr>
        <w:t>Feminine Sanctity and Spirituality in Medieval Wales</w:t>
      </w:r>
      <w:r w:rsidRPr="00655673">
        <w:t xml:space="preserve"> (Cardiff: University of Wales Press, 2008)</w:t>
      </w:r>
      <w:r>
        <w:t xml:space="preserve"> p. 3.</w:t>
      </w:r>
    </w:p>
  </w:footnote>
  <w:footnote w:id="2">
    <w:p w14:paraId="16DF754F" w14:textId="77777777" w:rsidR="002D6076" w:rsidRDefault="002D6076">
      <w:pPr>
        <w:pStyle w:val="FootnoteText"/>
      </w:pPr>
      <w:r>
        <w:rPr>
          <w:rStyle w:val="FootnoteReference"/>
        </w:rPr>
        <w:footnoteRef/>
      </w:r>
      <w:r>
        <w:t xml:space="preserve"> Hugh </w:t>
      </w:r>
      <w:proofErr w:type="spellStart"/>
      <w:r w:rsidRPr="002D6076">
        <w:t>Feiss</w:t>
      </w:r>
      <w:proofErr w:type="spellEnd"/>
      <w:r w:rsidRPr="002D6076">
        <w:t xml:space="preserve">, Catherine </w:t>
      </w:r>
      <w:proofErr w:type="spellStart"/>
      <w:r w:rsidRPr="002D6076">
        <w:t>Hamaker</w:t>
      </w:r>
      <w:proofErr w:type="spellEnd"/>
      <w:r w:rsidRPr="002D6076">
        <w:t>, Roland Pepin,</w:t>
      </w:r>
      <w:r w:rsidR="00661C71">
        <w:t xml:space="preserve"> </w:t>
      </w:r>
      <w:r w:rsidRPr="002D6076">
        <w:rPr>
          <w:i/>
          <w:iCs/>
        </w:rPr>
        <w:t xml:space="preserve">Two </w:t>
      </w:r>
      <w:proofErr w:type="spellStart"/>
      <w:r w:rsidRPr="002D6076">
        <w:rPr>
          <w:i/>
          <w:iCs/>
        </w:rPr>
        <w:t>Mediæval</w:t>
      </w:r>
      <w:proofErr w:type="spellEnd"/>
      <w:r w:rsidRPr="002D6076">
        <w:rPr>
          <w:i/>
          <w:iCs/>
        </w:rPr>
        <w:t xml:space="preserve"> Lives of Saint </w:t>
      </w:r>
      <w:proofErr w:type="spellStart"/>
      <w:r w:rsidRPr="002D6076">
        <w:rPr>
          <w:i/>
          <w:iCs/>
        </w:rPr>
        <w:t>Winefride</w:t>
      </w:r>
      <w:proofErr w:type="spellEnd"/>
      <w:r w:rsidRPr="002D6076">
        <w:t xml:space="preserve"> (Toronto: Peregrina Publishing Co., 2000)</w:t>
      </w:r>
      <w:r>
        <w:t xml:space="preserve"> p. 7. </w:t>
      </w:r>
    </w:p>
  </w:footnote>
  <w:footnote w:id="3">
    <w:p w14:paraId="15A41CF0" w14:textId="77777777" w:rsidR="00DB7FCB" w:rsidRDefault="00DB7FCB">
      <w:pPr>
        <w:pStyle w:val="FootnoteText"/>
      </w:pPr>
      <w:r>
        <w:rPr>
          <w:rStyle w:val="FootnoteReference"/>
        </w:rPr>
        <w:footnoteRef/>
      </w:r>
      <w:r>
        <w:t xml:space="preserve"> Ibid. </w:t>
      </w:r>
    </w:p>
  </w:footnote>
  <w:footnote w:id="4">
    <w:p w14:paraId="53F6D05E" w14:textId="77777777" w:rsidR="00D27BCC" w:rsidRPr="00D27BCC" w:rsidRDefault="00D27BCC">
      <w:pPr>
        <w:pStyle w:val="FootnoteText"/>
      </w:pPr>
      <w:r>
        <w:rPr>
          <w:rStyle w:val="FootnoteReference"/>
        </w:rPr>
        <w:footnoteRef/>
      </w:r>
      <w:r>
        <w:t xml:space="preserve"> Cartwright, </w:t>
      </w:r>
      <w:r>
        <w:rPr>
          <w:i/>
          <w:iCs/>
        </w:rPr>
        <w:t>Feminine Sanctity and Spirituality</w:t>
      </w:r>
      <w:r>
        <w:t>, p. 72.</w:t>
      </w:r>
    </w:p>
  </w:footnote>
  <w:footnote w:id="5">
    <w:p w14:paraId="3EA4944B" w14:textId="77777777" w:rsidR="000E5641" w:rsidRDefault="000E5641">
      <w:pPr>
        <w:pStyle w:val="FootnoteText"/>
      </w:pPr>
      <w:r>
        <w:rPr>
          <w:rStyle w:val="FootnoteReference"/>
        </w:rPr>
        <w:footnoteRef/>
      </w:r>
      <w:r>
        <w:t xml:space="preserve"> Sabine </w:t>
      </w:r>
      <w:r w:rsidRPr="000E5641">
        <w:t xml:space="preserve">Baring-Gould, John Fisher, </w:t>
      </w:r>
      <w:r w:rsidRPr="000E5641">
        <w:rPr>
          <w:i/>
          <w:iCs/>
        </w:rPr>
        <w:t>The Lives of the British Saints: The Saints of Wales and Cornwall and Such Irish Saints as Have Dedications in Britain</w:t>
      </w:r>
      <w:r w:rsidRPr="000E5641">
        <w:t xml:space="preserve">. Vol. 3 / Vol. 3 (London: The Honourable Society of </w:t>
      </w:r>
      <w:proofErr w:type="spellStart"/>
      <w:r w:rsidRPr="000E5641">
        <w:t>Cymmrodorion</w:t>
      </w:r>
      <w:proofErr w:type="spellEnd"/>
      <w:r w:rsidRPr="000E5641">
        <w:t>, 1911)</w:t>
      </w:r>
      <w:r>
        <w:t xml:space="preserve"> p. 186.</w:t>
      </w:r>
    </w:p>
  </w:footnote>
  <w:footnote w:id="6">
    <w:p w14:paraId="22C7EBE4" w14:textId="07BCD731" w:rsidR="00405A12" w:rsidRDefault="00405A12">
      <w:pPr>
        <w:pStyle w:val="FootnoteText"/>
      </w:pPr>
      <w:r>
        <w:rPr>
          <w:rStyle w:val="FootnoteReference"/>
        </w:rPr>
        <w:footnoteRef/>
      </w:r>
      <w:r>
        <w:t xml:space="preserve"> </w:t>
      </w:r>
      <w:r>
        <w:t xml:space="preserve">Jane Cartwright, </w:t>
      </w:r>
      <w:r w:rsidRPr="00DB7FCB">
        <w:rPr>
          <w:i/>
          <w:iCs/>
        </w:rPr>
        <w:t xml:space="preserve">The Welsh Versions of the Life of </w:t>
      </w:r>
      <w:proofErr w:type="spellStart"/>
      <w:r w:rsidRPr="00DB7FCB">
        <w:rPr>
          <w:i/>
          <w:iCs/>
        </w:rPr>
        <w:t>Gwenfrewy</w:t>
      </w:r>
      <w:proofErr w:type="spellEnd"/>
      <w:r w:rsidRPr="00DB7FCB">
        <w:rPr>
          <w:i/>
          <w:iCs/>
        </w:rPr>
        <w:t xml:space="preserve"> </w:t>
      </w:r>
      <w:r>
        <w:t>(</w:t>
      </w:r>
      <w:proofErr w:type="spellStart"/>
      <w:r>
        <w:t>Canolfan</w:t>
      </w:r>
      <w:proofErr w:type="spellEnd"/>
      <w:r>
        <w:t xml:space="preserve"> </w:t>
      </w:r>
      <w:proofErr w:type="spellStart"/>
      <w:r>
        <w:t>Uwchefrydiau</w:t>
      </w:r>
      <w:proofErr w:type="spellEnd"/>
      <w:r>
        <w:t xml:space="preserve"> </w:t>
      </w:r>
      <w:proofErr w:type="spellStart"/>
      <w:r>
        <w:t>Cymreig</w:t>
      </w:r>
      <w:proofErr w:type="spellEnd"/>
      <w:r>
        <w:t xml:space="preserve"> a </w:t>
      </w:r>
      <w:proofErr w:type="spellStart"/>
      <w:r>
        <w:t>Cheltaidd</w:t>
      </w:r>
      <w:proofErr w:type="spellEnd"/>
      <w:r>
        <w:t xml:space="preserve"> </w:t>
      </w:r>
      <w:proofErr w:type="spellStart"/>
      <w:r>
        <w:t>Prifysgol</w:t>
      </w:r>
      <w:proofErr w:type="spellEnd"/>
      <w:r>
        <w:t xml:space="preserve"> Cymru, 2022) p. 24</w:t>
      </w:r>
      <w:r>
        <w:t>1</w:t>
      </w:r>
      <w:r>
        <w:t>.</w:t>
      </w:r>
    </w:p>
  </w:footnote>
  <w:footnote w:id="7">
    <w:p w14:paraId="6AB14A7D" w14:textId="77777777" w:rsidR="00DB7FCB" w:rsidRDefault="00DB7FCB" w:rsidP="00DB7FCB">
      <w:pPr>
        <w:pStyle w:val="FootnoteText"/>
      </w:pPr>
      <w:r>
        <w:rPr>
          <w:rStyle w:val="FootnoteReference"/>
        </w:rPr>
        <w:footnoteRef/>
      </w:r>
      <w:r>
        <w:t xml:space="preserve"> </w:t>
      </w:r>
      <w:r w:rsidR="00405A12">
        <w:t>Ibid. p. 243.</w:t>
      </w:r>
    </w:p>
  </w:footnote>
  <w:footnote w:id="8">
    <w:p w14:paraId="2E83943F" w14:textId="77777777" w:rsidR="001A0B78" w:rsidRDefault="001A0B78">
      <w:pPr>
        <w:pStyle w:val="FootnoteText"/>
      </w:pPr>
      <w:r>
        <w:rPr>
          <w:rStyle w:val="FootnoteReference"/>
        </w:rPr>
        <w:footnoteRef/>
      </w:r>
      <w:r>
        <w:t xml:space="preserve"> Ibid. p. 244.</w:t>
      </w:r>
    </w:p>
  </w:footnote>
  <w:footnote w:id="9">
    <w:p w14:paraId="08DB11E0" w14:textId="5D7A043B" w:rsidR="006C3BBF" w:rsidRPr="006C3BBF" w:rsidRDefault="006C3BBF">
      <w:pPr>
        <w:pStyle w:val="FootnoteText"/>
      </w:pPr>
      <w:r>
        <w:rPr>
          <w:rStyle w:val="FootnoteReference"/>
        </w:rPr>
        <w:footnoteRef/>
      </w:r>
      <w:r>
        <w:t xml:space="preserve"> </w:t>
      </w:r>
      <w:proofErr w:type="spellStart"/>
      <w:r>
        <w:t>Feiss</w:t>
      </w:r>
      <w:proofErr w:type="spellEnd"/>
      <w:r>
        <w:t xml:space="preserve">, </w:t>
      </w:r>
      <w:proofErr w:type="spellStart"/>
      <w:r>
        <w:t>Hamaker</w:t>
      </w:r>
      <w:proofErr w:type="spellEnd"/>
      <w:r>
        <w:t xml:space="preserve"> &amp; Pepin, </w:t>
      </w:r>
      <w:r>
        <w:rPr>
          <w:i/>
          <w:iCs/>
        </w:rPr>
        <w:t xml:space="preserve">Two </w:t>
      </w:r>
      <w:proofErr w:type="spellStart"/>
      <w:r>
        <w:rPr>
          <w:i/>
          <w:iCs/>
        </w:rPr>
        <w:t>Medi</w:t>
      </w:r>
      <w:r w:rsidR="000D71FA">
        <w:rPr>
          <w:i/>
          <w:iCs/>
        </w:rPr>
        <w:t>æ</w:t>
      </w:r>
      <w:r>
        <w:rPr>
          <w:i/>
          <w:iCs/>
        </w:rPr>
        <w:t>val</w:t>
      </w:r>
      <w:proofErr w:type="spellEnd"/>
      <w:r>
        <w:rPr>
          <w:i/>
          <w:iCs/>
        </w:rPr>
        <w:t xml:space="preserve"> Lives of Saint </w:t>
      </w:r>
      <w:proofErr w:type="spellStart"/>
      <w:r>
        <w:rPr>
          <w:i/>
          <w:iCs/>
        </w:rPr>
        <w:t>Winefrede</w:t>
      </w:r>
      <w:proofErr w:type="spellEnd"/>
      <w:r>
        <w:t>, p. 27.</w:t>
      </w:r>
    </w:p>
  </w:footnote>
  <w:footnote w:id="10">
    <w:p w14:paraId="574981CF" w14:textId="77777777" w:rsidR="006C3BBF" w:rsidRDefault="006C3BBF">
      <w:pPr>
        <w:pStyle w:val="FootnoteText"/>
      </w:pPr>
      <w:r>
        <w:rPr>
          <w:rStyle w:val="FootnoteReference"/>
        </w:rPr>
        <w:footnoteRef/>
      </w:r>
      <w:r>
        <w:t xml:space="preserve"> Ibid. p. 18.</w:t>
      </w:r>
    </w:p>
  </w:footnote>
  <w:footnote w:id="11">
    <w:p w14:paraId="3A05CE52" w14:textId="77777777" w:rsidR="00DB53C5" w:rsidRDefault="00DB53C5">
      <w:pPr>
        <w:pStyle w:val="FootnoteText"/>
      </w:pPr>
      <w:r>
        <w:rPr>
          <w:rStyle w:val="FootnoteReference"/>
        </w:rPr>
        <w:footnoteRef/>
      </w:r>
      <w:r>
        <w:t xml:space="preserve"> </w:t>
      </w:r>
      <w:r w:rsidRPr="00DB53C5">
        <w:t>Elissa R</w:t>
      </w:r>
      <w:r>
        <w:t xml:space="preserve">. </w:t>
      </w:r>
      <w:proofErr w:type="spellStart"/>
      <w:r w:rsidRPr="00DB53C5">
        <w:t>Henken</w:t>
      </w:r>
      <w:proofErr w:type="spellEnd"/>
      <w:r w:rsidRPr="00DB53C5">
        <w:t xml:space="preserve">, </w:t>
      </w:r>
      <w:r w:rsidRPr="00DB53C5">
        <w:rPr>
          <w:i/>
          <w:iCs/>
        </w:rPr>
        <w:t>Traditions of the Welsh Saints</w:t>
      </w:r>
      <w:r w:rsidRPr="00DB53C5">
        <w:t xml:space="preserve"> (Cambridge: D.S. Brewer, 1987)</w:t>
      </w:r>
      <w:r>
        <w:t xml:space="preserve"> p. 141. </w:t>
      </w:r>
    </w:p>
  </w:footnote>
  <w:footnote w:id="12">
    <w:p w14:paraId="0BC8FDC1" w14:textId="7923A780" w:rsidR="007F2FBB" w:rsidRPr="008A2437" w:rsidRDefault="007F2FBB">
      <w:pPr>
        <w:pStyle w:val="FootnoteText"/>
      </w:pPr>
      <w:r>
        <w:rPr>
          <w:rStyle w:val="FootnoteReference"/>
        </w:rPr>
        <w:footnoteRef/>
      </w:r>
      <w:r>
        <w:t xml:space="preserve"> </w:t>
      </w:r>
      <w:proofErr w:type="spellStart"/>
      <w:r>
        <w:t>Henken</w:t>
      </w:r>
      <w:proofErr w:type="spellEnd"/>
      <w:r>
        <w:t xml:space="preserve">, </w:t>
      </w:r>
      <w:r>
        <w:rPr>
          <w:i/>
          <w:iCs/>
        </w:rPr>
        <w:t>Traditions of the Welsh Saints,</w:t>
      </w:r>
      <w:r>
        <w:t xml:space="preserve"> p. 77. (for Beuno) and, </w:t>
      </w:r>
      <w:proofErr w:type="spellStart"/>
      <w:r>
        <w:t>Feiss</w:t>
      </w:r>
      <w:proofErr w:type="spellEnd"/>
      <w:r>
        <w:t xml:space="preserve">, </w:t>
      </w:r>
      <w:proofErr w:type="spellStart"/>
      <w:r>
        <w:t>Hamaker</w:t>
      </w:r>
      <w:proofErr w:type="spellEnd"/>
      <w:r>
        <w:t xml:space="preserve"> &amp; Pepin, </w:t>
      </w:r>
      <w:r>
        <w:rPr>
          <w:i/>
          <w:iCs/>
        </w:rPr>
        <w:t xml:space="preserve">Two </w:t>
      </w:r>
      <w:proofErr w:type="spellStart"/>
      <w:r>
        <w:rPr>
          <w:i/>
          <w:iCs/>
        </w:rPr>
        <w:t>Medi</w:t>
      </w:r>
      <w:r w:rsidR="000D71FA">
        <w:rPr>
          <w:i/>
          <w:iCs/>
        </w:rPr>
        <w:t>æ</w:t>
      </w:r>
      <w:r>
        <w:rPr>
          <w:i/>
          <w:iCs/>
        </w:rPr>
        <w:t>val</w:t>
      </w:r>
      <w:proofErr w:type="spellEnd"/>
      <w:r>
        <w:rPr>
          <w:i/>
          <w:iCs/>
        </w:rPr>
        <w:t xml:space="preserve"> lives of Saint </w:t>
      </w:r>
      <w:proofErr w:type="spellStart"/>
      <w:r>
        <w:rPr>
          <w:i/>
          <w:iCs/>
        </w:rPr>
        <w:t>Winefrede</w:t>
      </w:r>
      <w:proofErr w:type="spellEnd"/>
      <w:r w:rsidR="008A2437">
        <w:t xml:space="preserve">, p. 100. (for the Anonymous </w:t>
      </w:r>
      <w:r w:rsidR="00EA7A2D">
        <w:t>v</w:t>
      </w:r>
      <w:r w:rsidR="008A2437">
        <w:t>ita).</w:t>
      </w:r>
    </w:p>
  </w:footnote>
  <w:footnote w:id="13">
    <w:p w14:paraId="38BB800C" w14:textId="47570DDF" w:rsidR="008A2437" w:rsidRDefault="008A2437">
      <w:pPr>
        <w:pStyle w:val="FootnoteText"/>
      </w:pPr>
      <w:r>
        <w:rPr>
          <w:rStyle w:val="FootnoteReference"/>
        </w:rPr>
        <w:footnoteRef/>
      </w:r>
      <w:r>
        <w:t xml:space="preserve"> </w:t>
      </w:r>
      <w:proofErr w:type="spellStart"/>
      <w:r w:rsidRPr="008A2437">
        <w:t>Feiss</w:t>
      </w:r>
      <w:proofErr w:type="spellEnd"/>
      <w:r w:rsidRPr="008A2437">
        <w:t xml:space="preserve">, </w:t>
      </w:r>
      <w:proofErr w:type="spellStart"/>
      <w:r w:rsidRPr="008A2437">
        <w:t>Hamaker</w:t>
      </w:r>
      <w:proofErr w:type="spellEnd"/>
      <w:r w:rsidRPr="008A2437">
        <w:t xml:space="preserve"> &amp; Pepin, </w:t>
      </w:r>
      <w:r w:rsidRPr="009345B4">
        <w:rPr>
          <w:i/>
          <w:iCs/>
        </w:rPr>
        <w:t xml:space="preserve">Two </w:t>
      </w:r>
      <w:proofErr w:type="spellStart"/>
      <w:r w:rsidRPr="009345B4">
        <w:rPr>
          <w:i/>
          <w:iCs/>
        </w:rPr>
        <w:t>Medi</w:t>
      </w:r>
      <w:r w:rsidR="000D71FA">
        <w:rPr>
          <w:i/>
          <w:iCs/>
        </w:rPr>
        <w:t>æ</w:t>
      </w:r>
      <w:r w:rsidRPr="009345B4">
        <w:rPr>
          <w:i/>
          <w:iCs/>
        </w:rPr>
        <w:t>val</w:t>
      </w:r>
      <w:proofErr w:type="spellEnd"/>
      <w:r w:rsidRPr="009345B4">
        <w:rPr>
          <w:i/>
          <w:iCs/>
        </w:rPr>
        <w:t xml:space="preserve"> Lives of Saint </w:t>
      </w:r>
      <w:proofErr w:type="spellStart"/>
      <w:r w:rsidRPr="009345B4">
        <w:rPr>
          <w:i/>
          <w:iCs/>
        </w:rPr>
        <w:t>Winefrede</w:t>
      </w:r>
      <w:proofErr w:type="spellEnd"/>
      <w:r w:rsidRPr="008A2437">
        <w:t>,</w:t>
      </w:r>
      <w:r>
        <w:t xml:space="preserve"> p. 35</w:t>
      </w:r>
    </w:p>
  </w:footnote>
  <w:footnote w:id="14">
    <w:p w14:paraId="05C8FE53" w14:textId="02CF0523" w:rsidR="001421A3" w:rsidRDefault="001421A3">
      <w:pPr>
        <w:pStyle w:val="FootnoteText"/>
      </w:pPr>
      <w:r>
        <w:rPr>
          <w:rStyle w:val="FootnoteReference"/>
        </w:rPr>
        <w:footnoteRef/>
      </w:r>
      <w:r>
        <w:t xml:space="preserve"> Ibid.</w:t>
      </w:r>
    </w:p>
  </w:footnote>
  <w:footnote w:id="15">
    <w:p w14:paraId="0C2C2946" w14:textId="5B04BA59" w:rsidR="003A72E1" w:rsidRDefault="003A72E1">
      <w:pPr>
        <w:pStyle w:val="FootnoteText"/>
      </w:pPr>
      <w:r>
        <w:rPr>
          <w:rStyle w:val="FootnoteReference"/>
        </w:rPr>
        <w:footnoteRef/>
      </w:r>
      <w:r>
        <w:t xml:space="preserve"> Ibid</w:t>
      </w:r>
      <w:r w:rsidR="001421A3">
        <w:t>.</w:t>
      </w:r>
    </w:p>
  </w:footnote>
  <w:footnote w:id="16">
    <w:p w14:paraId="15381EE6" w14:textId="77777777" w:rsidR="0060029F" w:rsidRDefault="0060029F">
      <w:pPr>
        <w:pStyle w:val="FootnoteText"/>
      </w:pPr>
      <w:r>
        <w:rPr>
          <w:rStyle w:val="FootnoteReference"/>
        </w:rPr>
        <w:footnoteRef/>
      </w:r>
      <w:r>
        <w:t xml:space="preserve"> </w:t>
      </w:r>
      <w:r w:rsidR="008A2437">
        <w:t xml:space="preserve">Ibid. </w:t>
      </w:r>
    </w:p>
  </w:footnote>
  <w:footnote w:id="17">
    <w:p w14:paraId="25062770" w14:textId="77777777" w:rsidR="00DB3600" w:rsidRPr="00631763" w:rsidRDefault="00DB3600">
      <w:pPr>
        <w:pStyle w:val="FootnoteText"/>
      </w:pPr>
      <w:r>
        <w:rPr>
          <w:rStyle w:val="FootnoteReference"/>
        </w:rPr>
        <w:footnoteRef/>
      </w:r>
      <w:r>
        <w:t xml:space="preserve"> </w:t>
      </w:r>
      <w:proofErr w:type="spellStart"/>
      <w:r>
        <w:t>Henken</w:t>
      </w:r>
      <w:proofErr w:type="spellEnd"/>
      <w:r>
        <w:t xml:space="preserve">, </w:t>
      </w:r>
      <w:r>
        <w:rPr>
          <w:i/>
          <w:iCs/>
        </w:rPr>
        <w:t>Traditions of the Welsh Saints</w:t>
      </w:r>
      <w:r w:rsidR="00631763">
        <w:rPr>
          <w:i/>
          <w:iCs/>
        </w:rPr>
        <w:t xml:space="preserve">, </w:t>
      </w:r>
      <w:r w:rsidR="00631763">
        <w:t>p. 143,</w:t>
      </w:r>
    </w:p>
  </w:footnote>
  <w:footnote w:id="18">
    <w:p w14:paraId="7823AAE8" w14:textId="77777777" w:rsidR="00631763" w:rsidRDefault="00631763">
      <w:pPr>
        <w:pStyle w:val="FootnoteText"/>
      </w:pPr>
      <w:r>
        <w:rPr>
          <w:rStyle w:val="FootnoteReference"/>
        </w:rPr>
        <w:footnoteRef/>
      </w:r>
      <w:r>
        <w:t xml:space="preserve"> Ibid.</w:t>
      </w:r>
    </w:p>
  </w:footnote>
  <w:footnote w:id="19">
    <w:p w14:paraId="0B608178" w14:textId="77777777" w:rsidR="00F86DAF" w:rsidRDefault="00F86DAF">
      <w:pPr>
        <w:pStyle w:val="FootnoteText"/>
      </w:pPr>
      <w:r>
        <w:rPr>
          <w:rStyle w:val="FootnoteReference"/>
        </w:rPr>
        <w:footnoteRef/>
      </w:r>
      <w:r>
        <w:t xml:space="preserve"> Ibid. p. 77.</w:t>
      </w:r>
    </w:p>
  </w:footnote>
  <w:footnote w:id="20">
    <w:p w14:paraId="10537D63" w14:textId="35159A20" w:rsidR="00785226" w:rsidRDefault="00785226">
      <w:pPr>
        <w:pStyle w:val="FootnoteText"/>
      </w:pPr>
      <w:r>
        <w:rPr>
          <w:rStyle w:val="FootnoteReference"/>
        </w:rPr>
        <w:footnoteRef/>
      </w:r>
      <w:r>
        <w:t xml:space="preserve"> </w:t>
      </w:r>
      <w:proofErr w:type="spellStart"/>
      <w:r w:rsidRPr="00785226">
        <w:t>Feiss</w:t>
      </w:r>
      <w:proofErr w:type="spellEnd"/>
      <w:r w:rsidRPr="00785226">
        <w:t xml:space="preserve">, </w:t>
      </w:r>
      <w:proofErr w:type="spellStart"/>
      <w:r w:rsidRPr="00785226">
        <w:t>Hamaker</w:t>
      </w:r>
      <w:proofErr w:type="spellEnd"/>
      <w:r w:rsidRPr="00785226">
        <w:t xml:space="preserve"> &amp; Pepin, </w:t>
      </w:r>
      <w:r w:rsidRPr="009345B4">
        <w:rPr>
          <w:i/>
          <w:iCs/>
        </w:rPr>
        <w:t xml:space="preserve">Two </w:t>
      </w:r>
      <w:proofErr w:type="spellStart"/>
      <w:r w:rsidRPr="009345B4">
        <w:rPr>
          <w:i/>
          <w:iCs/>
        </w:rPr>
        <w:t>Medi</w:t>
      </w:r>
      <w:r w:rsidR="00F0055B">
        <w:rPr>
          <w:i/>
          <w:iCs/>
        </w:rPr>
        <w:t>æ</w:t>
      </w:r>
      <w:r w:rsidRPr="009345B4">
        <w:rPr>
          <w:i/>
          <w:iCs/>
        </w:rPr>
        <w:t>val</w:t>
      </w:r>
      <w:proofErr w:type="spellEnd"/>
      <w:r w:rsidRPr="009345B4">
        <w:rPr>
          <w:i/>
          <w:iCs/>
        </w:rPr>
        <w:t xml:space="preserve"> Lives of Saint </w:t>
      </w:r>
      <w:proofErr w:type="spellStart"/>
      <w:r w:rsidRPr="009345B4">
        <w:rPr>
          <w:i/>
          <w:iCs/>
        </w:rPr>
        <w:t>Winefrede</w:t>
      </w:r>
      <w:proofErr w:type="spellEnd"/>
      <w:r w:rsidRPr="00785226">
        <w:t xml:space="preserve">, p. </w:t>
      </w:r>
      <w:r>
        <w:t>100. (Anonymous) &amp; p. 35 (Robert Pennant)</w:t>
      </w:r>
    </w:p>
  </w:footnote>
  <w:footnote w:id="21">
    <w:p w14:paraId="6DFDF98E" w14:textId="77777777" w:rsidR="00CB21C5" w:rsidRPr="00CB21C5" w:rsidRDefault="00CB21C5">
      <w:pPr>
        <w:pStyle w:val="FootnoteText"/>
      </w:pPr>
      <w:r>
        <w:rPr>
          <w:rStyle w:val="FootnoteReference"/>
        </w:rPr>
        <w:footnoteRef/>
      </w:r>
      <w:r>
        <w:t xml:space="preserve"> Baring-Gould &amp; Fisher, </w:t>
      </w:r>
      <w:r>
        <w:rPr>
          <w:i/>
          <w:iCs/>
        </w:rPr>
        <w:t>Lives of the British Saints</w:t>
      </w:r>
      <w:r>
        <w:t>, p. 190-191.</w:t>
      </w:r>
    </w:p>
  </w:footnote>
  <w:footnote w:id="22">
    <w:p w14:paraId="435BBE70" w14:textId="6C577384" w:rsidR="00C47CA6" w:rsidRDefault="00C47CA6">
      <w:pPr>
        <w:pStyle w:val="FootnoteText"/>
      </w:pPr>
      <w:r>
        <w:rPr>
          <w:rStyle w:val="FootnoteReference"/>
        </w:rPr>
        <w:footnoteRef/>
      </w:r>
      <w:r>
        <w:t xml:space="preserve"> </w:t>
      </w:r>
      <w:proofErr w:type="spellStart"/>
      <w:r w:rsidRPr="00785226">
        <w:t>Feiss</w:t>
      </w:r>
      <w:proofErr w:type="spellEnd"/>
      <w:r w:rsidRPr="00785226">
        <w:t xml:space="preserve">, </w:t>
      </w:r>
      <w:proofErr w:type="spellStart"/>
      <w:r w:rsidRPr="00785226">
        <w:t>Hamaker</w:t>
      </w:r>
      <w:proofErr w:type="spellEnd"/>
      <w:r w:rsidRPr="00785226">
        <w:t xml:space="preserve"> &amp; Pepin, </w:t>
      </w:r>
      <w:r w:rsidRPr="009345B4">
        <w:rPr>
          <w:i/>
          <w:iCs/>
        </w:rPr>
        <w:t xml:space="preserve">Two </w:t>
      </w:r>
      <w:proofErr w:type="spellStart"/>
      <w:r w:rsidRPr="009345B4">
        <w:rPr>
          <w:i/>
          <w:iCs/>
        </w:rPr>
        <w:t>Medi</w:t>
      </w:r>
      <w:r w:rsidR="00F0055B">
        <w:rPr>
          <w:i/>
          <w:iCs/>
        </w:rPr>
        <w:t>æ</w:t>
      </w:r>
      <w:r w:rsidRPr="009345B4">
        <w:rPr>
          <w:i/>
          <w:iCs/>
        </w:rPr>
        <w:t>val</w:t>
      </w:r>
      <w:proofErr w:type="spellEnd"/>
      <w:r w:rsidRPr="009345B4">
        <w:rPr>
          <w:i/>
          <w:iCs/>
        </w:rPr>
        <w:t xml:space="preserve"> Lives of Saint </w:t>
      </w:r>
      <w:proofErr w:type="spellStart"/>
      <w:r w:rsidRPr="009345B4">
        <w:rPr>
          <w:i/>
          <w:iCs/>
        </w:rPr>
        <w:t>Winefrede</w:t>
      </w:r>
      <w:proofErr w:type="spellEnd"/>
      <w:r w:rsidRPr="00785226">
        <w:t>, p.</w:t>
      </w:r>
      <w:r>
        <w:t xml:space="preserve"> 101 (for Anonymous) &amp; </w:t>
      </w:r>
      <w:proofErr w:type="spellStart"/>
      <w:r w:rsidRPr="00C47CA6">
        <w:t>Henken</w:t>
      </w:r>
      <w:proofErr w:type="spellEnd"/>
      <w:r w:rsidRPr="00C47CA6">
        <w:t xml:space="preserve">, </w:t>
      </w:r>
      <w:r w:rsidRPr="009345B4">
        <w:rPr>
          <w:i/>
          <w:iCs/>
        </w:rPr>
        <w:t>Traditions of the Welsh Saints</w:t>
      </w:r>
      <w:r w:rsidRPr="00C47CA6">
        <w:t>, p.</w:t>
      </w:r>
      <w:r>
        <w:t xml:space="preserve"> 77. (for Buchedd Beuno).</w:t>
      </w:r>
    </w:p>
  </w:footnote>
  <w:footnote w:id="23">
    <w:p w14:paraId="31A5A049" w14:textId="77777777" w:rsidR="00CB21C5" w:rsidRDefault="00CB21C5">
      <w:pPr>
        <w:pStyle w:val="FootnoteText"/>
      </w:pPr>
      <w:r>
        <w:rPr>
          <w:rStyle w:val="FootnoteReference"/>
        </w:rPr>
        <w:footnoteRef/>
      </w:r>
      <w:r>
        <w:t xml:space="preserve"> </w:t>
      </w:r>
      <w:proofErr w:type="spellStart"/>
      <w:r>
        <w:t>Henken</w:t>
      </w:r>
      <w:proofErr w:type="spellEnd"/>
      <w:r>
        <w:t xml:space="preserve">, </w:t>
      </w:r>
      <w:r>
        <w:rPr>
          <w:i/>
          <w:iCs/>
        </w:rPr>
        <w:t>Traditions of the Welsh Saints,</w:t>
      </w:r>
      <w:r>
        <w:t xml:space="preserve"> p. 77</w:t>
      </w:r>
      <w:r>
        <w:t>.</w:t>
      </w:r>
    </w:p>
  </w:footnote>
  <w:footnote w:id="24">
    <w:p w14:paraId="3A02E2F1" w14:textId="6B025E05" w:rsidR="005B41BD" w:rsidRDefault="005B41BD">
      <w:pPr>
        <w:pStyle w:val="FootnoteText"/>
      </w:pPr>
      <w:r>
        <w:rPr>
          <w:rStyle w:val="FootnoteReference"/>
        </w:rPr>
        <w:footnoteRef/>
      </w:r>
      <w:r>
        <w:t xml:space="preserve"> </w:t>
      </w:r>
      <w:proofErr w:type="spellStart"/>
      <w:r w:rsidRPr="005B41BD">
        <w:t>Feiss</w:t>
      </w:r>
      <w:proofErr w:type="spellEnd"/>
      <w:r w:rsidRPr="005B41BD">
        <w:t xml:space="preserve">, </w:t>
      </w:r>
      <w:proofErr w:type="spellStart"/>
      <w:r w:rsidRPr="005B41BD">
        <w:t>Hamaker</w:t>
      </w:r>
      <w:proofErr w:type="spellEnd"/>
      <w:r w:rsidRPr="005B41BD">
        <w:t xml:space="preserve"> &amp; Pepin, </w:t>
      </w:r>
      <w:r w:rsidRPr="009345B4">
        <w:rPr>
          <w:i/>
          <w:iCs/>
        </w:rPr>
        <w:t xml:space="preserve">Two </w:t>
      </w:r>
      <w:proofErr w:type="spellStart"/>
      <w:r w:rsidRPr="009345B4">
        <w:rPr>
          <w:i/>
          <w:iCs/>
        </w:rPr>
        <w:t>Medi</w:t>
      </w:r>
      <w:r w:rsidR="00F0055B">
        <w:rPr>
          <w:i/>
          <w:iCs/>
        </w:rPr>
        <w:t>æ</w:t>
      </w:r>
      <w:r w:rsidRPr="009345B4">
        <w:rPr>
          <w:i/>
          <w:iCs/>
        </w:rPr>
        <w:t>val</w:t>
      </w:r>
      <w:proofErr w:type="spellEnd"/>
      <w:r w:rsidRPr="009345B4">
        <w:rPr>
          <w:i/>
          <w:iCs/>
        </w:rPr>
        <w:t xml:space="preserve"> Lives of Saint </w:t>
      </w:r>
      <w:proofErr w:type="spellStart"/>
      <w:r w:rsidRPr="009345B4">
        <w:rPr>
          <w:i/>
          <w:iCs/>
        </w:rPr>
        <w:t>Winefrede</w:t>
      </w:r>
      <w:proofErr w:type="spellEnd"/>
      <w:r w:rsidRPr="005B41BD">
        <w:t>, p.</w:t>
      </w:r>
      <w:r>
        <w:t xml:space="preserve"> 17.</w:t>
      </w:r>
    </w:p>
  </w:footnote>
  <w:footnote w:id="25">
    <w:p w14:paraId="1BC909E6" w14:textId="77777777" w:rsidR="00681570" w:rsidRDefault="00681570">
      <w:pPr>
        <w:pStyle w:val="FootnoteText"/>
      </w:pPr>
      <w:r>
        <w:rPr>
          <w:rStyle w:val="FootnoteReference"/>
        </w:rPr>
        <w:footnoteRef/>
      </w:r>
      <w:r>
        <w:t xml:space="preserve"> Ibid. p. 43.</w:t>
      </w:r>
    </w:p>
  </w:footnote>
  <w:footnote w:id="26">
    <w:p w14:paraId="0A8D87F0" w14:textId="77777777" w:rsidR="002B7D9B" w:rsidRDefault="002B7D9B">
      <w:pPr>
        <w:pStyle w:val="FootnoteText"/>
      </w:pPr>
      <w:r>
        <w:rPr>
          <w:rStyle w:val="FootnoteReference"/>
        </w:rPr>
        <w:footnoteRef/>
      </w:r>
      <w:r>
        <w:t xml:space="preserve"> Ibid. p. 101.</w:t>
      </w:r>
    </w:p>
  </w:footnote>
  <w:footnote w:id="27">
    <w:p w14:paraId="72A4AB52" w14:textId="77777777" w:rsidR="00380C87" w:rsidRDefault="00380C87">
      <w:pPr>
        <w:pStyle w:val="FootnoteText"/>
      </w:pPr>
      <w:r>
        <w:rPr>
          <w:rStyle w:val="FootnoteReference"/>
        </w:rPr>
        <w:footnoteRef/>
      </w:r>
      <w:r>
        <w:t xml:space="preserve"> Ibid, pp. 51 – 58.</w:t>
      </w:r>
    </w:p>
  </w:footnote>
  <w:footnote w:id="28">
    <w:p w14:paraId="324D5E47" w14:textId="77777777" w:rsidR="00814699" w:rsidRDefault="00814699">
      <w:pPr>
        <w:pStyle w:val="FootnoteText"/>
      </w:pPr>
      <w:r>
        <w:rPr>
          <w:rStyle w:val="FootnoteReference"/>
        </w:rPr>
        <w:footnoteRef/>
      </w:r>
      <w:r>
        <w:t xml:space="preserve"> Ibid. p. 14.</w:t>
      </w:r>
    </w:p>
  </w:footnote>
  <w:footnote w:id="29">
    <w:p w14:paraId="5D269C70" w14:textId="77777777" w:rsidR="00814699" w:rsidRDefault="00814699">
      <w:pPr>
        <w:pStyle w:val="FootnoteText"/>
      </w:pPr>
      <w:r>
        <w:rPr>
          <w:rStyle w:val="FootnoteReference"/>
        </w:rPr>
        <w:footnoteRef/>
      </w:r>
      <w:r>
        <w:t xml:space="preserve"> Ibid. p. 12. </w:t>
      </w:r>
    </w:p>
  </w:footnote>
  <w:footnote w:id="30">
    <w:p w14:paraId="2D4C5BF1" w14:textId="77777777" w:rsidR="001963D7" w:rsidRDefault="001963D7">
      <w:pPr>
        <w:pStyle w:val="FootnoteText"/>
      </w:pPr>
      <w:r>
        <w:rPr>
          <w:rStyle w:val="FootnoteReference"/>
        </w:rPr>
        <w:footnoteRef/>
      </w:r>
      <w:r>
        <w:t xml:space="preserve"> </w:t>
      </w:r>
      <w:r>
        <w:t xml:space="preserve">Baring-Gould &amp; Fisher, </w:t>
      </w:r>
      <w:r>
        <w:rPr>
          <w:i/>
          <w:iCs/>
        </w:rPr>
        <w:t>Lives of the British Saints</w:t>
      </w:r>
      <w:r>
        <w:t>, p. 19</w:t>
      </w:r>
      <w:r>
        <w:t>2.</w:t>
      </w:r>
    </w:p>
  </w:footnote>
  <w:footnote w:id="31">
    <w:p w14:paraId="656FEB90" w14:textId="77777777" w:rsidR="00A24564" w:rsidRDefault="00A24564">
      <w:pPr>
        <w:pStyle w:val="FootnoteText"/>
      </w:pPr>
      <w:r>
        <w:rPr>
          <w:rStyle w:val="FootnoteReference"/>
        </w:rPr>
        <w:footnoteRef/>
      </w:r>
      <w:r>
        <w:t xml:space="preserve"> </w:t>
      </w:r>
      <w:r w:rsidR="00FF5A98" w:rsidRPr="00A24564">
        <w:t>Evelyn</w:t>
      </w:r>
      <w:r w:rsidR="00FF5A98">
        <w:t xml:space="preserve"> </w:t>
      </w:r>
      <w:r w:rsidRPr="00A24564">
        <w:t>Nicholson-Jenkins,</w:t>
      </w:r>
      <w:r w:rsidR="00FF5A98">
        <w:t xml:space="preserve"> </w:t>
      </w:r>
      <w:r w:rsidRPr="00A24564">
        <w:t xml:space="preserve">‘From the Foothills of Snowdonia to Shrewsbury and Beyond: The Transition of St. </w:t>
      </w:r>
      <w:proofErr w:type="spellStart"/>
      <w:r w:rsidRPr="00A24564">
        <w:t>Winefride</w:t>
      </w:r>
      <w:proofErr w:type="spellEnd"/>
      <w:r w:rsidRPr="00A24564">
        <w:t xml:space="preserve"> from Child to Great Saint’, </w:t>
      </w:r>
      <w:r w:rsidRPr="00A24564">
        <w:rPr>
          <w:i/>
          <w:iCs/>
        </w:rPr>
        <w:t>Essays in Medieval Studies</w:t>
      </w:r>
      <w:r w:rsidRPr="00A24564">
        <w:t>, 37.1 (2022) 1–13</w:t>
      </w:r>
      <w:r>
        <w:t xml:space="preserve"> (p. 4.)</w:t>
      </w:r>
    </w:p>
  </w:footnote>
  <w:footnote w:id="32">
    <w:p w14:paraId="11ACEA4D" w14:textId="77777777" w:rsidR="00A24564" w:rsidRDefault="00A24564">
      <w:pPr>
        <w:pStyle w:val="FootnoteText"/>
      </w:pPr>
      <w:r>
        <w:rPr>
          <w:rStyle w:val="FootnoteReference"/>
        </w:rPr>
        <w:footnoteRef/>
      </w:r>
      <w:r>
        <w:t xml:space="preserve"> Ian </w:t>
      </w:r>
      <w:proofErr w:type="spellStart"/>
      <w:r w:rsidRPr="00A24564">
        <w:t>Richards</w:t>
      </w:r>
      <w:r>
        <w:t>,’T</w:t>
      </w:r>
      <w:r w:rsidRPr="00A24564">
        <w:t>he</w:t>
      </w:r>
      <w:proofErr w:type="spellEnd"/>
      <w:r w:rsidRPr="00A24564">
        <w:t xml:space="preserve"> Welsh Female Saint: Patterns within a Social Framework.</w:t>
      </w:r>
      <w:r>
        <w:t>’</w:t>
      </w:r>
      <w:r w:rsidRPr="00A24564">
        <w:t xml:space="preserve"> </w:t>
      </w:r>
      <w:r>
        <w:rPr>
          <w:i/>
          <w:iCs/>
        </w:rPr>
        <w:t>The Student Researcher</w:t>
      </w:r>
      <w:r w:rsidR="00060128">
        <w:rPr>
          <w:i/>
          <w:iCs/>
        </w:rPr>
        <w:t>-</w:t>
      </w:r>
      <w:r>
        <w:rPr>
          <w:i/>
          <w:iCs/>
        </w:rPr>
        <w:t>University of Wales Trinity Saint David</w:t>
      </w:r>
      <w:r w:rsidR="00060128">
        <w:t xml:space="preserve">, 2:1 </w:t>
      </w:r>
      <w:r w:rsidRPr="00A24564">
        <w:t>(201</w:t>
      </w:r>
      <w:r w:rsidR="00060128">
        <w:t>2</w:t>
      </w:r>
      <w:r w:rsidRPr="00A24564">
        <w:t>) 69</w:t>
      </w:r>
      <w:r w:rsidR="00060128">
        <w:t>-77 (p. 72).</w:t>
      </w:r>
    </w:p>
  </w:footnote>
  <w:footnote w:id="33">
    <w:p w14:paraId="31A55089" w14:textId="77777777" w:rsidR="00FF5A98" w:rsidRDefault="00FF5A98">
      <w:pPr>
        <w:pStyle w:val="FootnoteText"/>
      </w:pPr>
      <w:r>
        <w:rPr>
          <w:rStyle w:val="FootnoteReference"/>
        </w:rPr>
        <w:footnoteRef/>
      </w:r>
      <w:r>
        <w:t xml:space="preserve"> </w:t>
      </w:r>
      <w:r w:rsidRPr="00A24564">
        <w:t>Nicholson-Jenkins,</w:t>
      </w:r>
      <w:r>
        <w:t xml:space="preserve"> </w:t>
      </w:r>
      <w:r w:rsidRPr="00A24564">
        <w:t>‘From the Foothills of Snowdonia to Shrewsbury and Beyond</w:t>
      </w:r>
      <w:r>
        <w:t>’, p. 3.</w:t>
      </w:r>
    </w:p>
  </w:footnote>
  <w:footnote w:id="34">
    <w:p w14:paraId="2E0F52F7" w14:textId="77777777" w:rsidR="0062619D" w:rsidRDefault="0062619D">
      <w:pPr>
        <w:pStyle w:val="FootnoteText"/>
      </w:pPr>
      <w:r>
        <w:rPr>
          <w:rStyle w:val="FootnoteReference"/>
        </w:rPr>
        <w:footnoteRef/>
      </w:r>
      <w:r>
        <w:t xml:space="preserve"> Ibid. p. 3.</w:t>
      </w:r>
    </w:p>
  </w:footnote>
  <w:footnote w:id="35">
    <w:p w14:paraId="1CEE943E" w14:textId="77777777" w:rsidR="000F229E" w:rsidRDefault="000F229E">
      <w:pPr>
        <w:pStyle w:val="FootnoteText"/>
      </w:pPr>
      <w:r>
        <w:rPr>
          <w:rStyle w:val="FootnoteReference"/>
        </w:rPr>
        <w:footnoteRef/>
      </w:r>
      <w:r>
        <w:t xml:space="preserve"> </w:t>
      </w:r>
      <w:r w:rsidR="003A6BF8" w:rsidRPr="009500AD">
        <w:t>Nancy</w:t>
      </w:r>
      <w:r w:rsidR="003A6BF8">
        <w:t xml:space="preserve"> </w:t>
      </w:r>
      <w:r w:rsidR="009500AD" w:rsidRPr="009500AD">
        <w:t xml:space="preserve">Edwards, </w:t>
      </w:r>
      <w:r w:rsidR="009500AD" w:rsidRPr="009500AD">
        <w:rPr>
          <w:i/>
          <w:iCs/>
        </w:rPr>
        <w:t>Life in Early Medieval Wales</w:t>
      </w:r>
      <w:r w:rsidR="009500AD" w:rsidRPr="009500AD">
        <w:t xml:space="preserve"> (Oxford: Oxford University Press, 2023)</w:t>
      </w:r>
      <w:r w:rsidR="009500AD">
        <w:t xml:space="preserve"> p. 284.</w:t>
      </w:r>
    </w:p>
  </w:footnote>
  <w:footnote w:id="36">
    <w:p w14:paraId="07B9BF15" w14:textId="77777777" w:rsidR="009500AD" w:rsidRDefault="009500AD">
      <w:pPr>
        <w:pStyle w:val="FootnoteText"/>
      </w:pPr>
      <w:r>
        <w:rPr>
          <w:rStyle w:val="FootnoteReference"/>
        </w:rPr>
        <w:footnoteRef/>
      </w:r>
      <w:r>
        <w:t xml:space="preserve"> </w:t>
      </w:r>
      <w:r w:rsidRPr="009500AD">
        <w:t>Baring-Gould &amp; Fisher</w:t>
      </w:r>
      <w:r w:rsidRPr="009345B4">
        <w:rPr>
          <w:i/>
          <w:iCs/>
        </w:rPr>
        <w:t>, Lives of the British Saints</w:t>
      </w:r>
      <w:r w:rsidRPr="009500AD">
        <w:t>, p. 19</w:t>
      </w:r>
      <w:r>
        <w:t>1.</w:t>
      </w:r>
    </w:p>
  </w:footnote>
  <w:footnote w:id="37">
    <w:p w14:paraId="7BE430B6" w14:textId="77777777" w:rsidR="00501712" w:rsidRDefault="00501712">
      <w:pPr>
        <w:pStyle w:val="FootnoteText"/>
      </w:pPr>
      <w:r>
        <w:rPr>
          <w:rStyle w:val="FootnoteReference"/>
        </w:rPr>
        <w:footnoteRef/>
      </w:r>
      <w:r>
        <w:t xml:space="preserve"> Ibid. p. 191.</w:t>
      </w:r>
    </w:p>
  </w:footnote>
  <w:footnote w:id="38">
    <w:p w14:paraId="7C2DBD22" w14:textId="77777777" w:rsidR="009345B4" w:rsidRDefault="009345B4">
      <w:pPr>
        <w:pStyle w:val="FootnoteText"/>
      </w:pPr>
      <w:r>
        <w:rPr>
          <w:rStyle w:val="FootnoteReference"/>
        </w:rPr>
        <w:footnoteRef/>
      </w:r>
      <w:r>
        <w:t xml:space="preserve"> Ibid.</w:t>
      </w:r>
    </w:p>
  </w:footnote>
  <w:footnote w:id="39">
    <w:p w14:paraId="01BDCDD9" w14:textId="6E22B44F" w:rsidR="003A6BF8" w:rsidRDefault="003A6BF8" w:rsidP="003A6BF8">
      <w:pPr>
        <w:pStyle w:val="FootnoteText"/>
      </w:pPr>
      <w:r>
        <w:rPr>
          <w:rStyle w:val="FootnoteReference"/>
        </w:rPr>
        <w:footnoteRef/>
      </w:r>
      <w:r>
        <w:t xml:space="preserve"> </w:t>
      </w:r>
      <w:proofErr w:type="spellStart"/>
      <w:r w:rsidRPr="005B41BD">
        <w:t>Feiss</w:t>
      </w:r>
      <w:proofErr w:type="spellEnd"/>
      <w:r w:rsidRPr="005B41BD">
        <w:t xml:space="preserve">, </w:t>
      </w:r>
      <w:proofErr w:type="spellStart"/>
      <w:r w:rsidRPr="005B41BD">
        <w:t>Hamaker</w:t>
      </w:r>
      <w:proofErr w:type="spellEnd"/>
      <w:r w:rsidRPr="005B41BD">
        <w:t xml:space="preserve"> &amp; Pepin, </w:t>
      </w:r>
      <w:r w:rsidRPr="009345B4">
        <w:rPr>
          <w:i/>
          <w:iCs/>
        </w:rPr>
        <w:t xml:space="preserve">Two </w:t>
      </w:r>
      <w:proofErr w:type="spellStart"/>
      <w:r w:rsidRPr="009345B4">
        <w:rPr>
          <w:i/>
          <w:iCs/>
        </w:rPr>
        <w:t>Medi</w:t>
      </w:r>
      <w:r w:rsidR="000D71FA">
        <w:rPr>
          <w:i/>
          <w:iCs/>
        </w:rPr>
        <w:t>æ</w:t>
      </w:r>
      <w:r w:rsidRPr="009345B4">
        <w:rPr>
          <w:i/>
          <w:iCs/>
        </w:rPr>
        <w:t>val</w:t>
      </w:r>
      <w:proofErr w:type="spellEnd"/>
      <w:r w:rsidRPr="009345B4">
        <w:rPr>
          <w:i/>
          <w:iCs/>
        </w:rPr>
        <w:t xml:space="preserve"> Lives of Saint </w:t>
      </w:r>
      <w:proofErr w:type="spellStart"/>
      <w:r w:rsidRPr="009345B4">
        <w:rPr>
          <w:i/>
          <w:iCs/>
        </w:rPr>
        <w:t>Winefrede</w:t>
      </w:r>
      <w:proofErr w:type="spellEnd"/>
      <w:r w:rsidRPr="005B41BD">
        <w:t>, p.</w:t>
      </w:r>
      <w:r>
        <w:t xml:space="preserve"> 17. </w:t>
      </w:r>
    </w:p>
  </w:footnote>
  <w:footnote w:id="40">
    <w:p w14:paraId="698EA11F" w14:textId="77777777" w:rsidR="003A6BF8" w:rsidRDefault="003A6BF8" w:rsidP="003A6BF8">
      <w:pPr>
        <w:pStyle w:val="FootnoteText"/>
      </w:pPr>
      <w:r>
        <w:rPr>
          <w:rStyle w:val="FootnoteReference"/>
        </w:rPr>
        <w:footnoteRef/>
      </w:r>
      <w:r>
        <w:t xml:space="preserve"> </w:t>
      </w:r>
      <w:r w:rsidRPr="000F229E">
        <w:t>Cartwright, Feminine Sanctity and Spirituality, p. 7</w:t>
      </w:r>
      <w:r>
        <w:t>6.</w:t>
      </w:r>
    </w:p>
  </w:footnote>
  <w:footnote w:id="41">
    <w:p w14:paraId="1FC8114F" w14:textId="77777777" w:rsidR="003A6BF8" w:rsidRPr="003A6BF8" w:rsidRDefault="003A6BF8">
      <w:pPr>
        <w:pStyle w:val="FootnoteText"/>
      </w:pPr>
      <w:r>
        <w:rPr>
          <w:rStyle w:val="FootnoteReference"/>
        </w:rPr>
        <w:footnoteRef/>
      </w:r>
      <w:r>
        <w:t xml:space="preserve"> Edwards, </w:t>
      </w:r>
      <w:r>
        <w:rPr>
          <w:i/>
          <w:iCs/>
        </w:rPr>
        <w:t>Life in Early Medieval Wales</w:t>
      </w:r>
      <w:r>
        <w:t>, p. 284.</w:t>
      </w:r>
    </w:p>
  </w:footnote>
  <w:footnote w:id="42">
    <w:p w14:paraId="490566F6" w14:textId="46DD58A2" w:rsidR="00B47B32" w:rsidRDefault="00B47B32">
      <w:pPr>
        <w:pStyle w:val="FootnoteText"/>
      </w:pPr>
      <w:r>
        <w:rPr>
          <w:rStyle w:val="FootnoteReference"/>
        </w:rPr>
        <w:footnoteRef/>
      </w:r>
      <w:r>
        <w:t xml:space="preserve"> </w:t>
      </w:r>
      <w:r w:rsidR="004B24DC">
        <w:t xml:space="preserve">James Ryan Gregory, </w:t>
      </w:r>
      <w:r w:rsidR="004B24DC">
        <w:rPr>
          <w:i/>
          <w:iCs/>
        </w:rPr>
        <w:t xml:space="preserve">A Welsh Saint in England: Translation, Orality, and National Identity in the Cult of St. </w:t>
      </w:r>
      <w:proofErr w:type="spellStart"/>
      <w:r w:rsidR="004B24DC">
        <w:rPr>
          <w:i/>
          <w:iCs/>
        </w:rPr>
        <w:t>Gwenfrewy</w:t>
      </w:r>
      <w:proofErr w:type="spellEnd"/>
      <w:r w:rsidR="004B24DC">
        <w:rPr>
          <w:i/>
          <w:iCs/>
        </w:rPr>
        <w:t>, 1138-1512</w:t>
      </w:r>
      <w:r w:rsidR="004B24DC">
        <w:t xml:space="preserve"> (PhD Thesis, University of Georgia, 2012) p. 55.</w:t>
      </w:r>
    </w:p>
  </w:footnote>
  <w:footnote w:id="43">
    <w:p w14:paraId="594CD585" w14:textId="41D35AC2" w:rsidR="001846A2" w:rsidRDefault="001846A2">
      <w:pPr>
        <w:pStyle w:val="FootnoteText"/>
      </w:pPr>
      <w:r>
        <w:rPr>
          <w:rStyle w:val="FootnoteReference"/>
        </w:rPr>
        <w:footnoteRef/>
      </w:r>
      <w:r>
        <w:t xml:space="preserve"> </w:t>
      </w:r>
      <w:r w:rsidR="004B24DC">
        <w:t>Ibid.</w:t>
      </w:r>
    </w:p>
  </w:footnote>
  <w:footnote w:id="44">
    <w:p w14:paraId="1E0AE614" w14:textId="640876E8" w:rsidR="004B24DC" w:rsidRDefault="004B24DC">
      <w:pPr>
        <w:pStyle w:val="FootnoteText"/>
      </w:pPr>
      <w:r>
        <w:rPr>
          <w:rStyle w:val="FootnoteReference"/>
        </w:rPr>
        <w:footnoteRef/>
      </w:r>
      <w:r>
        <w:t xml:space="preserve"> </w:t>
      </w:r>
      <w:r>
        <w:t xml:space="preserve">Edwards, </w:t>
      </w:r>
      <w:r>
        <w:rPr>
          <w:i/>
          <w:iCs/>
        </w:rPr>
        <w:t>Life in Early Medieval Wales</w:t>
      </w:r>
      <w:r>
        <w:t>, p. 284.</w:t>
      </w:r>
    </w:p>
  </w:footnote>
  <w:footnote w:id="45">
    <w:p w14:paraId="73A836A4" w14:textId="77777777" w:rsidR="006E1F47" w:rsidRDefault="006E1F47">
      <w:pPr>
        <w:pStyle w:val="FootnoteText"/>
      </w:pPr>
      <w:r>
        <w:rPr>
          <w:rStyle w:val="FootnoteReference"/>
        </w:rPr>
        <w:footnoteRef/>
      </w:r>
      <w:r>
        <w:t xml:space="preserve"> </w:t>
      </w:r>
      <w:r w:rsidRPr="006E1F47">
        <w:t>Nancy</w:t>
      </w:r>
      <w:r>
        <w:t xml:space="preserve"> </w:t>
      </w:r>
      <w:r w:rsidRPr="006E1F47">
        <w:t xml:space="preserve">Edwards, and Tristan Gray Hulse, ‘A Fragment of a Reliquary Casket from Gwytherin, North Wales’, </w:t>
      </w:r>
      <w:r w:rsidRPr="006E1F47">
        <w:rPr>
          <w:i/>
          <w:iCs/>
        </w:rPr>
        <w:t>The Antiquaries Journal</w:t>
      </w:r>
      <w:r w:rsidRPr="006E1F47">
        <w:t>, 72 (1992) 91–101</w:t>
      </w:r>
      <w:r>
        <w:t xml:space="preserve"> (p. 98).</w:t>
      </w:r>
    </w:p>
  </w:footnote>
  <w:footnote w:id="46">
    <w:p w14:paraId="17451DED" w14:textId="77777777" w:rsidR="0062619D" w:rsidRDefault="0062619D">
      <w:pPr>
        <w:pStyle w:val="FootnoteText"/>
      </w:pPr>
      <w:r>
        <w:rPr>
          <w:rStyle w:val="FootnoteReference"/>
        </w:rPr>
        <w:footnoteRef/>
      </w:r>
      <w:r>
        <w:t xml:space="preserve"> </w:t>
      </w:r>
      <w:r w:rsidRPr="0062619D">
        <w:t xml:space="preserve">Edwards, </w:t>
      </w:r>
      <w:r w:rsidRPr="0020773F">
        <w:rPr>
          <w:i/>
          <w:iCs/>
        </w:rPr>
        <w:t>Life in Early Medieval Wales</w:t>
      </w:r>
      <w:r w:rsidRPr="0062619D">
        <w:t>, p. 2</w:t>
      </w:r>
      <w:r>
        <w:t>73.</w:t>
      </w:r>
    </w:p>
  </w:footnote>
  <w:footnote w:id="47">
    <w:p w14:paraId="5199D9C0" w14:textId="315DCF8C" w:rsidR="0020773F" w:rsidRDefault="0020773F">
      <w:pPr>
        <w:pStyle w:val="FootnoteText"/>
      </w:pPr>
      <w:r>
        <w:rPr>
          <w:rStyle w:val="FootnoteReference"/>
        </w:rPr>
        <w:footnoteRef/>
      </w:r>
      <w:r>
        <w:t xml:space="preserve"> </w:t>
      </w:r>
      <w:proofErr w:type="spellStart"/>
      <w:r w:rsidRPr="0020773F">
        <w:t>Feiss</w:t>
      </w:r>
      <w:proofErr w:type="spellEnd"/>
      <w:r w:rsidRPr="0020773F">
        <w:t xml:space="preserve">, </w:t>
      </w:r>
      <w:proofErr w:type="spellStart"/>
      <w:r w:rsidRPr="0020773F">
        <w:t>Hamaker</w:t>
      </w:r>
      <w:proofErr w:type="spellEnd"/>
      <w:r w:rsidRPr="0020773F">
        <w:t xml:space="preserve"> &amp; Pepin, </w:t>
      </w:r>
      <w:r w:rsidRPr="0020773F">
        <w:rPr>
          <w:i/>
          <w:iCs/>
        </w:rPr>
        <w:t xml:space="preserve">Two </w:t>
      </w:r>
      <w:proofErr w:type="spellStart"/>
      <w:r w:rsidRPr="0020773F">
        <w:rPr>
          <w:i/>
          <w:iCs/>
        </w:rPr>
        <w:t>Medi</w:t>
      </w:r>
      <w:r w:rsidR="00EB3531">
        <w:rPr>
          <w:i/>
          <w:iCs/>
        </w:rPr>
        <w:t>æ</w:t>
      </w:r>
      <w:r w:rsidRPr="0020773F">
        <w:rPr>
          <w:i/>
          <w:iCs/>
        </w:rPr>
        <w:t>val</w:t>
      </w:r>
      <w:proofErr w:type="spellEnd"/>
      <w:r w:rsidRPr="0020773F">
        <w:rPr>
          <w:i/>
          <w:iCs/>
        </w:rPr>
        <w:t xml:space="preserve"> Lives of Saint </w:t>
      </w:r>
      <w:proofErr w:type="spellStart"/>
      <w:r w:rsidRPr="0020773F">
        <w:rPr>
          <w:i/>
          <w:iCs/>
        </w:rPr>
        <w:t>Winefrede</w:t>
      </w:r>
      <w:proofErr w:type="spellEnd"/>
      <w:r w:rsidRPr="0020773F">
        <w:t>, p.</w:t>
      </w:r>
      <w:r>
        <w:t xml:space="preserve"> 103.</w:t>
      </w:r>
    </w:p>
  </w:footnote>
  <w:footnote w:id="48">
    <w:p w14:paraId="16436DA0" w14:textId="77777777" w:rsidR="0020773F" w:rsidRDefault="0020773F">
      <w:pPr>
        <w:pStyle w:val="FootnoteText"/>
      </w:pPr>
      <w:r>
        <w:rPr>
          <w:rStyle w:val="FootnoteReference"/>
        </w:rPr>
        <w:footnoteRef/>
      </w:r>
      <w:r>
        <w:t xml:space="preserve"> Ibid. </w:t>
      </w:r>
    </w:p>
  </w:footnote>
  <w:footnote w:id="49">
    <w:p w14:paraId="33D1428E" w14:textId="77777777" w:rsidR="00F85DE4" w:rsidRDefault="00F85DE4">
      <w:pPr>
        <w:pStyle w:val="FootnoteText"/>
      </w:pPr>
      <w:r>
        <w:rPr>
          <w:rStyle w:val="FootnoteReference"/>
        </w:rPr>
        <w:footnoteRef/>
      </w:r>
      <w:r>
        <w:t xml:space="preserve"> Ibid. p. 111-112.</w:t>
      </w:r>
    </w:p>
  </w:footnote>
  <w:footnote w:id="50">
    <w:p w14:paraId="7DF31A99" w14:textId="77777777" w:rsidR="00522E0B" w:rsidRDefault="00522E0B">
      <w:pPr>
        <w:pStyle w:val="FootnoteText"/>
      </w:pPr>
      <w:r>
        <w:rPr>
          <w:rStyle w:val="FootnoteReference"/>
        </w:rPr>
        <w:footnoteRef/>
      </w:r>
      <w:r>
        <w:t xml:space="preserve"> </w:t>
      </w:r>
      <w:r w:rsidRPr="0062619D">
        <w:t xml:space="preserve">Edwards, </w:t>
      </w:r>
      <w:r w:rsidRPr="0020773F">
        <w:rPr>
          <w:i/>
          <w:iCs/>
        </w:rPr>
        <w:t>Life in Early Medieval Wales</w:t>
      </w:r>
      <w:r w:rsidRPr="0062619D">
        <w:t>, p. 2</w:t>
      </w:r>
      <w:r>
        <w:t>84.</w:t>
      </w:r>
    </w:p>
  </w:footnote>
  <w:footnote w:id="51">
    <w:p w14:paraId="725057B0" w14:textId="77777777" w:rsidR="00267A1E" w:rsidRPr="00267A1E" w:rsidRDefault="00267A1E">
      <w:pPr>
        <w:pStyle w:val="FootnoteText"/>
      </w:pPr>
      <w:r>
        <w:rPr>
          <w:rStyle w:val="FootnoteReference"/>
        </w:rPr>
        <w:footnoteRef/>
      </w:r>
      <w:r>
        <w:t xml:space="preserve"> Gregory, </w:t>
      </w:r>
      <w:r>
        <w:rPr>
          <w:i/>
          <w:iCs/>
        </w:rPr>
        <w:t>A Welsh Saint in England</w:t>
      </w:r>
      <w:r w:rsidR="001846A2">
        <w:rPr>
          <w:i/>
          <w:iCs/>
        </w:rPr>
        <w:t xml:space="preserve">, </w:t>
      </w:r>
      <w:r w:rsidR="00A82A5A">
        <w:t>p. 55.</w:t>
      </w:r>
    </w:p>
  </w:footnote>
  <w:footnote w:id="52">
    <w:p w14:paraId="0F4101BD" w14:textId="77777777" w:rsidR="00EA7A2D" w:rsidRDefault="00EA7A2D">
      <w:pPr>
        <w:pStyle w:val="FootnoteText"/>
      </w:pPr>
      <w:r>
        <w:rPr>
          <w:rStyle w:val="FootnoteReference"/>
        </w:rPr>
        <w:footnoteRef/>
      </w:r>
      <w:r>
        <w:t xml:space="preserve"> </w:t>
      </w:r>
      <w:r w:rsidRPr="00A24564">
        <w:t>Nicholson-Jenkins,</w:t>
      </w:r>
      <w:r>
        <w:t xml:space="preserve"> </w:t>
      </w:r>
      <w:r w:rsidRPr="00A24564">
        <w:t>‘From the Foothills of Snowdonia to Shrewsbury and Beyond</w:t>
      </w:r>
      <w:r>
        <w:t xml:space="preserve">’, p. </w:t>
      </w:r>
      <w:r>
        <w:t>4.</w:t>
      </w:r>
    </w:p>
  </w:footnote>
  <w:footnote w:id="53">
    <w:p w14:paraId="4BEC5A72" w14:textId="5D59AED9" w:rsidR="00352FDD" w:rsidRDefault="00352FDD">
      <w:pPr>
        <w:pStyle w:val="FootnoteText"/>
      </w:pPr>
      <w:r>
        <w:rPr>
          <w:rStyle w:val="FootnoteReference"/>
        </w:rPr>
        <w:footnoteRef/>
      </w:r>
      <w:r>
        <w:t xml:space="preserve"> </w:t>
      </w:r>
      <w:proofErr w:type="spellStart"/>
      <w:r w:rsidRPr="00352FDD">
        <w:t>Feiss</w:t>
      </w:r>
      <w:proofErr w:type="spellEnd"/>
      <w:r w:rsidRPr="00352FDD">
        <w:t xml:space="preserve">, </w:t>
      </w:r>
      <w:proofErr w:type="spellStart"/>
      <w:r w:rsidRPr="00352FDD">
        <w:t>Hamaker</w:t>
      </w:r>
      <w:proofErr w:type="spellEnd"/>
      <w:r w:rsidRPr="00352FDD">
        <w:t xml:space="preserve"> &amp; Pepin, Two </w:t>
      </w:r>
      <w:proofErr w:type="spellStart"/>
      <w:r w:rsidRPr="00352FDD">
        <w:t>Medi</w:t>
      </w:r>
      <w:r w:rsidR="00EB3531">
        <w:t>æ</w:t>
      </w:r>
      <w:r w:rsidRPr="00352FDD">
        <w:t>val</w:t>
      </w:r>
      <w:proofErr w:type="spellEnd"/>
      <w:r w:rsidRPr="00352FDD">
        <w:t xml:space="preserve"> Lives of Saint </w:t>
      </w:r>
      <w:proofErr w:type="spellStart"/>
      <w:r w:rsidRPr="00352FDD">
        <w:t>Winefrede</w:t>
      </w:r>
      <w:proofErr w:type="spellEnd"/>
      <w:r w:rsidRPr="00352FDD">
        <w:t>, p.</w:t>
      </w:r>
      <w:r>
        <w:t xml:space="preserve"> 77.</w:t>
      </w:r>
    </w:p>
  </w:footnote>
  <w:footnote w:id="54">
    <w:p w14:paraId="45569663" w14:textId="77777777" w:rsidR="00E36F28" w:rsidRDefault="00E36F28">
      <w:pPr>
        <w:pStyle w:val="FootnoteText"/>
      </w:pPr>
      <w:r>
        <w:rPr>
          <w:rStyle w:val="FootnoteReference"/>
        </w:rPr>
        <w:footnoteRef/>
      </w:r>
      <w:r>
        <w:t xml:space="preserve"> Ibid. pp. 78-79.</w:t>
      </w:r>
    </w:p>
  </w:footnote>
  <w:footnote w:id="55">
    <w:p w14:paraId="25D43F0A" w14:textId="77777777" w:rsidR="00C87EEB" w:rsidRDefault="00C87EEB">
      <w:pPr>
        <w:pStyle w:val="FootnoteText"/>
      </w:pPr>
      <w:r>
        <w:rPr>
          <w:rStyle w:val="FootnoteReference"/>
        </w:rPr>
        <w:footnoteRef/>
      </w:r>
      <w:r>
        <w:t xml:space="preserve"> </w:t>
      </w:r>
      <w:r w:rsidRPr="00A24564">
        <w:t>Nicholson-Jenkins,</w:t>
      </w:r>
      <w:r>
        <w:t xml:space="preserve"> </w:t>
      </w:r>
      <w:r w:rsidRPr="00A24564">
        <w:t>‘From the Foothills of Snowdonia to Shrewsbury and Beyond</w:t>
      </w:r>
      <w:r>
        <w:t>’, p.</w:t>
      </w:r>
      <w:r>
        <w:t xml:space="preserve"> 4.</w:t>
      </w:r>
    </w:p>
  </w:footnote>
  <w:footnote w:id="56">
    <w:p w14:paraId="5A832BC3" w14:textId="77777777" w:rsidR="00C87EEB" w:rsidRDefault="00C87EEB">
      <w:pPr>
        <w:pStyle w:val="FootnoteText"/>
      </w:pPr>
      <w:r>
        <w:rPr>
          <w:rStyle w:val="FootnoteReference"/>
        </w:rPr>
        <w:footnoteRef/>
      </w:r>
      <w:r>
        <w:t xml:space="preserve"> Ibid. p. 6.</w:t>
      </w:r>
    </w:p>
  </w:footnote>
  <w:footnote w:id="57">
    <w:p w14:paraId="7532BC77" w14:textId="77777777" w:rsidR="00F57CE8" w:rsidRDefault="00F57CE8">
      <w:pPr>
        <w:pStyle w:val="FootnoteText"/>
      </w:pPr>
      <w:r>
        <w:rPr>
          <w:rStyle w:val="FootnoteReference"/>
        </w:rPr>
        <w:footnoteRef/>
      </w:r>
      <w:r>
        <w:t xml:space="preserve"> Ibid.</w:t>
      </w:r>
    </w:p>
  </w:footnote>
  <w:footnote w:id="58">
    <w:p w14:paraId="36751F43" w14:textId="77777777" w:rsidR="00F57CE8" w:rsidRDefault="00F57CE8">
      <w:pPr>
        <w:pStyle w:val="FootnoteText"/>
      </w:pPr>
      <w:r>
        <w:rPr>
          <w:rStyle w:val="FootnoteReference"/>
        </w:rPr>
        <w:footnoteRef/>
      </w:r>
      <w:r>
        <w:t xml:space="preserve"> Ibid.</w:t>
      </w:r>
    </w:p>
  </w:footnote>
  <w:footnote w:id="59">
    <w:p w14:paraId="463D14E5" w14:textId="77777777" w:rsidR="00A928FD" w:rsidRDefault="00A928FD">
      <w:pPr>
        <w:pStyle w:val="FootnoteText"/>
      </w:pPr>
      <w:r>
        <w:rPr>
          <w:rStyle w:val="FootnoteReference"/>
        </w:rPr>
        <w:footnoteRef/>
      </w:r>
      <w:r>
        <w:t xml:space="preserve"> Ibid.</w:t>
      </w:r>
    </w:p>
  </w:footnote>
  <w:footnote w:id="60">
    <w:p w14:paraId="305780F1" w14:textId="77777777" w:rsidR="00A928FD" w:rsidRPr="00A928FD" w:rsidRDefault="00A928FD">
      <w:pPr>
        <w:pStyle w:val="FootnoteText"/>
      </w:pPr>
      <w:r>
        <w:rPr>
          <w:rStyle w:val="FootnoteReference"/>
        </w:rPr>
        <w:footnoteRef/>
      </w:r>
      <w:r>
        <w:t xml:space="preserve"> </w:t>
      </w:r>
      <w:r>
        <w:t xml:space="preserve">Gregory, </w:t>
      </w:r>
      <w:r>
        <w:rPr>
          <w:i/>
          <w:iCs/>
        </w:rPr>
        <w:t>A Welsh Saint in England</w:t>
      </w:r>
      <w:r>
        <w:t xml:space="preserve">, p. 115. </w:t>
      </w:r>
    </w:p>
  </w:footnote>
  <w:footnote w:id="61">
    <w:p w14:paraId="27FA58AC" w14:textId="77777777" w:rsidR="00A928FD" w:rsidRDefault="00A928FD">
      <w:pPr>
        <w:pStyle w:val="FootnoteText"/>
      </w:pPr>
      <w:r>
        <w:rPr>
          <w:rStyle w:val="FootnoteReference"/>
        </w:rPr>
        <w:footnoteRef/>
      </w:r>
      <w:r>
        <w:t xml:space="preserve"> Ibid.</w:t>
      </w:r>
    </w:p>
  </w:footnote>
  <w:footnote w:id="62">
    <w:p w14:paraId="4A287E06" w14:textId="47E28CF5" w:rsidR="00A76694" w:rsidRPr="00DA5417" w:rsidRDefault="00A76694">
      <w:pPr>
        <w:pStyle w:val="FootnoteText"/>
      </w:pPr>
      <w:r>
        <w:rPr>
          <w:rStyle w:val="FootnoteReference"/>
        </w:rPr>
        <w:footnoteRef/>
      </w:r>
      <w:r>
        <w:t xml:space="preserve"> </w:t>
      </w:r>
      <w:r w:rsidR="00D62610">
        <w:t xml:space="preserve">Nigel </w:t>
      </w:r>
      <w:proofErr w:type="spellStart"/>
      <w:r w:rsidR="00D62610">
        <w:t>Tringham</w:t>
      </w:r>
      <w:proofErr w:type="spellEnd"/>
      <w:r w:rsidR="00D62610">
        <w:t xml:space="preserve">, </w:t>
      </w:r>
      <w:r w:rsidR="0082416C">
        <w:t xml:space="preserve">‘Basingwerk Abbey (Flints.) and its Founders: </w:t>
      </w:r>
      <w:proofErr w:type="gramStart"/>
      <w:r w:rsidR="00526E15">
        <w:t>an</w:t>
      </w:r>
      <w:proofErr w:type="gramEnd"/>
      <w:r w:rsidR="00526E15">
        <w:t xml:space="preserve"> Earl, a King and a Prince’, </w:t>
      </w:r>
      <w:r w:rsidR="00526E15">
        <w:rPr>
          <w:i/>
          <w:iCs/>
        </w:rPr>
        <w:t>The Welsh History Review</w:t>
      </w:r>
      <w:r w:rsidR="00DA5417">
        <w:t>, 30.3</w:t>
      </w:r>
      <w:r w:rsidR="00780ED0">
        <w:t xml:space="preserve"> (2021) 287-319 (p. </w:t>
      </w:r>
      <w:r w:rsidR="00AB2DAC">
        <w:t>291).</w:t>
      </w:r>
    </w:p>
  </w:footnote>
  <w:footnote w:id="63">
    <w:p w14:paraId="3553AB12" w14:textId="12C3330D" w:rsidR="00B41832" w:rsidRDefault="00B41832">
      <w:pPr>
        <w:pStyle w:val="FootnoteText"/>
      </w:pPr>
      <w:r>
        <w:rPr>
          <w:rStyle w:val="FootnoteReference"/>
        </w:rPr>
        <w:footnoteRef/>
      </w:r>
      <w:r>
        <w:t xml:space="preserve"> </w:t>
      </w:r>
      <w:proofErr w:type="spellStart"/>
      <w:r w:rsidRPr="0020773F">
        <w:t>Feiss</w:t>
      </w:r>
      <w:proofErr w:type="spellEnd"/>
      <w:r w:rsidRPr="0020773F">
        <w:t xml:space="preserve">, </w:t>
      </w:r>
      <w:proofErr w:type="spellStart"/>
      <w:r w:rsidRPr="0020773F">
        <w:t>Hamaker</w:t>
      </w:r>
      <w:proofErr w:type="spellEnd"/>
      <w:r w:rsidRPr="0020773F">
        <w:t xml:space="preserve"> &amp; Pepin, </w:t>
      </w:r>
      <w:r w:rsidRPr="0020773F">
        <w:rPr>
          <w:i/>
          <w:iCs/>
        </w:rPr>
        <w:t xml:space="preserve">Two </w:t>
      </w:r>
      <w:proofErr w:type="spellStart"/>
      <w:r w:rsidRPr="0020773F">
        <w:rPr>
          <w:i/>
          <w:iCs/>
        </w:rPr>
        <w:t>Medi</w:t>
      </w:r>
      <w:r w:rsidR="00EB3531">
        <w:rPr>
          <w:i/>
          <w:iCs/>
        </w:rPr>
        <w:t>æ</w:t>
      </w:r>
      <w:r w:rsidRPr="0020773F">
        <w:rPr>
          <w:i/>
          <w:iCs/>
        </w:rPr>
        <w:t>val</w:t>
      </w:r>
      <w:proofErr w:type="spellEnd"/>
      <w:r w:rsidRPr="0020773F">
        <w:rPr>
          <w:i/>
          <w:iCs/>
        </w:rPr>
        <w:t xml:space="preserve"> Lives of Saint </w:t>
      </w:r>
      <w:proofErr w:type="spellStart"/>
      <w:r w:rsidRPr="0020773F">
        <w:rPr>
          <w:i/>
          <w:iCs/>
        </w:rPr>
        <w:t>Winefrede</w:t>
      </w:r>
      <w:proofErr w:type="spellEnd"/>
      <w:r w:rsidRPr="0020773F">
        <w:t>, p.</w:t>
      </w:r>
      <w:r>
        <w:t xml:space="preserve"> 9.</w:t>
      </w:r>
    </w:p>
  </w:footnote>
  <w:footnote w:id="64">
    <w:p w14:paraId="16369EC3" w14:textId="7422C475" w:rsidR="0086591F" w:rsidRDefault="0086591F">
      <w:pPr>
        <w:pStyle w:val="FootnoteText"/>
      </w:pPr>
      <w:r>
        <w:rPr>
          <w:rStyle w:val="FootnoteReference"/>
        </w:rPr>
        <w:footnoteRef/>
      </w:r>
      <w:r>
        <w:t xml:space="preserve"> Ibid. </w:t>
      </w:r>
    </w:p>
  </w:footnote>
  <w:footnote w:id="65">
    <w:p w14:paraId="031A69B1" w14:textId="60EEB2EC" w:rsidR="00493AAD" w:rsidRDefault="00493AAD">
      <w:pPr>
        <w:pStyle w:val="FootnoteText"/>
      </w:pPr>
      <w:r>
        <w:rPr>
          <w:rStyle w:val="FootnoteReference"/>
        </w:rPr>
        <w:footnoteRef/>
      </w:r>
      <w:r>
        <w:t xml:space="preserve"> </w:t>
      </w:r>
      <w:r w:rsidRPr="00493AAD">
        <w:t>Griffith Hartwell</w:t>
      </w:r>
      <w:r>
        <w:t xml:space="preserve"> J</w:t>
      </w:r>
      <w:r w:rsidRPr="00493AAD">
        <w:t xml:space="preserve">ones, </w:t>
      </w:r>
      <w:r w:rsidRPr="001767E0">
        <w:rPr>
          <w:i/>
          <w:iCs/>
        </w:rPr>
        <w:t>Celtic Britain and the Pilgrim Movement</w:t>
      </w:r>
      <w:r w:rsidRPr="00493AAD">
        <w:t xml:space="preserve"> (London: Honourable Society of </w:t>
      </w:r>
      <w:proofErr w:type="spellStart"/>
      <w:r w:rsidRPr="00493AAD">
        <w:t>Cymmrodorion</w:t>
      </w:r>
      <w:proofErr w:type="spellEnd"/>
      <w:r w:rsidRPr="00493AAD">
        <w:t>, 1912)</w:t>
      </w:r>
      <w:r w:rsidR="001767E0">
        <w:t xml:space="preserve"> pp. 406-407.</w:t>
      </w:r>
    </w:p>
  </w:footnote>
  <w:footnote w:id="66">
    <w:p w14:paraId="70A58F04" w14:textId="55E8CF16" w:rsidR="002A3030" w:rsidRPr="00672BC1" w:rsidRDefault="002A3030">
      <w:pPr>
        <w:pStyle w:val="FootnoteText"/>
      </w:pPr>
      <w:r>
        <w:rPr>
          <w:rStyle w:val="FootnoteReference"/>
        </w:rPr>
        <w:footnoteRef/>
      </w:r>
      <w:r>
        <w:t xml:space="preserve"> </w:t>
      </w:r>
      <w:proofErr w:type="spellStart"/>
      <w:r w:rsidR="00672BC1" w:rsidRPr="0020773F">
        <w:t>Feiss</w:t>
      </w:r>
      <w:proofErr w:type="spellEnd"/>
      <w:r w:rsidR="00672BC1" w:rsidRPr="0020773F">
        <w:t xml:space="preserve">, </w:t>
      </w:r>
      <w:proofErr w:type="spellStart"/>
      <w:r w:rsidR="00672BC1" w:rsidRPr="0020773F">
        <w:t>Hamaker</w:t>
      </w:r>
      <w:proofErr w:type="spellEnd"/>
      <w:r w:rsidR="00672BC1" w:rsidRPr="0020773F">
        <w:t xml:space="preserve"> &amp; Pepin, </w:t>
      </w:r>
      <w:r w:rsidR="00672BC1" w:rsidRPr="0020773F">
        <w:rPr>
          <w:i/>
          <w:iCs/>
        </w:rPr>
        <w:t xml:space="preserve">Two </w:t>
      </w:r>
      <w:proofErr w:type="spellStart"/>
      <w:r w:rsidR="00672BC1" w:rsidRPr="0020773F">
        <w:rPr>
          <w:i/>
          <w:iCs/>
        </w:rPr>
        <w:t>Medi</w:t>
      </w:r>
      <w:r w:rsidR="00EB3531">
        <w:rPr>
          <w:i/>
          <w:iCs/>
        </w:rPr>
        <w:t>æ</w:t>
      </w:r>
      <w:r w:rsidR="00672BC1" w:rsidRPr="0020773F">
        <w:rPr>
          <w:i/>
          <w:iCs/>
        </w:rPr>
        <w:t>val</w:t>
      </w:r>
      <w:proofErr w:type="spellEnd"/>
      <w:r w:rsidR="00672BC1" w:rsidRPr="0020773F">
        <w:rPr>
          <w:i/>
          <w:iCs/>
        </w:rPr>
        <w:t xml:space="preserve"> Lives of Saint </w:t>
      </w:r>
      <w:proofErr w:type="spellStart"/>
      <w:r w:rsidR="00672BC1" w:rsidRPr="0020773F">
        <w:rPr>
          <w:i/>
          <w:iCs/>
        </w:rPr>
        <w:t>Winefrede</w:t>
      </w:r>
      <w:proofErr w:type="spellEnd"/>
      <w:r w:rsidR="00672BC1">
        <w:t>, p. 9.</w:t>
      </w:r>
    </w:p>
  </w:footnote>
  <w:footnote w:id="67">
    <w:p w14:paraId="36CF031B" w14:textId="5EBF4449" w:rsidR="00B82E27" w:rsidRDefault="00B82E27">
      <w:pPr>
        <w:pStyle w:val="FootnoteText"/>
      </w:pPr>
      <w:r>
        <w:rPr>
          <w:rStyle w:val="FootnoteReference"/>
        </w:rPr>
        <w:footnoteRef/>
      </w:r>
      <w:r>
        <w:t xml:space="preserve"> </w:t>
      </w:r>
      <w:r>
        <w:t xml:space="preserve">Cartwright, </w:t>
      </w:r>
      <w:r w:rsidRPr="00DB7FCB">
        <w:rPr>
          <w:i/>
          <w:iCs/>
        </w:rPr>
        <w:t xml:space="preserve">The Welsh Versions of the Life of </w:t>
      </w:r>
      <w:proofErr w:type="spellStart"/>
      <w:r w:rsidRPr="00DB7FCB">
        <w:rPr>
          <w:i/>
          <w:iCs/>
        </w:rPr>
        <w:t>Gwenfrewy</w:t>
      </w:r>
      <w:proofErr w:type="spellEnd"/>
      <w:r>
        <w:t>, p. 239.</w:t>
      </w:r>
    </w:p>
  </w:footnote>
  <w:footnote w:id="68">
    <w:p w14:paraId="053BBE54" w14:textId="0832045F" w:rsidR="00575C1A" w:rsidRDefault="00575C1A">
      <w:pPr>
        <w:pStyle w:val="FootnoteText"/>
      </w:pPr>
      <w:r>
        <w:rPr>
          <w:rStyle w:val="FootnoteReference"/>
        </w:rPr>
        <w:footnoteRef/>
      </w:r>
      <w:r>
        <w:t xml:space="preserve"> </w:t>
      </w:r>
      <w:proofErr w:type="spellStart"/>
      <w:r w:rsidR="00B82E27" w:rsidRPr="0020773F">
        <w:t>Feiss</w:t>
      </w:r>
      <w:proofErr w:type="spellEnd"/>
      <w:r w:rsidR="00B82E27" w:rsidRPr="0020773F">
        <w:t xml:space="preserve">, </w:t>
      </w:r>
      <w:proofErr w:type="spellStart"/>
      <w:r w:rsidR="00B82E27" w:rsidRPr="0020773F">
        <w:t>Hamaker</w:t>
      </w:r>
      <w:proofErr w:type="spellEnd"/>
      <w:r w:rsidR="00B82E27" w:rsidRPr="0020773F">
        <w:t xml:space="preserve"> &amp; Pepin, </w:t>
      </w:r>
      <w:r w:rsidR="00B82E27" w:rsidRPr="0020773F">
        <w:rPr>
          <w:i/>
          <w:iCs/>
        </w:rPr>
        <w:t xml:space="preserve">Two </w:t>
      </w:r>
      <w:proofErr w:type="spellStart"/>
      <w:r w:rsidR="00B82E27" w:rsidRPr="0020773F">
        <w:rPr>
          <w:i/>
          <w:iCs/>
        </w:rPr>
        <w:t>Medi</w:t>
      </w:r>
      <w:r w:rsidR="00B82E27">
        <w:rPr>
          <w:i/>
          <w:iCs/>
        </w:rPr>
        <w:t>æ</w:t>
      </w:r>
      <w:r w:rsidR="00B82E27" w:rsidRPr="0020773F">
        <w:rPr>
          <w:i/>
          <w:iCs/>
        </w:rPr>
        <w:t>val</w:t>
      </w:r>
      <w:proofErr w:type="spellEnd"/>
      <w:r w:rsidR="00B82E27" w:rsidRPr="0020773F">
        <w:rPr>
          <w:i/>
          <w:iCs/>
        </w:rPr>
        <w:t xml:space="preserve"> Lives of Saint </w:t>
      </w:r>
      <w:proofErr w:type="spellStart"/>
      <w:r w:rsidR="00B82E27" w:rsidRPr="0020773F">
        <w:rPr>
          <w:i/>
          <w:iCs/>
        </w:rPr>
        <w:t>Winefrede</w:t>
      </w:r>
      <w:proofErr w:type="spellEnd"/>
      <w:r w:rsidR="00B95E6A">
        <w:t xml:space="preserve">, </w:t>
      </w:r>
      <w:r>
        <w:t>p. 16.</w:t>
      </w:r>
    </w:p>
  </w:footnote>
  <w:footnote w:id="69">
    <w:p w14:paraId="08EB8B4D" w14:textId="22502BEF" w:rsidR="00BB50C0" w:rsidRDefault="00BB50C0">
      <w:pPr>
        <w:pStyle w:val="FootnoteText"/>
      </w:pPr>
      <w:r>
        <w:rPr>
          <w:rStyle w:val="FootnoteReference"/>
        </w:rPr>
        <w:footnoteRef/>
      </w:r>
      <w:r>
        <w:t xml:space="preserve"> </w:t>
      </w:r>
      <w:r w:rsidR="004F3D0E">
        <w:t xml:space="preserve">Fiona Winward, </w:t>
      </w:r>
      <w:r w:rsidR="00570309">
        <w:t xml:space="preserve">‘The Lives of St </w:t>
      </w:r>
      <w:proofErr w:type="spellStart"/>
      <w:r w:rsidR="00570309">
        <w:t>Wenefred</w:t>
      </w:r>
      <w:proofErr w:type="spellEnd"/>
      <w:r w:rsidR="00BD3AD0" w:rsidRPr="00BD3AD0">
        <w:t xml:space="preserve"> </w:t>
      </w:r>
      <w:r w:rsidR="00BD3AD0" w:rsidRPr="00BD3AD0">
        <w:t>(BHL 8847-51</w:t>
      </w:r>
      <w:r w:rsidR="00BD3AD0" w:rsidRPr="00FB5D4B">
        <w:t>)”</w:t>
      </w:r>
      <w:r w:rsidR="00BD3AD0" w:rsidRPr="00FB5D4B">
        <w:rPr>
          <w:i/>
          <w:iCs/>
        </w:rPr>
        <w:t xml:space="preserve">, Analecta </w:t>
      </w:r>
      <w:proofErr w:type="spellStart"/>
      <w:r w:rsidR="00BD3AD0" w:rsidRPr="00FB5D4B">
        <w:rPr>
          <w:i/>
          <w:iCs/>
        </w:rPr>
        <w:t>Bollandiana</w:t>
      </w:r>
      <w:proofErr w:type="spellEnd"/>
      <w:r w:rsidR="00FB5D4B">
        <w:rPr>
          <w:i/>
          <w:iCs/>
        </w:rPr>
        <w:t>,</w:t>
      </w:r>
      <w:r w:rsidR="00BD3AD0" w:rsidRPr="00BD3AD0">
        <w:t xml:space="preserve"> 117 (1999) 89</w:t>
      </w:r>
      <w:r w:rsidR="00FB5D4B">
        <w:t>-1</w:t>
      </w:r>
      <w:r w:rsidR="00BD3AD0" w:rsidRPr="00BD3AD0">
        <w:t>32</w:t>
      </w:r>
      <w:r w:rsidR="00CE27FC">
        <w:t>.</w:t>
      </w:r>
    </w:p>
  </w:footnote>
  <w:footnote w:id="70">
    <w:p w14:paraId="70B1B890" w14:textId="5E839AD2" w:rsidR="00DA3072" w:rsidRDefault="00DA3072">
      <w:pPr>
        <w:pStyle w:val="FootnoteText"/>
      </w:pPr>
      <w:r>
        <w:rPr>
          <w:rStyle w:val="FootnoteReference"/>
        </w:rPr>
        <w:footnoteRef/>
      </w:r>
      <w:r>
        <w:t xml:space="preserve"> </w:t>
      </w:r>
      <w:r w:rsidRPr="00DA3072">
        <w:t>Nicholson-Jenkins, ‘From the Foothills of Snowdonia to Shrewsbury and Beyond’, p.</w:t>
      </w:r>
      <w:r>
        <w:t xml:space="preserve"> 4.</w:t>
      </w:r>
    </w:p>
  </w:footnote>
  <w:footnote w:id="71">
    <w:p w14:paraId="2F9A90EB" w14:textId="1065F27F" w:rsidR="007F6EBD" w:rsidRPr="00765A59" w:rsidRDefault="007F6EBD">
      <w:pPr>
        <w:pStyle w:val="FootnoteText"/>
      </w:pPr>
      <w:r>
        <w:rPr>
          <w:rStyle w:val="FootnoteReference"/>
        </w:rPr>
        <w:footnoteRef/>
      </w:r>
      <w:r>
        <w:t xml:space="preserve"> </w:t>
      </w:r>
      <w:r w:rsidR="00765A59">
        <w:t xml:space="preserve">Cartwright, </w:t>
      </w:r>
      <w:r w:rsidR="00765A59">
        <w:rPr>
          <w:i/>
          <w:iCs/>
        </w:rPr>
        <w:t>Feminine Sanctity and Spirituality</w:t>
      </w:r>
      <w:r w:rsidR="00765A59">
        <w:t>, p. 75.</w:t>
      </w:r>
    </w:p>
  </w:footnote>
  <w:footnote w:id="72">
    <w:p w14:paraId="7F815D14" w14:textId="5002291C" w:rsidR="00943A52" w:rsidRPr="006A5205" w:rsidRDefault="00943A52">
      <w:pPr>
        <w:pStyle w:val="FootnoteText"/>
      </w:pPr>
      <w:r>
        <w:rPr>
          <w:rStyle w:val="FootnoteReference"/>
        </w:rPr>
        <w:footnoteRef/>
      </w:r>
      <w:r>
        <w:t xml:space="preserve"> </w:t>
      </w:r>
      <w:r w:rsidR="006A082F">
        <w:t>David Callander (ed.)</w:t>
      </w:r>
      <w:r w:rsidR="00E93B62">
        <w:t xml:space="preserve">, </w:t>
      </w:r>
      <w:r w:rsidR="003D1BC8">
        <w:t>‘</w:t>
      </w:r>
      <w:r w:rsidR="00E93B62" w:rsidRPr="00E93B62">
        <w:t xml:space="preserve">Vita </w:t>
      </w:r>
      <w:proofErr w:type="spellStart"/>
      <w:r w:rsidR="00E93B62" w:rsidRPr="00E93B62">
        <w:t>Sancte</w:t>
      </w:r>
      <w:proofErr w:type="spellEnd"/>
      <w:r w:rsidR="00E93B62" w:rsidRPr="00E93B62">
        <w:t xml:space="preserve"> </w:t>
      </w:r>
      <w:proofErr w:type="spellStart"/>
      <w:r w:rsidR="00E93B62" w:rsidRPr="00E93B62">
        <w:t>Wenefrede</w:t>
      </w:r>
      <w:proofErr w:type="spellEnd"/>
      <w:r w:rsidR="00E93B62" w:rsidRPr="00E93B62">
        <w:t xml:space="preserve"> (Lansdowne 436 version)</w:t>
      </w:r>
      <w:r w:rsidR="003D1BC8">
        <w:t xml:space="preserve">’, </w:t>
      </w:r>
      <w:proofErr w:type="spellStart"/>
      <w:r w:rsidR="003D1BC8">
        <w:rPr>
          <w:i/>
          <w:iCs/>
        </w:rPr>
        <w:t>Seintiae</w:t>
      </w:r>
      <w:proofErr w:type="spellEnd"/>
      <w:r w:rsidR="006A5205">
        <w:rPr>
          <w:i/>
          <w:iCs/>
        </w:rPr>
        <w:t>,</w:t>
      </w:r>
      <w:r w:rsidR="00131A83">
        <w:rPr>
          <w:i/>
          <w:iCs/>
        </w:rPr>
        <w:t xml:space="preserve"> </w:t>
      </w:r>
      <w:proofErr w:type="spellStart"/>
      <w:r w:rsidR="00131A83">
        <w:rPr>
          <w:i/>
          <w:iCs/>
        </w:rPr>
        <w:t>Cwlt</w:t>
      </w:r>
      <w:proofErr w:type="spellEnd"/>
      <w:r w:rsidR="00131A83">
        <w:rPr>
          <w:i/>
          <w:iCs/>
        </w:rPr>
        <w:t xml:space="preserve"> y </w:t>
      </w:r>
      <w:proofErr w:type="spellStart"/>
      <w:r w:rsidR="00131A83">
        <w:rPr>
          <w:i/>
          <w:iCs/>
        </w:rPr>
        <w:t>Seintiau</w:t>
      </w:r>
      <w:proofErr w:type="spellEnd"/>
      <w:r w:rsidR="00131A83">
        <w:rPr>
          <w:i/>
          <w:iCs/>
        </w:rPr>
        <w:t xml:space="preserve"> </w:t>
      </w:r>
      <w:proofErr w:type="spellStart"/>
      <w:r w:rsidR="00131A83">
        <w:rPr>
          <w:i/>
          <w:iCs/>
        </w:rPr>
        <w:t>yng</w:t>
      </w:r>
      <w:proofErr w:type="spellEnd"/>
      <w:r w:rsidR="00131A83">
        <w:rPr>
          <w:i/>
          <w:iCs/>
        </w:rPr>
        <w:t xml:space="preserve"> </w:t>
      </w:r>
      <w:proofErr w:type="spellStart"/>
      <w:r w:rsidR="00131A83">
        <w:rPr>
          <w:i/>
          <w:iCs/>
        </w:rPr>
        <w:t>Nghymru</w:t>
      </w:r>
      <w:proofErr w:type="spellEnd"/>
      <w:r w:rsidR="00E46FC9">
        <w:rPr>
          <w:i/>
          <w:iCs/>
        </w:rPr>
        <w:t xml:space="preserve"> </w:t>
      </w:r>
      <w:r w:rsidR="00E46FC9">
        <w:t>(2023)</w:t>
      </w:r>
      <w:r w:rsidR="006A5205">
        <w:rPr>
          <w:i/>
          <w:iCs/>
        </w:rPr>
        <w:t xml:space="preserve"> </w:t>
      </w:r>
      <w:hyperlink r:id="rId1" w:history="1">
        <w:r w:rsidR="00E46FC9" w:rsidRPr="006979B8">
          <w:rPr>
            <w:rStyle w:val="Hyperlink"/>
          </w:rPr>
          <w:t>https://saints.wales/wp-content/uploads/2023/03/Wenefreda-Lans.pdf</w:t>
        </w:r>
      </w:hyperlink>
      <w:r w:rsidR="00E46FC9">
        <w:t xml:space="preserve"> [accessed</w:t>
      </w:r>
      <w:r w:rsidR="002D4D93">
        <w:t>:</w:t>
      </w:r>
      <w:r w:rsidR="00E46FC9">
        <w:t xml:space="preserve"> 6th April 2025]</w:t>
      </w:r>
      <w:r w:rsidR="00BC41EF">
        <w:t xml:space="preserve"> p. 1.</w:t>
      </w:r>
    </w:p>
  </w:footnote>
  <w:footnote w:id="73">
    <w:p w14:paraId="1EC822AE" w14:textId="79F04CE9" w:rsidR="00E63065" w:rsidRDefault="00E63065">
      <w:pPr>
        <w:pStyle w:val="FootnoteText"/>
      </w:pPr>
      <w:r>
        <w:rPr>
          <w:rStyle w:val="FootnoteReference"/>
        </w:rPr>
        <w:footnoteRef/>
      </w:r>
      <w:r>
        <w:t xml:space="preserve"> Ibid. </w:t>
      </w:r>
    </w:p>
  </w:footnote>
  <w:footnote w:id="74">
    <w:p w14:paraId="748EE26B" w14:textId="2F72E278" w:rsidR="0070151F" w:rsidRDefault="0070151F">
      <w:pPr>
        <w:pStyle w:val="FootnoteText"/>
      </w:pPr>
      <w:r>
        <w:rPr>
          <w:rStyle w:val="FootnoteReference"/>
        </w:rPr>
        <w:footnoteRef/>
      </w:r>
      <w:r>
        <w:t xml:space="preserve"> Ibid. p. </w:t>
      </w:r>
      <w:r w:rsidR="00955B20">
        <w:t>9.</w:t>
      </w:r>
    </w:p>
  </w:footnote>
  <w:footnote w:id="75">
    <w:p w14:paraId="57400CFA" w14:textId="77777777" w:rsidR="001E59B7" w:rsidRPr="00F47768" w:rsidRDefault="001E59B7" w:rsidP="001E59B7">
      <w:pPr>
        <w:pStyle w:val="FootnoteText"/>
      </w:pPr>
      <w:r>
        <w:rPr>
          <w:rStyle w:val="FootnoteReference"/>
        </w:rPr>
        <w:footnoteRef/>
      </w:r>
      <w:r>
        <w:t xml:space="preserve"> Cartwright, </w:t>
      </w:r>
      <w:r w:rsidRPr="00DB7FCB">
        <w:rPr>
          <w:i/>
          <w:iCs/>
        </w:rPr>
        <w:t xml:space="preserve">The Welsh Versions of the Life of </w:t>
      </w:r>
      <w:proofErr w:type="spellStart"/>
      <w:r w:rsidRPr="00DB7FCB">
        <w:rPr>
          <w:i/>
          <w:iCs/>
        </w:rPr>
        <w:t>Gwenfrewy</w:t>
      </w:r>
      <w:proofErr w:type="spellEnd"/>
      <w:r>
        <w:rPr>
          <w:i/>
          <w:iCs/>
        </w:rPr>
        <w:t>,</w:t>
      </w:r>
      <w:r>
        <w:t xml:space="preserve"> p. 245.</w:t>
      </w:r>
    </w:p>
  </w:footnote>
  <w:footnote w:id="76">
    <w:p w14:paraId="4F3EBDF8" w14:textId="77777777" w:rsidR="001E59B7" w:rsidRDefault="001E59B7" w:rsidP="001E59B7">
      <w:pPr>
        <w:pStyle w:val="FootnoteText"/>
      </w:pPr>
      <w:r>
        <w:rPr>
          <w:rStyle w:val="FootnoteReference"/>
        </w:rPr>
        <w:footnoteRef/>
      </w:r>
      <w:r>
        <w:t xml:space="preserve"> Ibid.</w:t>
      </w:r>
    </w:p>
  </w:footnote>
  <w:footnote w:id="77">
    <w:p w14:paraId="0D39F87F" w14:textId="106D55FB" w:rsidR="0083012E" w:rsidRDefault="0083012E">
      <w:pPr>
        <w:pStyle w:val="FootnoteText"/>
      </w:pPr>
      <w:r>
        <w:rPr>
          <w:rStyle w:val="FootnoteReference"/>
        </w:rPr>
        <w:footnoteRef/>
      </w:r>
      <w:r>
        <w:t xml:space="preserve"> </w:t>
      </w:r>
      <w:r>
        <w:t xml:space="preserve">Gregory, </w:t>
      </w:r>
      <w:r>
        <w:rPr>
          <w:i/>
          <w:iCs/>
        </w:rPr>
        <w:t>A Welsh Saint in England</w:t>
      </w:r>
      <w:r>
        <w:t>, p.</w:t>
      </w:r>
      <w:r>
        <w:t xml:space="preserve"> 225.</w:t>
      </w:r>
    </w:p>
  </w:footnote>
  <w:footnote w:id="78">
    <w:p w14:paraId="311074B0" w14:textId="3DC094C1" w:rsidR="009409F7" w:rsidRDefault="009409F7">
      <w:pPr>
        <w:pStyle w:val="FootnoteText"/>
      </w:pPr>
      <w:r>
        <w:rPr>
          <w:rStyle w:val="FootnoteReference"/>
        </w:rPr>
        <w:footnoteRef/>
      </w:r>
      <w:r>
        <w:t xml:space="preserve"> </w:t>
      </w:r>
      <w:r>
        <w:t xml:space="preserve">Cartwright, </w:t>
      </w:r>
      <w:r>
        <w:rPr>
          <w:i/>
          <w:iCs/>
        </w:rPr>
        <w:t>Feminine Sanctity and Spirituality</w:t>
      </w:r>
      <w:r>
        <w:t>, p. 7</w:t>
      </w:r>
      <w:r>
        <w:t>2.</w:t>
      </w:r>
    </w:p>
  </w:footnote>
  <w:footnote w:id="79">
    <w:p w14:paraId="1AF8DE3F" w14:textId="1FF07092" w:rsidR="00BA3296" w:rsidRPr="00982C75" w:rsidRDefault="00BA3296">
      <w:pPr>
        <w:pStyle w:val="FootnoteText"/>
      </w:pPr>
      <w:r>
        <w:rPr>
          <w:rStyle w:val="FootnoteReference"/>
        </w:rPr>
        <w:footnoteRef/>
      </w:r>
      <w:r>
        <w:t xml:space="preserve"> </w:t>
      </w:r>
      <w:proofErr w:type="spellStart"/>
      <w:r w:rsidR="00982C75" w:rsidRPr="0020773F">
        <w:t>Feiss</w:t>
      </w:r>
      <w:proofErr w:type="spellEnd"/>
      <w:r w:rsidR="00982C75" w:rsidRPr="0020773F">
        <w:t xml:space="preserve">, </w:t>
      </w:r>
      <w:proofErr w:type="spellStart"/>
      <w:r w:rsidR="00982C75" w:rsidRPr="0020773F">
        <w:t>Hamaker</w:t>
      </w:r>
      <w:proofErr w:type="spellEnd"/>
      <w:r w:rsidR="00982C75" w:rsidRPr="0020773F">
        <w:t xml:space="preserve"> &amp; Pepin, </w:t>
      </w:r>
      <w:r w:rsidR="00982C75" w:rsidRPr="0020773F">
        <w:rPr>
          <w:i/>
          <w:iCs/>
        </w:rPr>
        <w:t xml:space="preserve">Two </w:t>
      </w:r>
      <w:proofErr w:type="spellStart"/>
      <w:r w:rsidR="00982C75" w:rsidRPr="0020773F">
        <w:rPr>
          <w:i/>
          <w:iCs/>
        </w:rPr>
        <w:t>Medi</w:t>
      </w:r>
      <w:r w:rsidR="00982C75">
        <w:rPr>
          <w:i/>
          <w:iCs/>
        </w:rPr>
        <w:t>æ</w:t>
      </w:r>
      <w:r w:rsidR="00982C75" w:rsidRPr="0020773F">
        <w:rPr>
          <w:i/>
          <w:iCs/>
        </w:rPr>
        <w:t>val</w:t>
      </w:r>
      <w:proofErr w:type="spellEnd"/>
      <w:r w:rsidR="00982C75" w:rsidRPr="0020773F">
        <w:rPr>
          <w:i/>
          <w:iCs/>
        </w:rPr>
        <w:t xml:space="preserve"> Lives of Saint </w:t>
      </w:r>
      <w:proofErr w:type="spellStart"/>
      <w:r w:rsidR="00982C75" w:rsidRPr="0020773F">
        <w:rPr>
          <w:i/>
          <w:iCs/>
        </w:rPr>
        <w:t>Winefrede</w:t>
      </w:r>
      <w:proofErr w:type="spellEnd"/>
      <w:r w:rsidR="00982C75">
        <w:t>, p. 18.</w:t>
      </w:r>
    </w:p>
  </w:footnote>
  <w:footnote w:id="80">
    <w:p w14:paraId="6D2C0E78" w14:textId="6319DD6E" w:rsidR="00A25327" w:rsidRPr="00053654" w:rsidRDefault="0086414A">
      <w:pPr>
        <w:pStyle w:val="FootnoteText"/>
      </w:pPr>
      <w:r>
        <w:rPr>
          <w:rStyle w:val="FootnoteReference"/>
        </w:rPr>
        <w:footnoteRef/>
      </w:r>
      <w:r>
        <w:t xml:space="preserve"> Evelyn Nicholson</w:t>
      </w:r>
      <w:r w:rsidR="00CD7B5F">
        <w:t>, ‘Unveiling the Sensory Sinfonia: Re-imagining the Sonorous Essence of Medieval Pilgrimage</w:t>
      </w:r>
      <w:r w:rsidR="00541F62">
        <w:t xml:space="preserve">’, </w:t>
      </w:r>
      <w:r w:rsidR="00541F62" w:rsidRPr="00541F62">
        <w:rPr>
          <w:i/>
          <w:iCs/>
        </w:rPr>
        <w:t>European Studies Conference Selected Proceeding</w:t>
      </w:r>
      <w:r w:rsidR="00A25327">
        <w:rPr>
          <w:i/>
          <w:iCs/>
        </w:rPr>
        <w:t xml:space="preserve">s, University of Nebraska </w:t>
      </w:r>
      <w:r w:rsidR="00053654">
        <w:rPr>
          <w:i/>
          <w:iCs/>
        </w:rPr>
        <w:t xml:space="preserve">Omaha </w:t>
      </w:r>
      <w:r w:rsidR="00053654">
        <w:t xml:space="preserve">(2023) </w:t>
      </w:r>
      <w:hyperlink r:id="rId2" w:history="1">
        <w:r w:rsidR="00053654" w:rsidRPr="006979B8">
          <w:rPr>
            <w:rStyle w:val="Hyperlink"/>
          </w:rPr>
          <w:t>https://www.unomaha.edu/college-of-arts-and-sciences/european-studies-conference/esc-proceedings/evelyn-nicholson-pdf.pdf</w:t>
        </w:r>
      </w:hyperlink>
      <w:r w:rsidR="00053654">
        <w:t xml:space="preserve"> </w:t>
      </w:r>
      <w:r w:rsidR="00ED7601">
        <w:t>[accessed: 6</w:t>
      </w:r>
      <w:r w:rsidR="00ED7601" w:rsidRPr="00ED7601">
        <w:rPr>
          <w:vertAlign w:val="superscript"/>
        </w:rPr>
        <w:t>th</w:t>
      </w:r>
      <w:r w:rsidR="00ED7601">
        <w:t xml:space="preserve"> April 2025]</w:t>
      </w:r>
      <w:r w:rsidR="00573025">
        <w:t xml:space="preserve"> p. 11.</w:t>
      </w:r>
    </w:p>
  </w:footnote>
  <w:footnote w:id="81">
    <w:p w14:paraId="4CC13325" w14:textId="471A1FF7" w:rsidR="00CD4B84" w:rsidRDefault="00CD4B84">
      <w:pPr>
        <w:pStyle w:val="FootnoteText"/>
      </w:pPr>
      <w:r>
        <w:rPr>
          <w:rStyle w:val="FootnoteReference"/>
        </w:rPr>
        <w:footnoteRef/>
      </w:r>
      <w:r>
        <w:t xml:space="preserve"> Ibid.</w:t>
      </w:r>
      <w:r w:rsidR="00AC36B1">
        <w:t xml:space="preserve"> p. 15-16.</w:t>
      </w:r>
    </w:p>
  </w:footnote>
  <w:footnote w:id="82">
    <w:p w14:paraId="6B68907A" w14:textId="28AC5339" w:rsidR="003A5D67" w:rsidRDefault="003A5D67">
      <w:pPr>
        <w:pStyle w:val="FootnoteText"/>
      </w:pPr>
      <w:r>
        <w:rPr>
          <w:rStyle w:val="FootnoteReference"/>
        </w:rPr>
        <w:footnoteRef/>
      </w:r>
      <w:r>
        <w:t xml:space="preserve"> </w:t>
      </w:r>
      <w:r w:rsidR="007F3C53" w:rsidRPr="007F3C53">
        <w:t>Nicholson-Jenkins, ‘From the Foothills of Snowdonia to Shrewsbury and Beyond’, p.</w:t>
      </w:r>
      <w:r w:rsidR="007F3C53">
        <w:t xml:space="preserve"> 3.</w:t>
      </w:r>
    </w:p>
  </w:footnote>
  <w:footnote w:id="83">
    <w:p w14:paraId="2B5942FF" w14:textId="56FC4BA9" w:rsidR="00766827" w:rsidRDefault="00766827">
      <w:pPr>
        <w:pStyle w:val="FootnoteText"/>
      </w:pPr>
      <w:r>
        <w:rPr>
          <w:rStyle w:val="FootnoteReference"/>
        </w:rPr>
        <w:footnoteRef/>
      </w:r>
      <w:r>
        <w:t xml:space="preserve"> </w:t>
      </w:r>
      <w:r w:rsidR="007F3C53">
        <w:t xml:space="preserve">Ibid. p. </w:t>
      </w:r>
      <w:r>
        <w:t>4</w:t>
      </w:r>
    </w:p>
  </w:footnote>
  <w:footnote w:id="84">
    <w:p w14:paraId="3297587A" w14:textId="6F55B4A7" w:rsidR="0012532B" w:rsidRDefault="0012532B">
      <w:pPr>
        <w:pStyle w:val="FootnoteText"/>
      </w:pPr>
      <w:r>
        <w:rPr>
          <w:rStyle w:val="FootnoteReference"/>
        </w:rPr>
        <w:footnoteRef/>
      </w:r>
      <w:r>
        <w:t xml:space="preserve"> Nicholson, ‘Unveiling </w:t>
      </w:r>
      <w:r w:rsidR="005D5BD1">
        <w:t>the Sensory Sinfonia’</w:t>
      </w:r>
      <w:r w:rsidR="007459A3">
        <w:t>, p. 16.</w:t>
      </w:r>
    </w:p>
  </w:footnote>
  <w:footnote w:id="85">
    <w:p w14:paraId="0B9F7C42" w14:textId="0C51B85D" w:rsidR="00586C0C" w:rsidRDefault="00586C0C">
      <w:pPr>
        <w:pStyle w:val="FootnoteText"/>
      </w:pPr>
      <w:r>
        <w:rPr>
          <w:rStyle w:val="FootnoteReference"/>
        </w:rPr>
        <w:footnoteRef/>
      </w:r>
      <w:r>
        <w:t xml:space="preserve"> </w:t>
      </w:r>
      <w:r w:rsidRPr="00DA3072">
        <w:t>Nicholson-Jenkins, ‘From the Foothills of Snowdonia to Shrewsbury and Beyond’, p.</w:t>
      </w:r>
      <w:r>
        <w:t xml:space="preserve"> 4</w:t>
      </w:r>
    </w:p>
  </w:footnote>
  <w:footnote w:id="86">
    <w:p w14:paraId="22AF2F10" w14:textId="7B54810F" w:rsidR="001922D2" w:rsidRDefault="001922D2">
      <w:pPr>
        <w:pStyle w:val="FootnoteText"/>
      </w:pPr>
      <w:r>
        <w:rPr>
          <w:rStyle w:val="FootnoteReference"/>
        </w:rPr>
        <w:footnoteRef/>
      </w:r>
      <w:r>
        <w:t xml:space="preserve"> </w:t>
      </w:r>
      <w:r w:rsidR="000A5DC4" w:rsidRPr="000A5DC4">
        <w:t>Kathryn</w:t>
      </w:r>
      <w:r w:rsidR="000A5DC4" w:rsidRPr="000A5DC4">
        <w:t xml:space="preserve"> </w:t>
      </w:r>
      <w:r w:rsidR="000A5DC4" w:rsidRPr="000A5DC4">
        <w:t xml:space="preserve">Hurlock, </w:t>
      </w:r>
      <w:r w:rsidR="000A5DC4" w:rsidRPr="000A5DC4">
        <w:rPr>
          <w:i/>
          <w:iCs/>
        </w:rPr>
        <w:t>Politics and Pilgrimage, Medieval Welsh Pilgrimage, c.1100-1500</w:t>
      </w:r>
      <w:r w:rsidR="000A5DC4" w:rsidRPr="000A5DC4">
        <w:t xml:space="preserve"> (Palgrave Macmillan US)</w:t>
      </w:r>
      <w:r w:rsidR="004C186A">
        <w:t xml:space="preserve"> </w:t>
      </w:r>
      <w:r w:rsidR="000A5DC4" w:rsidRPr="000A5DC4">
        <w:t xml:space="preserve">175–207 </w:t>
      </w:r>
      <w:r w:rsidR="00D671ED">
        <w:t>(p. 186).</w:t>
      </w:r>
    </w:p>
  </w:footnote>
  <w:footnote w:id="87">
    <w:p w14:paraId="2EDEB092" w14:textId="0AD8BBF9" w:rsidR="00386BE4" w:rsidRDefault="00386BE4">
      <w:pPr>
        <w:pStyle w:val="FootnoteText"/>
      </w:pPr>
      <w:r>
        <w:rPr>
          <w:rStyle w:val="FootnoteReference"/>
        </w:rPr>
        <w:footnoteRef/>
      </w:r>
      <w:r>
        <w:t xml:space="preserve"> </w:t>
      </w:r>
      <w:r>
        <w:t xml:space="preserve">Cartwright, </w:t>
      </w:r>
      <w:r w:rsidRPr="00DB7FCB">
        <w:rPr>
          <w:i/>
          <w:iCs/>
        </w:rPr>
        <w:t xml:space="preserve">The Welsh Versions of the Life of </w:t>
      </w:r>
      <w:proofErr w:type="spellStart"/>
      <w:r w:rsidRPr="00DB7FCB">
        <w:rPr>
          <w:i/>
          <w:iCs/>
        </w:rPr>
        <w:t>Gwenfrewy</w:t>
      </w:r>
      <w:proofErr w:type="spellEnd"/>
      <w:r>
        <w:rPr>
          <w:i/>
          <w:iCs/>
        </w:rPr>
        <w:t>,</w:t>
      </w:r>
      <w:r>
        <w:t xml:space="preserve"> p. 2</w:t>
      </w:r>
      <w:r>
        <w:t>38.</w:t>
      </w:r>
    </w:p>
  </w:footnote>
  <w:footnote w:id="88">
    <w:p w14:paraId="308F7EAD" w14:textId="2B02524F" w:rsidR="00615B57" w:rsidRDefault="00615B57">
      <w:pPr>
        <w:pStyle w:val="FootnoteText"/>
      </w:pPr>
      <w:r>
        <w:rPr>
          <w:rStyle w:val="FootnoteReference"/>
        </w:rPr>
        <w:footnoteRef/>
      </w:r>
      <w:r>
        <w:t xml:space="preserve"> </w:t>
      </w:r>
      <w:r>
        <w:t xml:space="preserve">Gregory, </w:t>
      </w:r>
      <w:r>
        <w:rPr>
          <w:i/>
          <w:iCs/>
        </w:rPr>
        <w:t>A Welsh Saint in England</w:t>
      </w:r>
      <w:r>
        <w:t>, p. 2</w:t>
      </w:r>
      <w:r>
        <w:t>33.</w:t>
      </w:r>
    </w:p>
  </w:footnote>
  <w:footnote w:id="89">
    <w:p w14:paraId="7990D7ED" w14:textId="185041D8" w:rsidR="00D2165D" w:rsidRDefault="00D2165D">
      <w:pPr>
        <w:pStyle w:val="FootnoteText"/>
      </w:pPr>
      <w:r>
        <w:rPr>
          <w:rStyle w:val="FootnoteReference"/>
        </w:rPr>
        <w:footnoteRef/>
      </w:r>
      <w:r>
        <w:t xml:space="preserve"> Ibid.</w:t>
      </w:r>
    </w:p>
  </w:footnote>
  <w:footnote w:id="90">
    <w:p w14:paraId="5EFCDCCF" w14:textId="4B6F2809" w:rsidR="002B410B" w:rsidRDefault="002B410B">
      <w:pPr>
        <w:pStyle w:val="FootnoteText"/>
      </w:pPr>
      <w:r>
        <w:rPr>
          <w:rStyle w:val="FootnoteReference"/>
        </w:rPr>
        <w:footnoteRef/>
      </w:r>
      <w:r>
        <w:t xml:space="preserve"> Ibid. p. 236.</w:t>
      </w:r>
    </w:p>
  </w:footnote>
  <w:footnote w:id="91">
    <w:p w14:paraId="1B0FEBBC" w14:textId="268C7801" w:rsidR="006D3227" w:rsidRPr="00B61C95" w:rsidRDefault="006D3227">
      <w:pPr>
        <w:pStyle w:val="FootnoteText"/>
      </w:pPr>
      <w:r>
        <w:rPr>
          <w:rStyle w:val="FootnoteReference"/>
        </w:rPr>
        <w:footnoteRef/>
      </w:r>
      <w:r>
        <w:t xml:space="preserve"> </w:t>
      </w:r>
      <w:r w:rsidR="00B61C95" w:rsidRPr="000A5DC4">
        <w:t xml:space="preserve">Hurlock, </w:t>
      </w:r>
      <w:r w:rsidR="00B61C95" w:rsidRPr="000A5DC4">
        <w:rPr>
          <w:i/>
          <w:iCs/>
        </w:rPr>
        <w:t>Politics and Pilgrimage</w:t>
      </w:r>
      <w:r w:rsidR="00B61C95">
        <w:t>, p. 186.</w:t>
      </w:r>
    </w:p>
  </w:footnote>
  <w:footnote w:id="92">
    <w:p w14:paraId="50AE2AD4" w14:textId="732F89DC" w:rsidR="00271F87" w:rsidRDefault="00271F87">
      <w:pPr>
        <w:pStyle w:val="FootnoteText"/>
      </w:pPr>
      <w:r>
        <w:rPr>
          <w:rStyle w:val="FootnoteReference"/>
        </w:rPr>
        <w:footnoteRef/>
      </w:r>
      <w:r>
        <w:t xml:space="preserve"> Ibid. </w:t>
      </w:r>
    </w:p>
  </w:footnote>
  <w:footnote w:id="93">
    <w:p w14:paraId="2ACD77CC" w14:textId="1F1B3299" w:rsidR="00146D17" w:rsidRDefault="00146D17">
      <w:pPr>
        <w:pStyle w:val="FootnoteText"/>
      </w:pPr>
      <w:r>
        <w:rPr>
          <w:rStyle w:val="FootnoteReference"/>
        </w:rPr>
        <w:footnoteRef/>
      </w:r>
      <w:r>
        <w:t xml:space="preserve"> </w:t>
      </w:r>
      <w:r>
        <w:t xml:space="preserve">Gregory, </w:t>
      </w:r>
      <w:r>
        <w:rPr>
          <w:i/>
          <w:iCs/>
        </w:rPr>
        <w:t>A Welsh Saint in England</w:t>
      </w:r>
      <w:r>
        <w:t>, p. 23</w:t>
      </w:r>
      <w:r w:rsidR="00B56773">
        <w:t>6.</w:t>
      </w:r>
    </w:p>
  </w:footnote>
  <w:footnote w:id="94">
    <w:p w14:paraId="585A51E3" w14:textId="206C2940" w:rsidR="00C97A17" w:rsidRDefault="00C97A17">
      <w:pPr>
        <w:pStyle w:val="FootnoteText"/>
      </w:pPr>
      <w:r>
        <w:rPr>
          <w:rStyle w:val="FootnoteReference"/>
        </w:rPr>
        <w:footnoteRef/>
      </w:r>
      <w:r>
        <w:t xml:space="preserve"> Ibid. </w:t>
      </w:r>
    </w:p>
  </w:footnote>
  <w:footnote w:id="95">
    <w:p w14:paraId="692E90DB" w14:textId="102E36DB" w:rsidR="000C43D6" w:rsidRDefault="000C43D6">
      <w:pPr>
        <w:pStyle w:val="FootnoteText"/>
      </w:pPr>
      <w:r>
        <w:rPr>
          <w:rStyle w:val="FootnoteReference"/>
        </w:rPr>
        <w:footnoteRef/>
      </w:r>
      <w:r>
        <w:t xml:space="preserve"> </w:t>
      </w:r>
      <w:proofErr w:type="spellStart"/>
      <w:r w:rsidRPr="0020773F">
        <w:t>Feiss</w:t>
      </w:r>
      <w:proofErr w:type="spellEnd"/>
      <w:r w:rsidRPr="0020773F">
        <w:t xml:space="preserve">, </w:t>
      </w:r>
      <w:proofErr w:type="spellStart"/>
      <w:r w:rsidRPr="0020773F">
        <w:t>Hamaker</w:t>
      </w:r>
      <w:proofErr w:type="spellEnd"/>
      <w:r w:rsidRPr="0020773F">
        <w:t xml:space="preserve"> &amp; Pepin, </w:t>
      </w:r>
      <w:r w:rsidRPr="0020773F">
        <w:rPr>
          <w:i/>
          <w:iCs/>
        </w:rPr>
        <w:t xml:space="preserve">Two </w:t>
      </w:r>
      <w:proofErr w:type="spellStart"/>
      <w:r w:rsidRPr="0020773F">
        <w:rPr>
          <w:i/>
          <w:iCs/>
        </w:rPr>
        <w:t>Medi</w:t>
      </w:r>
      <w:r>
        <w:rPr>
          <w:i/>
          <w:iCs/>
        </w:rPr>
        <w:t>æ</w:t>
      </w:r>
      <w:r w:rsidRPr="0020773F">
        <w:rPr>
          <w:i/>
          <w:iCs/>
        </w:rPr>
        <w:t>val</w:t>
      </w:r>
      <w:proofErr w:type="spellEnd"/>
      <w:r w:rsidRPr="0020773F">
        <w:rPr>
          <w:i/>
          <w:iCs/>
        </w:rPr>
        <w:t xml:space="preserve"> Lives of Saint </w:t>
      </w:r>
      <w:proofErr w:type="spellStart"/>
      <w:r w:rsidRPr="0020773F">
        <w:rPr>
          <w:i/>
          <w:iCs/>
        </w:rPr>
        <w:t>Winefrede</w:t>
      </w:r>
      <w:proofErr w:type="spellEnd"/>
      <w:r>
        <w:t>,</w:t>
      </w:r>
      <w:r>
        <w:t xml:space="preserve"> p. 16.</w:t>
      </w:r>
    </w:p>
  </w:footnote>
  <w:footnote w:id="96">
    <w:p w14:paraId="5F6403C4" w14:textId="26645BEF" w:rsidR="0044309F" w:rsidRPr="0044309F" w:rsidRDefault="0044309F">
      <w:pPr>
        <w:pStyle w:val="FootnoteText"/>
      </w:pPr>
      <w:r>
        <w:rPr>
          <w:rStyle w:val="FootnoteReference"/>
        </w:rPr>
        <w:footnoteRef/>
      </w:r>
      <w:r>
        <w:t xml:space="preserve"> </w:t>
      </w:r>
      <w:r w:rsidRPr="000A5DC4">
        <w:t xml:space="preserve">Hurlock, </w:t>
      </w:r>
      <w:r w:rsidRPr="000A5DC4">
        <w:rPr>
          <w:i/>
          <w:iCs/>
        </w:rPr>
        <w:t>Politics and Pilgrimage</w:t>
      </w:r>
      <w:r>
        <w:t>, p. 186.</w:t>
      </w:r>
    </w:p>
  </w:footnote>
  <w:footnote w:id="97">
    <w:p w14:paraId="0B3459D1" w14:textId="6FC94F7F" w:rsidR="00097C3F" w:rsidRPr="00D7211A" w:rsidRDefault="00097C3F">
      <w:pPr>
        <w:pStyle w:val="FootnoteText"/>
      </w:pPr>
      <w:r>
        <w:rPr>
          <w:rStyle w:val="FootnoteReference"/>
        </w:rPr>
        <w:footnoteRef/>
      </w:r>
      <w:r>
        <w:t xml:space="preserve"> M. J. C. Lowry, </w:t>
      </w:r>
      <w:r w:rsidR="00751A62">
        <w:t>‘</w:t>
      </w:r>
      <w:r>
        <w:t xml:space="preserve">Caxton, </w:t>
      </w:r>
      <w:r w:rsidR="00751A62">
        <w:t>St. Win</w:t>
      </w:r>
      <w:r w:rsidR="00560F79">
        <w:t>i</w:t>
      </w:r>
      <w:r w:rsidR="00751A62">
        <w:t>fr</w:t>
      </w:r>
      <w:r w:rsidR="00560F79">
        <w:t>e</w:t>
      </w:r>
      <w:r w:rsidR="00751A62">
        <w:t xml:space="preserve">d and </w:t>
      </w:r>
      <w:r w:rsidR="00560F79">
        <w:t>the lady Margaret Beaufort</w:t>
      </w:r>
      <w:r w:rsidR="00D7211A">
        <w:t xml:space="preserve">’ </w:t>
      </w:r>
      <w:r w:rsidR="00D7211A">
        <w:rPr>
          <w:i/>
          <w:iCs/>
        </w:rPr>
        <w:t>The Library</w:t>
      </w:r>
      <w:r w:rsidR="00D7211A">
        <w:t xml:space="preserve"> 5</w:t>
      </w:r>
      <w:r w:rsidR="00CC2150">
        <w:t xml:space="preserve"> (1983) p. 111</w:t>
      </w:r>
      <w:r w:rsidR="00B9528C">
        <w:t>, (noted in</w:t>
      </w:r>
      <w:r w:rsidR="00CF494F">
        <w:t xml:space="preserve">) </w:t>
      </w:r>
      <w:r w:rsidR="00CF494F" w:rsidRPr="000A5DC4">
        <w:t xml:space="preserve">Hurlock, </w:t>
      </w:r>
      <w:r w:rsidR="00CF494F" w:rsidRPr="000A5DC4">
        <w:rPr>
          <w:i/>
          <w:iCs/>
        </w:rPr>
        <w:t>Politics and Pilgrimage</w:t>
      </w:r>
      <w:r w:rsidR="00CF494F">
        <w:t>, p. 186.</w:t>
      </w:r>
    </w:p>
  </w:footnote>
  <w:footnote w:id="98">
    <w:p w14:paraId="409CD9F9" w14:textId="3EC1C4EB" w:rsidR="00FB4605" w:rsidRDefault="00FB4605">
      <w:pPr>
        <w:pStyle w:val="FootnoteText"/>
      </w:pPr>
      <w:r>
        <w:rPr>
          <w:rStyle w:val="FootnoteReference"/>
        </w:rPr>
        <w:footnoteRef/>
      </w:r>
      <w:r>
        <w:t xml:space="preserve"> </w:t>
      </w:r>
      <w:r w:rsidRPr="00DA3072">
        <w:t>Nicholson-Jenkins, ‘From the Foothills of Snowdonia to Shrewsbury and Beyond’, p.</w:t>
      </w:r>
      <w:r>
        <w:t xml:space="preserve"> </w:t>
      </w:r>
      <w:r w:rsidR="00C51A4E">
        <w:t>8</w:t>
      </w:r>
      <w:r>
        <w:t>.</w:t>
      </w:r>
    </w:p>
  </w:footnote>
  <w:footnote w:id="99">
    <w:p w14:paraId="1EAB9444" w14:textId="233EECDB" w:rsidR="0087297E" w:rsidRDefault="0087297E">
      <w:pPr>
        <w:pStyle w:val="FootnoteText"/>
      </w:pPr>
      <w:r>
        <w:rPr>
          <w:rStyle w:val="FootnoteReference"/>
        </w:rPr>
        <w:footnoteRef/>
      </w:r>
      <w:r>
        <w:t xml:space="preserve"> Ibid.</w:t>
      </w:r>
    </w:p>
  </w:footnote>
  <w:footnote w:id="100">
    <w:p w14:paraId="54A34314" w14:textId="5A6D8D5A" w:rsidR="00F46A48" w:rsidRDefault="00F46A48">
      <w:pPr>
        <w:pStyle w:val="FootnoteText"/>
      </w:pPr>
      <w:r>
        <w:rPr>
          <w:rStyle w:val="FootnoteReference"/>
        </w:rPr>
        <w:footnoteRef/>
      </w:r>
      <w:r>
        <w:t xml:space="preserve"> Ibid.</w:t>
      </w:r>
      <w:r w:rsidR="00C51A4E">
        <w:t xml:space="preserve"> p. 4.</w:t>
      </w:r>
    </w:p>
  </w:footnote>
  <w:footnote w:id="101">
    <w:p w14:paraId="42652B9C" w14:textId="24680084" w:rsidR="00823599" w:rsidRDefault="00823599">
      <w:pPr>
        <w:pStyle w:val="FootnoteText"/>
      </w:pPr>
      <w:r>
        <w:rPr>
          <w:rStyle w:val="FootnoteReference"/>
        </w:rPr>
        <w:footnoteRef/>
      </w:r>
      <w:r>
        <w:t xml:space="preserve"> </w:t>
      </w:r>
      <w:r w:rsidRPr="00823599">
        <w:t>Cartwright, Feminine Sanctity and Spirituality, p. 7</w:t>
      </w:r>
      <w:r>
        <w:t>3.</w:t>
      </w:r>
    </w:p>
  </w:footnote>
  <w:footnote w:id="102">
    <w:p w14:paraId="1E2626D4" w14:textId="39FC0C9D" w:rsidR="005A1370" w:rsidRDefault="005A1370">
      <w:pPr>
        <w:pStyle w:val="FootnoteText"/>
      </w:pPr>
      <w:r>
        <w:rPr>
          <w:rStyle w:val="FootnoteReference"/>
        </w:rPr>
        <w:footnoteRef/>
      </w:r>
      <w:r>
        <w:t xml:space="preserve"> </w:t>
      </w:r>
      <w:r>
        <w:t xml:space="preserve">Gregory, </w:t>
      </w:r>
      <w:r>
        <w:rPr>
          <w:i/>
          <w:iCs/>
        </w:rPr>
        <w:t>A Welsh Saint in England</w:t>
      </w:r>
      <w:r>
        <w:t xml:space="preserve">, p. </w:t>
      </w:r>
      <w:r w:rsidR="00444DD4">
        <w:t>309-310.</w:t>
      </w:r>
    </w:p>
  </w:footnote>
  <w:footnote w:id="103">
    <w:p w14:paraId="19C55842" w14:textId="50D027C0" w:rsidR="00DF0DA9" w:rsidRDefault="00DF0DA9">
      <w:pPr>
        <w:pStyle w:val="FootnoteText"/>
      </w:pPr>
      <w:r>
        <w:rPr>
          <w:rStyle w:val="FootnoteReference"/>
        </w:rPr>
        <w:footnoteRef/>
      </w:r>
      <w:r>
        <w:t xml:space="preserve"> </w:t>
      </w:r>
      <w:r w:rsidR="003147F5">
        <w:t>Ibid.</w:t>
      </w:r>
    </w:p>
  </w:footnote>
  <w:footnote w:id="104">
    <w:p w14:paraId="02875567" w14:textId="09F4C0A0" w:rsidR="0086517E" w:rsidRDefault="0086517E">
      <w:pPr>
        <w:pStyle w:val="FootnoteText"/>
      </w:pPr>
      <w:r>
        <w:rPr>
          <w:rStyle w:val="FootnoteReference"/>
        </w:rPr>
        <w:footnoteRef/>
      </w:r>
      <w:r>
        <w:t xml:space="preserve"> </w:t>
      </w:r>
      <w:r>
        <w:t xml:space="preserve">Cartwright, </w:t>
      </w:r>
      <w:r w:rsidRPr="00DB7FCB">
        <w:rPr>
          <w:i/>
          <w:iCs/>
        </w:rPr>
        <w:t xml:space="preserve">The Welsh Versions of the Life of </w:t>
      </w:r>
      <w:proofErr w:type="spellStart"/>
      <w:r w:rsidRPr="00DB7FCB">
        <w:rPr>
          <w:i/>
          <w:iCs/>
        </w:rPr>
        <w:t>Gwenfrewy</w:t>
      </w:r>
      <w:proofErr w:type="spellEnd"/>
      <w:r w:rsidR="00353D6F">
        <w:t>.</w:t>
      </w:r>
    </w:p>
  </w:footnote>
  <w:footnote w:id="105">
    <w:p w14:paraId="1B37AEA2" w14:textId="3421D8D7" w:rsidR="009D7E18" w:rsidRDefault="007775CF">
      <w:pPr>
        <w:pStyle w:val="FootnoteText"/>
      </w:pPr>
      <w:r>
        <w:rPr>
          <w:rStyle w:val="FootnoteReference"/>
        </w:rPr>
        <w:footnoteRef/>
      </w:r>
      <w:r>
        <w:t xml:space="preserve"> </w:t>
      </w:r>
      <w:r w:rsidR="008036CB">
        <w:t xml:space="preserve">Ibid. p. </w:t>
      </w:r>
      <w:r w:rsidR="00B30E6F">
        <w:t>2</w:t>
      </w:r>
      <w:r w:rsidR="008036CB">
        <w:t>40.</w:t>
      </w:r>
      <w:r w:rsidR="00B30E6F">
        <w:t xml:space="preserve"> </w:t>
      </w:r>
    </w:p>
  </w:footnote>
  <w:footnote w:id="106">
    <w:p w14:paraId="30F28713" w14:textId="7A647CD7" w:rsidR="00B30E6F" w:rsidRDefault="00B30E6F">
      <w:pPr>
        <w:pStyle w:val="FootnoteText"/>
      </w:pPr>
      <w:r>
        <w:rPr>
          <w:rStyle w:val="FootnoteReference"/>
        </w:rPr>
        <w:footnoteRef/>
      </w:r>
      <w:r>
        <w:t xml:space="preserve"> Ibid. p. 243</w:t>
      </w:r>
    </w:p>
  </w:footnote>
  <w:footnote w:id="107">
    <w:p w14:paraId="0EA70214" w14:textId="233FDD76" w:rsidR="00855CDB" w:rsidRDefault="00855CDB">
      <w:pPr>
        <w:pStyle w:val="FootnoteText"/>
      </w:pPr>
      <w:r>
        <w:rPr>
          <w:rStyle w:val="FootnoteReference"/>
        </w:rPr>
        <w:footnoteRef/>
      </w:r>
      <w:r>
        <w:t xml:space="preserve"> </w:t>
      </w:r>
      <w:r w:rsidRPr="00823599">
        <w:t>Cartwright, Feminine Sanctity and Spirituality, p. 7</w:t>
      </w:r>
      <w:r>
        <w:t>3.</w:t>
      </w:r>
    </w:p>
  </w:footnote>
  <w:footnote w:id="108">
    <w:p w14:paraId="3E69FC90" w14:textId="5D87254F" w:rsidR="00F920DD" w:rsidRDefault="00F920DD">
      <w:pPr>
        <w:pStyle w:val="FootnoteText"/>
      </w:pPr>
      <w:r>
        <w:rPr>
          <w:rStyle w:val="FootnoteReference"/>
        </w:rPr>
        <w:footnoteRef/>
      </w:r>
      <w:r>
        <w:t xml:space="preserve"> </w:t>
      </w:r>
      <w:proofErr w:type="spellStart"/>
      <w:r w:rsidR="00C30205">
        <w:t>Henken</w:t>
      </w:r>
      <w:proofErr w:type="spellEnd"/>
      <w:r w:rsidR="00C30205">
        <w:t xml:space="preserve">, </w:t>
      </w:r>
      <w:r w:rsidR="00C30205">
        <w:rPr>
          <w:i/>
          <w:iCs/>
        </w:rPr>
        <w:t>Traditions of the Welsh Saints,</w:t>
      </w:r>
      <w:r w:rsidR="00C30205">
        <w:t xml:space="preserve"> p. </w:t>
      </w:r>
      <w:r w:rsidR="00C30205">
        <w:t>144-145</w:t>
      </w:r>
      <w:r w:rsidR="00C30205">
        <w:t>.</w:t>
      </w:r>
    </w:p>
  </w:footnote>
  <w:footnote w:id="109">
    <w:p w14:paraId="5B014892" w14:textId="2AE50F7A" w:rsidR="00065893" w:rsidRDefault="00065893">
      <w:pPr>
        <w:pStyle w:val="FootnoteText"/>
      </w:pPr>
      <w:r>
        <w:rPr>
          <w:rStyle w:val="FootnoteReference"/>
        </w:rPr>
        <w:footnoteRef/>
      </w:r>
      <w:r>
        <w:t xml:space="preserve"> </w:t>
      </w:r>
      <w:r w:rsidR="000E348C">
        <w:t>Anonymous, ‘</w:t>
      </w:r>
      <w:r w:rsidR="00332B58">
        <w:t xml:space="preserve">Saint </w:t>
      </w:r>
      <w:proofErr w:type="spellStart"/>
      <w:r w:rsidR="00332B58">
        <w:t>Gwenfre</w:t>
      </w:r>
      <w:r w:rsidR="000E348C">
        <w:t>wy’s</w:t>
      </w:r>
      <w:proofErr w:type="spellEnd"/>
      <w:r w:rsidR="000E348C">
        <w:t xml:space="preserve"> Well at Holywell’ (in) </w:t>
      </w:r>
      <w:r>
        <w:t>Barry J. Lewis</w:t>
      </w:r>
      <w:r w:rsidR="000E348C">
        <w:t xml:space="preserve">, </w:t>
      </w:r>
      <w:r w:rsidR="001B59F6" w:rsidRPr="001B59F6">
        <w:rPr>
          <w:i/>
          <w:iCs/>
        </w:rPr>
        <w:t xml:space="preserve">Medieval Welsh Poems to Saints and Shrines </w:t>
      </w:r>
      <w:r w:rsidR="001B59F6" w:rsidRPr="001B59F6">
        <w:t>(School of Celtic Studies, Dublin Institute for Advanced Studies, 2015)</w:t>
      </w:r>
      <w:r w:rsidR="001B59F6">
        <w:t xml:space="preserve"> p.</w:t>
      </w:r>
      <w:r w:rsidR="008C7FD9">
        <w:t xml:space="preserve"> 363.</w:t>
      </w:r>
    </w:p>
  </w:footnote>
  <w:footnote w:id="110">
    <w:p w14:paraId="6EA1F472" w14:textId="657A470E" w:rsidR="00FF1832" w:rsidRDefault="00FF1832">
      <w:pPr>
        <w:pStyle w:val="FootnoteText"/>
      </w:pPr>
      <w:r>
        <w:rPr>
          <w:rStyle w:val="FootnoteReference"/>
        </w:rPr>
        <w:footnoteRef/>
      </w:r>
      <w:r>
        <w:t xml:space="preserve"> </w:t>
      </w:r>
      <w:proofErr w:type="spellStart"/>
      <w:r w:rsidRPr="0020773F">
        <w:t>Feiss</w:t>
      </w:r>
      <w:proofErr w:type="spellEnd"/>
      <w:r w:rsidRPr="0020773F">
        <w:t xml:space="preserve">, </w:t>
      </w:r>
      <w:proofErr w:type="spellStart"/>
      <w:r w:rsidRPr="0020773F">
        <w:t>Hamaker</w:t>
      </w:r>
      <w:proofErr w:type="spellEnd"/>
      <w:r w:rsidRPr="0020773F">
        <w:t xml:space="preserve"> &amp; Pepin, </w:t>
      </w:r>
      <w:r w:rsidRPr="0020773F">
        <w:rPr>
          <w:i/>
          <w:iCs/>
        </w:rPr>
        <w:t xml:space="preserve">Two </w:t>
      </w:r>
      <w:proofErr w:type="spellStart"/>
      <w:r w:rsidRPr="0020773F">
        <w:rPr>
          <w:i/>
          <w:iCs/>
        </w:rPr>
        <w:t>Medi</w:t>
      </w:r>
      <w:r>
        <w:rPr>
          <w:i/>
          <w:iCs/>
        </w:rPr>
        <w:t>æ</w:t>
      </w:r>
      <w:r w:rsidRPr="0020773F">
        <w:rPr>
          <w:i/>
          <w:iCs/>
        </w:rPr>
        <w:t>val</w:t>
      </w:r>
      <w:proofErr w:type="spellEnd"/>
      <w:r w:rsidRPr="0020773F">
        <w:rPr>
          <w:i/>
          <w:iCs/>
        </w:rPr>
        <w:t xml:space="preserve"> Lives of Saint </w:t>
      </w:r>
      <w:proofErr w:type="spellStart"/>
      <w:r w:rsidRPr="0020773F">
        <w:rPr>
          <w:i/>
          <w:iCs/>
        </w:rPr>
        <w:t>Winefrede</w:t>
      </w:r>
      <w:proofErr w:type="spellEnd"/>
      <w:r>
        <w:t xml:space="preserve">, p. </w:t>
      </w:r>
      <w:r>
        <w:t>9.</w:t>
      </w:r>
    </w:p>
  </w:footnote>
  <w:footnote w:id="111">
    <w:p w14:paraId="527089D2" w14:textId="3C212465" w:rsidR="00B4075E" w:rsidRDefault="00B4075E">
      <w:pPr>
        <w:pStyle w:val="FootnoteText"/>
      </w:pPr>
      <w:r>
        <w:rPr>
          <w:rStyle w:val="FootnoteReference"/>
        </w:rPr>
        <w:footnoteRef/>
      </w:r>
      <w:r>
        <w:t xml:space="preserve"> </w:t>
      </w:r>
      <w:r>
        <w:t xml:space="preserve">Cartwright, </w:t>
      </w:r>
      <w:r w:rsidRPr="00DB7FCB">
        <w:rPr>
          <w:i/>
          <w:iCs/>
        </w:rPr>
        <w:t xml:space="preserve">The Welsh Versions of the Life of </w:t>
      </w:r>
      <w:proofErr w:type="spellStart"/>
      <w:r w:rsidRPr="00DB7FCB">
        <w:rPr>
          <w:i/>
          <w:iCs/>
        </w:rPr>
        <w:t>Gwenfrewy</w:t>
      </w:r>
      <w:proofErr w:type="spellEnd"/>
      <w:r>
        <w:t>, p. 244.</w:t>
      </w:r>
    </w:p>
  </w:footnote>
  <w:footnote w:id="112">
    <w:p w14:paraId="54B3D4D4" w14:textId="7572BC1E" w:rsidR="00DD21C2" w:rsidRDefault="00DD21C2">
      <w:pPr>
        <w:pStyle w:val="FootnoteText"/>
      </w:pPr>
      <w:r>
        <w:rPr>
          <w:rStyle w:val="FootnoteReference"/>
        </w:rPr>
        <w:footnoteRef/>
      </w:r>
      <w:r>
        <w:t xml:space="preserve"> </w:t>
      </w:r>
      <w:r w:rsidR="00821E45">
        <w:t>Ibid</w:t>
      </w:r>
      <w:r w:rsidR="00821E45">
        <w:t>.</w:t>
      </w:r>
      <w:r w:rsidR="00821E45">
        <w:t xml:space="preserve"> p. 238.</w:t>
      </w:r>
    </w:p>
  </w:footnote>
  <w:footnote w:id="113">
    <w:p w14:paraId="42C4821B" w14:textId="2D010B64" w:rsidR="00B13E90" w:rsidRPr="00BC14DD" w:rsidRDefault="00B13E90">
      <w:pPr>
        <w:pStyle w:val="FootnoteText"/>
      </w:pPr>
      <w:r>
        <w:rPr>
          <w:rStyle w:val="FootnoteReference"/>
        </w:rPr>
        <w:footnoteRef/>
      </w:r>
      <w:r>
        <w:t xml:space="preserve"> </w:t>
      </w:r>
      <w:r w:rsidR="00BC14DD">
        <w:t xml:space="preserve">Greggory, </w:t>
      </w:r>
      <w:r w:rsidR="00BC14DD" w:rsidRPr="00BC14DD">
        <w:rPr>
          <w:i/>
          <w:iCs/>
        </w:rPr>
        <w:t>A Welsh Saint in England</w:t>
      </w:r>
      <w:r w:rsidR="00BC14DD">
        <w:t>, p. 226.</w:t>
      </w:r>
    </w:p>
  </w:footnote>
  <w:footnote w:id="114">
    <w:p w14:paraId="6C0052D7" w14:textId="3BF3A508" w:rsidR="00E160D2" w:rsidRDefault="00E160D2">
      <w:pPr>
        <w:pStyle w:val="FootnoteText"/>
      </w:pPr>
      <w:r>
        <w:rPr>
          <w:rStyle w:val="FootnoteReference"/>
        </w:rPr>
        <w:footnoteRef/>
      </w:r>
      <w:r>
        <w:t xml:space="preserve"> </w:t>
      </w:r>
      <w:r w:rsidR="00E75F7D">
        <w:t xml:space="preserve">Cartwright, </w:t>
      </w:r>
      <w:r w:rsidR="00E75F7D" w:rsidRPr="00DB7FCB">
        <w:rPr>
          <w:i/>
          <w:iCs/>
        </w:rPr>
        <w:t xml:space="preserve">The Welsh Versions of the Life of </w:t>
      </w:r>
      <w:proofErr w:type="spellStart"/>
      <w:r w:rsidR="00E75F7D" w:rsidRPr="00DB7FCB">
        <w:rPr>
          <w:i/>
          <w:iCs/>
        </w:rPr>
        <w:t>Gwenfrewy</w:t>
      </w:r>
      <w:proofErr w:type="spellEnd"/>
      <w:r w:rsidR="00E75F7D">
        <w:t>, p. 2</w:t>
      </w:r>
      <w:r w:rsidR="00E75F7D">
        <w:t>38.</w:t>
      </w:r>
    </w:p>
  </w:footnote>
  <w:footnote w:id="115">
    <w:p w14:paraId="340BC25A" w14:textId="768202B8" w:rsidR="006C51E3" w:rsidRDefault="006C51E3">
      <w:pPr>
        <w:pStyle w:val="FootnoteText"/>
      </w:pPr>
      <w:r>
        <w:rPr>
          <w:rStyle w:val="FootnoteReference"/>
        </w:rPr>
        <w:footnoteRef/>
      </w:r>
      <w:r>
        <w:t xml:space="preserve"> </w:t>
      </w:r>
      <w:r>
        <w:t xml:space="preserve">Baring-Gould &amp; Fisher, </w:t>
      </w:r>
      <w:r>
        <w:rPr>
          <w:i/>
          <w:iCs/>
        </w:rPr>
        <w:t>Lives of the British Saints</w:t>
      </w:r>
      <w:r>
        <w:t>, p. 192.</w:t>
      </w:r>
    </w:p>
  </w:footnote>
  <w:footnote w:id="116">
    <w:p w14:paraId="6EFCE5D6" w14:textId="645DBEBC" w:rsidR="00F27343" w:rsidRDefault="00F27343">
      <w:pPr>
        <w:pStyle w:val="FootnoteText"/>
      </w:pPr>
      <w:r>
        <w:rPr>
          <w:rStyle w:val="FootnoteReference"/>
        </w:rPr>
        <w:footnoteRef/>
      </w:r>
      <w:r>
        <w:t xml:space="preserve"> </w:t>
      </w:r>
      <w:proofErr w:type="spellStart"/>
      <w:r w:rsidRPr="00F27343">
        <w:t>Feiss</w:t>
      </w:r>
      <w:proofErr w:type="spellEnd"/>
      <w:r w:rsidRPr="00F27343">
        <w:t xml:space="preserve">, </w:t>
      </w:r>
      <w:proofErr w:type="spellStart"/>
      <w:r w:rsidRPr="00F27343">
        <w:t>Hamaker</w:t>
      </w:r>
      <w:proofErr w:type="spellEnd"/>
      <w:r w:rsidRPr="00F27343">
        <w:t xml:space="preserve"> &amp; Pepin, Two </w:t>
      </w:r>
      <w:proofErr w:type="spellStart"/>
      <w:r w:rsidRPr="00F27343">
        <w:t>Mediæval</w:t>
      </w:r>
      <w:proofErr w:type="spellEnd"/>
      <w:r w:rsidRPr="00F27343">
        <w:t xml:space="preserve"> Lives of Saint </w:t>
      </w:r>
      <w:proofErr w:type="spellStart"/>
      <w:r w:rsidRPr="00F27343">
        <w:t>Winefrede</w:t>
      </w:r>
      <w:proofErr w:type="spellEnd"/>
      <w:r w:rsidRPr="00F27343">
        <w:t xml:space="preserve">, p. </w:t>
      </w:r>
      <w:r>
        <w:t>11.</w:t>
      </w:r>
    </w:p>
  </w:footnote>
  <w:footnote w:id="117">
    <w:p w14:paraId="7E1E9DFF" w14:textId="35CCA048" w:rsidR="00181B65" w:rsidRDefault="00181B65">
      <w:pPr>
        <w:pStyle w:val="FootnoteText"/>
      </w:pPr>
      <w:r>
        <w:rPr>
          <w:rStyle w:val="FootnoteReference"/>
        </w:rPr>
        <w:footnoteRef/>
      </w:r>
      <w:r>
        <w:t xml:space="preserve"> Ibid. p. 12.</w:t>
      </w:r>
    </w:p>
  </w:footnote>
  <w:footnote w:id="118">
    <w:p w14:paraId="4B869799" w14:textId="15ED5626" w:rsidR="000E12FF" w:rsidRDefault="000E12FF">
      <w:pPr>
        <w:pStyle w:val="FootnoteText"/>
      </w:pPr>
      <w:r>
        <w:rPr>
          <w:rStyle w:val="FootnoteReference"/>
        </w:rPr>
        <w:footnoteRef/>
      </w:r>
      <w:r>
        <w:t xml:space="preserve"> </w:t>
      </w:r>
      <w:r w:rsidRPr="006E1F47">
        <w:t>Edwards</w:t>
      </w:r>
      <w:r>
        <w:t xml:space="preserve"> &amp; </w:t>
      </w:r>
      <w:r w:rsidRPr="006E1F47">
        <w:t>Hulse, ‘A Fragment of a Reliquary Casket from Gwytherin, North Wales</w:t>
      </w:r>
      <w:r w:rsidR="008D2F58">
        <w:t xml:space="preserve">’, p. 91. </w:t>
      </w:r>
    </w:p>
  </w:footnote>
  <w:footnote w:id="119">
    <w:p w14:paraId="2BFA8AEA" w14:textId="1D2F50E7" w:rsidR="00313B51" w:rsidRDefault="00313B51">
      <w:pPr>
        <w:pStyle w:val="FootnoteText"/>
      </w:pPr>
      <w:r>
        <w:rPr>
          <w:rStyle w:val="FootnoteReference"/>
        </w:rPr>
        <w:footnoteRef/>
      </w:r>
      <w:r>
        <w:t xml:space="preserve"> </w:t>
      </w:r>
      <w:r w:rsidR="009B5F98" w:rsidRPr="00DA3072">
        <w:t>Nicholson-Jenkins, ‘From the Foothills of Snowdonia to Shrewsbury and Beyond’, p.</w:t>
      </w:r>
      <w:r w:rsidR="009B5F98">
        <w:t xml:space="preserve"> </w:t>
      </w:r>
      <w:r w:rsidR="009B5F98">
        <w:t>4.</w:t>
      </w:r>
    </w:p>
  </w:footnote>
  <w:footnote w:id="120">
    <w:p w14:paraId="07EC5D10" w14:textId="264AAB03" w:rsidR="00A216D7" w:rsidRDefault="00A216D7">
      <w:pPr>
        <w:pStyle w:val="FootnoteText"/>
      </w:pPr>
      <w:r>
        <w:rPr>
          <w:rStyle w:val="FootnoteReference"/>
        </w:rPr>
        <w:footnoteRef/>
      </w:r>
      <w:r>
        <w:t xml:space="preserve"> </w:t>
      </w:r>
      <w:r>
        <w:t xml:space="preserve">Cartwright, </w:t>
      </w:r>
      <w:r w:rsidRPr="00DB7FCB">
        <w:rPr>
          <w:i/>
          <w:iCs/>
        </w:rPr>
        <w:t xml:space="preserve">The Welsh Versions of the Life of </w:t>
      </w:r>
      <w:proofErr w:type="spellStart"/>
      <w:r w:rsidRPr="00DB7FCB">
        <w:rPr>
          <w:i/>
          <w:iCs/>
        </w:rPr>
        <w:t>Gwenfrewy</w:t>
      </w:r>
      <w:proofErr w:type="spellEnd"/>
      <w:r>
        <w:t>, p. 238.</w:t>
      </w:r>
    </w:p>
  </w:footnote>
  <w:footnote w:id="121">
    <w:p w14:paraId="7535EEDE" w14:textId="55EE0A08" w:rsidR="00A216D7" w:rsidRDefault="00A216D7">
      <w:pPr>
        <w:pStyle w:val="FootnoteText"/>
      </w:pPr>
      <w:r>
        <w:rPr>
          <w:rStyle w:val="FootnoteReference"/>
        </w:rPr>
        <w:footnoteRef/>
      </w:r>
      <w:r>
        <w:t xml:space="preserve"> Ibid.</w:t>
      </w:r>
    </w:p>
  </w:footnote>
  <w:footnote w:id="122">
    <w:p w14:paraId="03DFECFE" w14:textId="1CFBA2F7" w:rsidR="0076198B" w:rsidRDefault="0076198B">
      <w:pPr>
        <w:pStyle w:val="FootnoteText"/>
      </w:pPr>
      <w:r>
        <w:rPr>
          <w:rStyle w:val="FootnoteReference"/>
        </w:rPr>
        <w:footnoteRef/>
      </w:r>
      <w:r>
        <w:t xml:space="preserve"> </w:t>
      </w:r>
      <w:proofErr w:type="spellStart"/>
      <w:r w:rsidRPr="00F27343">
        <w:t>Feiss</w:t>
      </w:r>
      <w:proofErr w:type="spellEnd"/>
      <w:r w:rsidRPr="00F27343">
        <w:t xml:space="preserve">, </w:t>
      </w:r>
      <w:proofErr w:type="spellStart"/>
      <w:r w:rsidRPr="00F27343">
        <w:t>Hamaker</w:t>
      </w:r>
      <w:proofErr w:type="spellEnd"/>
      <w:r w:rsidRPr="00F27343">
        <w:t xml:space="preserve"> &amp; Pepin, Two </w:t>
      </w:r>
      <w:proofErr w:type="spellStart"/>
      <w:r w:rsidRPr="00F27343">
        <w:t>Mediæval</w:t>
      </w:r>
      <w:proofErr w:type="spellEnd"/>
      <w:r w:rsidRPr="00F27343">
        <w:t xml:space="preserve"> Lives of Saint </w:t>
      </w:r>
      <w:proofErr w:type="spellStart"/>
      <w:r w:rsidRPr="00F27343">
        <w:t>Winefrede</w:t>
      </w:r>
      <w:proofErr w:type="spellEnd"/>
      <w:r w:rsidRPr="00F27343">
        <w:t xml:space="preserve">, p. </w:t>
      </w:r>
      <w:r>
        <w:t>11.</w:t>
      </w:r>
    </w:p>
  </w:footnote>
  <w:footnote w:id="123">
    <w:p w14:paraId="6A8E2C92" w14:textId="616C699B" w:rsidR="001617C4" w:rsidRDefault="001617C4">
      <w:pPr>
        <w:pStyle w:val="FootnoteText"/>
      </w:pPr>
      <w:r>
        <w:rPr>
          <w:rStyle w:val="FootnoteReference"/>
        </w:rPr>
        <w:footnoteRef/>
      </w:r>
      <w:r>
        <w:t xml:space="preserve"> </w:t>
      </w:r>
      <w:r w:rsidR="00D45D97">
        <w:t xml:space="preserve">Janet </w:t>
      </w:r>
      <w:r w:rsidRPr="001617C4">
        <w:t>Bord,</w:t>
      </w:r>
      <w:r w:rsidR="00D45D97">
        <w:t xml:space="preserve"> </w:t>
      </w:r>
      <w:r w:rsidRPr="001617C4">
        <w:t xml:space="preserve">“St </w:t>
      </w:r>
      <w:proofErr w:type="spellStart"/>
      <w:r w:rsidRPr="001617C4">
        <w:t>Winefride’s</w:t>
      </w:r>
      <w:proofErr w:type="spellEnd"/>
      <w:r w:rsidRPr="001617C4">
        <w:t xml:space="preserve"> Well, Holywell, Clwyd.” </w:t>
      </w:r>
      <w:r w:rsidRPr="00D45D97">
        <w:rPr>
          <w:i/>
          <w:iCs/>
        </w:rPr>
        <w:t>Folklore,</w:t>
      </w:r>
      <w:r w:rsidR="00D45D97">
        <w:t xml:space="preserve"> </w:t>
      </w:r>
      <w:r w:rsidRPr="001617C4">
        <w:t>105</w:t>
      </w:r>
      <w:r w:rsidR="00D45D97">
        <w:t xml:space="preserve"> (</w:t>
      </w:r>
      <w:r w:rsidRPr="001617C4">
        <w:t>1994</w:t>
      </w:r>
      <w:r w:rsidR="000B3CD4">
        <w:t>)</w:t>
      </w:r>
      <w:r w:rsidRPr="001617C4">
        <w:t xml:space="preserve"> 99</w:t>
      </w:r>
      <w:r w:rsidR="0030016D">
        <w:t>-109</w:t>
      </w:r>
      <w:r w:rsidR="005403E5">
        <w:t xml:space="preserve"> (p. </w:t>
      </w:r>
      <w:r w:rsidR="0030016D">
        <w:t>99)</w:t>
      </w:r>
      <w:r w:rsidRPr="001617C4">
        <w:t xml:space="preserve"> JSTOR, </w:t>
      </w:r>
      <w:hyperlink r:id="rId3" w:history="1">
        <w:r w:rsidR="0030016D" w:rsidRPr="006979B8">
          <w:rPr>
            <w:rStyle w:val="Hyperlink"/>
          </w:rPr>
          <w:t>http://www.jstor.org/stable/1260635</w:t>
        </w:r>
      </w:hyperlink>
      <w:r w:rsidRPr="001617C4">
        <w:t>.</w:t>
      </w:r>
      <w:r w:rsidR="0030016D">
        <w:t xml:space="preserve"> [</w:t>
      </w:r>
      <w:r w:rsidRPr="001617C4">
        <w:t>Accessed 8</w:t>
      </w:r>
      <w:r w:rsidR="0030016D" w:rsidRPr="0030016D">
        <w:rPr>
          <w:vertAlign w:val="superscript"/>
        </w:rPr>
        <w:t>th</w:t>
      </w:r>
      <w:r w:rsidRPr="001617C4">
        <w:t xml:space="preserve"> Apr</w:t>
      </w:r>
      <w:r w:rsidR="0030016D">
        <w:t>il</w:t>
      </w:r>
      <w:r w:rsidRPr="001617C4">
        <w:t xml:space="preserve"> 2025</w:t>
      </w:r>
      <w:r w:rsidR="0030016D">
        <w:t>]</w:t>
      </w:r>
      <w:r w:rsidRPr="001617C4">
        <w:t>.</w:t>
      </w:r>
    </w:p>
  </w:footnote>
  <w:footnote w:id="124">
    <w:p w14:paraId="68937F8A" w14:textId="12055F34" w:rsidR="00367E4B" w:rsidRDefault="00367E4B">
      <w:pPr>
        <w:pStyle w:val="FootnoteText"/>
      </w:pPr>
      <w:r>
        <w:rPr>
          <w:rStyle w:val="FootnoteReference"/>
        </w:rPr>
        <w:footnoteRef/>
      </w:r>
      <w:r>
        <w:t xml:space="preserve"> </w:t>
      </w:r>
      <w:r w:rsidR="00E62261" w:rsidRPr="006E1F47">
        <w:t>Edwards</w:t>
      </w:r>
      <w:r w:rsidR="00E62261">
        <w:t xml:space="preserve"> &amp; </w:t>
      </w:r>
      <w:r w:rsidR="00E62261" w:rsidRPr="006E1F47">
        <w:t>Hulse, ‘A Fragment of a Reliquary Casket from Gwytherin, North Wales</w:t>
      </w:r>
      <w:r w:rsidR="00E62261">
        <w:t>’, p. 9</w:t>
      </w:r>
      <w:r w:rsidR="00E62261">
        <w:t>2.</w:t>
      </w:r>
    </w:p>
  </w:footnote>
  <w:footnote w:id="125">
    <w:p w14:paraId="2F8FDB5A" w14:textId="2E7F6411" w:rsidR="00E62261" w:rsidRDefault="00E62261">
      <w:pPr>
        <w:pStyle w:val="FootnoteText"/>
      </w:pPr>
      <w:r>
        <w:rPr>
          <w:rStyle w:val="FootnoteReference"/>
        </w:rPr>
        <w:footnoteRef/>
      </w:r>
      <w:r>
        <w:t xml:space="preserve"> </w:t>
      </w:r>
      <w:r w:rsidR="00AA63B6" w:rsidRPr="00823599">
        <w:t>Cartwright, Feminine Sanctity and Spirituality, p. 7</w:t>
      </w:r>
      <w:r w:rsidR="00AA63B6">
        <w:t>3.</w:t>
      </w:r>
    </w:p>
  </w:footnote>
  <w:footnote w:id="126">
    <w:p w14:paraId="26488089" w14:textId="0D684AEE" w:rsidR="00E63E24" w:rsidRDefault="00E63E24">
      <w:pPr>
        <w:pStyle w:val="FootnoteText"/>
      </w:pPr>
      <w:r>
        <w:rPr>
          <w:rStyle w:val="FootnoteReference"/>
        </w:rPr>
        <w:footnoteRef/>
      </w:r>
      <w:r>
        <w:t xml:space="preserve"> </w:t>
      </w:r>
      <w:proofErr w:type="spellStart"/>
      <w:r w:rsidRPr="00E63E24">
        <w:t>Feiss</w:t>
      </w:r>
      <w:proofErr w:type="spellEnd"/>
      <w:r w:rsidRPr="00E63E24">
        <w:t xml:space="preserve">, </w:t>
      </w:r>
      <w:proofErr w:type="spellStart"/>
      <w:r w:rsidRPr="00E63E24">
        <w:t>Hamaker</w:t>
      </w:r>
      <w:proofErr w:type="spellEnd"/>
      <w:r w:rsidRPr="00E63E24">
        <w:t xml:space="preserve"> &amp; Pepin, Two </w:t>
      </w:r>
      <w:proofErr w:type="spellStart"/>
      <w:r w:rsidRPr="00E63E24">
        <w:t>Mediæval</w:t>
      </w:r>
      <w:proofErr w:type="spellEnd"/>
      <w:r w:rsidRPr="00E63E24">
        <w:t xml:space="preserve"> Lives of Saint </w:t>
      </w:r>
      <w:proofErr w:type="spellStart"/>
      <w:r w:rsidRPr="00E63E24">
        <w:t>Winefrede</w:t>
      </w:r>
      <w:proofErr w:type="spellEnd"/>
      <w:r w:rsidRPr="00E63E24">
        <w:t>, p. 11.</w:t>
      </w:r>
    </w:p>
  </w:footnote>
  <w:footnote w:id="127">
    <w:p w14:paraId="133C14EB" w14:textId="67CE97A2" w:rsidR="00CB7FB2" w:rsidRDefault="00CB7FB2">
      <w:pPr>
        <w:pStyle w:val="FootnoteText"/>
      </w:pPr>
      <w:r>
        <w:rPr>
          <w:rStyle w:val="FootnoteReference"/>
        </w:rPr>
        <w:footnoteRef/>
      </w:r>
      <w:r>
        <w:t xml:space="preserve"> </w:t>
      </w:r>
      <w:r w:rsidRPr="00CB7FB2">
        <w:t xml:space="preserve">Cartwright, The Welsh Versions of the Life of </w:t>
      </w:r>
      <w:proofErr w:type="spellStart"/>
      <w:r w:rsidRPr="00CB7FB2">
        <w:t>Gwenfrewy</w:t>
      </w:r>
      <w:proofErr w:type="spellEnd"/>
      <w:r w:rsidRPr="00CB7FB2">
        <w:t>, p. 23</w:t>
      </w:r>
      <w:r>
        <w:t>7.</w:t>
      </w:r>
    </w:p>
  </w:footnote>
  <w:footnote w:id="128">
    <w:p w14:paraId="5BD58B79" w14:textId="41E8EF6B" w:rsidR="00C54D2B" w:rsidRDefault="00C54D2B">
      <w:pPr>
        <w:pStyle w:val="FootnoteText"/>
      </w:pPr>
      <w:r>
        <w:rPr>
          <w:rStyle w:val="FootnoteReference"/>
        </w:rPr>
        <w:footnoteRef/>
      </w:r>
      <w:r>
        <w:t xml:space="preserve"> </w:t>
      </w:r>
      <w:r w:rsidRPr="00DA3072">
        <w:t>Nicholson-Jenkins, ‘From the Foothills of Snowdonia to Shrewsbury and Beyond’, p.</w:t>
      </w:r>
      <w:r>
        <w:t xml:space="preserve"> </w:t>
      </w:r>
      <w:r>
        <w:t>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5909FB"/>
    <w:multiLevelType w:val="hybridMultilevel"/>
    <w:tmpl w:val="A8962938"/>
    <w:lvl w:ilvl="0" w:tplc="C2E0A316">
      <w:start w:val="16"/>
      <w:numFmt w:val="bullet"/>
      <w:lvlText w:val="-"/>
      <w:lvlJc w:val="left"/>
      <w:pPr>
        <w:ind w:left="720" w:hanging="360"/>
      </w:pPr>
      <w:rPr>
        <w:rFonts w:ascii="Calibri" w:eastAsiaTheme="minorHAnsi" w:hAnsi="Calibri" w:cs="Calibri" w:hint="default"/>
        <w:b w:val="0"/>
        <w:bCs/>
        <w:i w:val="0"/>
        <w:i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7A6BE3"/>
    <w:multiLevelType w:val="hybridMultilevel"/>
    <w:tmpl w:val="C0701300"/>
    <w:lvl w:ilvl="0" w:tplc="F71EE092">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207474">
    <w:abstractNumId w:val="0"/>
  </w:num>
  <w:num w:numId="2" w16cid:durableId="1696494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BDD"/>
    <w:rsid w:val="00001921"/>
    <w:rsid w:val="00001B50"/>
    <w:rsid w:val="00003D9B"/>
    <w:rsid w:val="000062A6"/>
    <w:rsid w:val="00010461"/>
    <w:rsid w:val="000161C1"/>
    <w:rsid w:val="000207D4"/>
    <w:rsid w:val="00025AC9"/>
    <w:rsid w:val="00025F8F"/>
    <w:rsid w:val="00026F88"/>
    <w:rsid w:val="00027548"/>
    <w:rsid w:val="00027EB8"/>
    <w:rsid w:val="000327D4"/>
    <w:rsid w:val="00036EBA"/>
    <w:rsid w:val="00043AF6"/>
    <w:rsid w:val="000442F1"/>
    <w:rsid w:val="000446E7"/>
    <w:rsid w:val="00045014"/>
    <w:rsid w:val="00050C49"/>
    <w:rsid w:val="00053654"/>
    <w:rsid w:val="0005652B"/>
    <w:rsid w:val="00060128"/>
    <w:rsid w:val="00061685"/>
    <w:rsid w:val="00063AF5"/>
    <w:rsid w:val="00065893"/>
    <w:rsid w:val="00066CFC"/>
    <w:rsid w:val="0007053E"/>
    <w:rsid w:val="00071C44"/>
    <w:rsid w:val="00077D35"/>
    <w:rsid w:val="0008036A"/>
    <w:rsid w:val="000825E4"/>
    <w:rsid w:val="00097889"/>
    <w:rsid w:val="00097C3F"/>
    <w:rsid w:val="000A5DC4"/>
    <w:rsid w:val="000B02DA"/>
    <w:rsid w:val="000B3CD4"/>
    <w:rsid w:val="000B767A"/>
    <w:rsid w:val="000B7D40"/>
    <w:rsid w:val="000C1A03"/>
    <w:rsid w:val="000C43D6"/>
    <w:rsid w:val="000C591F"/>
    <w:rsid w:val="000C7DC8"/>
    <w:rsid w:val="000D02AE"/>
    <w:rsid w:val="000D45BB"/>
    <w:rsid w:val="000D65A9"/>
    <w:rsid w:val="000D71FA"/>
    <w:rsid w:val="000E12FF"/>
    <w:rsid w:val="000E348C"/>
    <w:rsid w:val="000E5641"/>
    <w:rsid w:val="000E6E26"/>
    <w:rsid w:val="000E783B"/>
    <w:rsid w:val="000F229E"/>
    <w:rsid w:val="000F380A"/>
    <w:rsid w:val="00103C2F"/>
    <w:rsid w:val="001069DD"/>
    <w:rsid w:val="001113EC"/>
    <w:rsid w:val="00113814"/>
    <w:rsid w:val="0011466C"/>
    <w:rsid w:val="00117378"/>
    <w:rsid w:val="00121450"/>
    <w:rsid w:val="0012532B"/>
    <w:rsid w:val="0013074B"/>
    <w:rsid w:val="0013128B"/>
    <w:rsid w:val="00131A83"/>
    <w:rsid w:val="00134DA7"/>
    <w:rsid w:val="00137AC6"/>
    <w:rsid w:val="001421A3"/>
    <w:rsid w:val="00146D17"/>
    <w:rsid w:val="00153116"/>
    <w:rsid w:val="00155990"/>
    <w:rsid w:val="00160D14"/>
    <w:rsid w:val="001617C4"/>
    <w:rsid w:val="00164CB3"/>
    <w:rsid w:val="00172012"/>
    <w:rsid w:val="001767E0"/>
    <w:rsid w:val="00177A8E"/>
    <w:rsid w:val="00177BC4"/>
    <w:rsid w:val="00180B8F"/>
    <w:rsid w:val="00181B65"/>
    <w:rsid w:val="001846A2"/>
    <w:rsid w:val="001868EF"/>
    <w:rsid w:val="001906BE"/>
    <w:rsid w:val="001922D2"/>
    <w:rsid w:val="001925D8"/>
    <w:rsid w:val="00195C49"/>
    <w:rsid w:val="00195C8A"/>
    <w:rsid w:val="001963D7"/>
    <w:rsid w:val="001966AC"/>
    <w:rsid w:val="001A0ACC"/>
    <w:rsid w:val="001A0B78"/>
    <w:rsid w:val="001A1E3C"/>
    <w:rsid w:val="001A2E5F"/>
    <w:rsid w:val="001A47DF"/>
    <w:rsid w:val="001B59F6"/>
    <w:rsid w:val="001B721D"/>
    <w:rsid w:val="001B72D2"/>
    <w:rsid w:val="001D0258"/>
    <w:rsid w:val="001D1BA4"/>
    <w:rsid w:val="001E032C"/>
    <w:rsid w:val="001E5671"/>
    <w:rsid w:val="001E59B7"/>
    <w:rsid w:val="001E60E8"/>
    <w:rsid w:val="001E629C"/>
    <w:rsid w:val="001E7234"/>
    <w:rsid w:val="001E7BDD"/>
    <w:rsid w:val="001F221A"/>
    <w:rsid w:val="002057A5"/>
    <w:rsid w:val="0020773F"/>
    <w:rsid w:val="00211CC4"/>
    <w:rsid w:val="00211DCC"/>
    <w:rsid w:val="00211E20"/>
    <w:rsid w:val="00221C0F"/>
    <w:rsid w:val="0022376E"/>
    <w:rsid w:val="00227358"/>
    <w:rsid w:val="0023104B"/>
    <w:rsid w:val="0023453C"/>
    <w:rsid w:val="0023607B"/>
    <w:rsid w:val="00236B4A"/>
    <w:rsid w:val="00241BC9"/>
    <w:rsid w:val="00244635"/>
    <w:rsid w:val="0024531E"/>
    <w:rsid w:val="00254072"/>
    <w:rsid w:val="0026131B"/>
    <w:rsid w:val="002645CE"/>
    <w:rsid w:val="002662FA"/>
    <w:rsid w:val="00267A1E"/>
    <w:rsid w:val="00271E73"/>
    <w:rsid w:val="00271F87"/>
    <w:rsid w:val="0027630E"/>
    <w:rsid w:val="00281F64"/>
    <w:rsid w:val="00285A8C"/>
    <w:rsid w:val="002875ED"/>
    <w:rsid w:val="00287C83"/>
    <w:rsid w:val="002902D6"/>
    <w:rsid w:val="002913E9"/>
    <w:rsid w:val="00294812"/>
    <w:rsid w:val="00297608"/>
    <w:rsid w:val="002A3030"/>
    <w:rsid w:val="002A32EC"/>
    <w:rsid w:val="002A420C"/>
    <w:rsid w:val="002B3BA9"/>
    <w:rsid w:val="002B410B"/>
    <w:rsid w:val="002B55C0"/>
    <w:rsid w:val="002B7D9B"/>
    <w:rsid w:val="002C7C57"/>
    <w:rsid w:val="002D4D93"/>
    <w:rsid w:val="002D6076"/>
    <w:rsid w:val="002D6C81"/>
    <w:rsid w:val="002E2B96"/>
    <w:rsid w:val="002E5C71"/>
    <w:rsid w:val="002E6D83"/>
    <w:rsid w:val="002F310E"/>
    <w:rsid w:val="002F755E"/>
    <w:rsid w:val="002F76B0"/>
    <w:rsid w:val="0030016D"/>
    <w:rsid w:val="00301972"/>
    <w:rsid w:val="003040CF"/>
    <w:rsid w:val="003047BA"/>
    <w:rsid w:val="00304FA1"/>
    <w:rsid w:val="003115EA"/>
    <w:rsid w:val="00311A8E"/>
    <w:rsid w:val="00313B51"/>
    <w:rsid w:val="00314263"/>
    <w:rsid w:val="0031426B"/>
    <w:rsid w:val="00314386"/>
    <w:rsid w:val="003147F5"/>
    <w:rsid w:val="00317F8C"/>
    <w:rsid w:val="003234DC"/>
    <w:rsid w:val="00332B58"/>
    <w:rsid w:val="00334155"/>
    <w:rsid w:val="00344BD3"/>
    <w:rsid w:val="0034637E"/>
    <w:rsid w:val="00346BFA"/>
    <w:rsid w:val="00352298"/>
    <w:rsid w:val="00352817"/>
    <w:rsid w:val="00352FDD"/>
    <w:rsid w:val="00353D6F"/>
    <w:rsid w:val="00360B1F"/>
    <w:rsid w:val="003638F1"/>
    <w:rsid w:val="00363C6F"/>
    <w:rsid w:val="00367E4B"/>
    <w:rsid w:val="00370A7E"/>
    <w:rsid w:val="00372F57"/>
    <w:rsid w:val="00373736"/>
    <w:rsid w:val="003767DF"/>
    <w:rsid w:val="0037722C"/>
    <w:rsid w:val="00380C87"/>
    <w:rsid w:val="00381555"/>
    <w:rsid w:val="0038324E"/>
    <w:rsid w:val="00386BE4"/>
    <w:rsid w:val="00391DDD"/>
    <w:rsid w:val="0039289B"/>
    <w:rsid w:val="00393F9B"/>
    <w:rsid w:val="003A0EC3"/>
    <w:rsid w:val="003A1C48"/>
    <w:rsid w:val="003A5924"/>
    <w:rsid w:val="003A5AC8"/>
    <w:rsid w:val="003A5D67"/>
    <w:rsid w:val="003A6BF8"/>
    <w:rsid w:val="003A72E1"/>
    <w:rsid w:val="003B0C73"/>
    <w:rsid w:val="003C0AA4"/>
    <w:rsid w:val="003C66C0"/>
    <w:rsid w:val="003C7B37"/>
    <w:rsid w:val="003D1BC8"/>
    <w:rsid w:val="003D6763"/>
    <w:rsid w:val="003D7E28"/>
    <w:rsid w:val="003E4196"/>
    <w:rsid w:val="003E49B2"/>
    <w:rsid w:val="003E710F"/>
    <w:rsid w:val="003E7FA8"/>
    <w:rsid w:val="003F06EA"/>
    <w:rsid w:val="003F18D1"/>
    <w:rsid w:val="003F288C"/>
    <w:rsid w:val="004014E9"/>
    <w:rsid w:val="004051FC"/>
    <w:rsid w:val="00405A12"/>
    <w:rsid w:val="00415EB0"/>
    <w:rsid w:val="00417382"/>
    <w:rsid w:val="00423C2B"/>
    <w:rsid w:val="004255BE"/>
    <w:rsid w:val="004312C2"/>
    <w:rsid w:val="004326F7"/>
    <w:rsid w:val="004337DF"/>
    <w:rsid w:val="00437D80"/>
    <w:rsid w:val="00440FFD"/>
    <w:rsid w:val="0044309F"/>
    <w:rsid w:val="00443C95"/>
    <w:rsid w:val="00444DD4"/>
    <w:rsid w:val="004467AA"/>
    <w:rsid w:val="00450495"/>
    <w:rsid w:val="00453CF6"/>
    <w:rsid w:val="0045410B"/>
    <w:rsid w:val="00455D94"/>
    <w:rsid w:val="0045751E"/>
    <w:rsid w:val="00460B54"/>
    <w:rsid w:val="00463054"/>
    <w:rsid w:val="0046309A"/>
    <w:rsid w:val="00475094"/>
    <w:rsid w:val="00475BF9"/>
    <w:rsid w:val="00477E89"/>
    <w:rsid w:val="004829DC"/>
    <w:rsid w:val="004856F0"/>
    <w:rsid w:val="00486E78"/>
    <w:rsid w:val="00487B23"/>
    <w:rsid w:val="00493AAD"/>
    <w:rsid w:val="004A045A"/>
    <w:rsid w:val="004A628F"/>
    <w:rsid w:val="004A7D05"/>
    <w:rsid w:val="004B24DC"/>
    <w:rsid w:val="004B6551"/>
    <w:rsid w:val="004C186A"/>
    <w:rsid w:val="004C4085"/>
    <w:rsid w:val="004C591A"/>
    <w:rsid w:val="004C5942"/>
    <w:rsid w:val="004C76C5"/>
    <w:rsid w:val="004D1548"/>
    <w:rsid w:val="004D6D79"/>
    <w:rsid w:val="004D70CD"/>
    <w:rsid w:val="004D7DC6"/>
    <w:rsid w:val="004E0D4A"/>
    <w:rsid w:val="004E3A51"/>
    <w:rsid w:val="004E415F"/>
    <w:rsid w:val="004F017F"/>
    <w:rsid w:val="004F3D0E"/>
    <w:rsid w:val="004F4DEB"/>
    <w:rsid w:val="00501583"/>
    <w:rsid w:val="00501712"/>
    <w:rsid w:val="00506B89"/>
    <w:rsid w:val="00507C4E"/>
    <w:rsid w:val="00510BEE"/>
    <w:rsid w:val="00512846"/>
    <w:rsid w:val="0051409A"/>
    <w:rsid w:val="00516CEF"/>
    <w:rsid w:val="00517A46"/>
    <w:rsid w:val="00522E0B"/>
    <w:rsid w:val="00526E15"/>
    <w:rsid w:val="00531675"/>
    <w:rsid w:val="005371A9"/>
    <w:rsid w:val="005403E5"/>
    <w:rsid w:val="00541F62"/>
    <w:rsid w:val="00553D1D"/>
    <w:rsid w:val="00554BFA"/>
    <w:rsid w:val="00560F79"/>
    <w:rsid w:val="00562F28"/>
    <w:rsid w:val="00563032"/>
    <w:rsid w:val="00565A1C"/>
    <w:rsid w:val="00567014"/>
    <w:rsid w:val="005674C8"/>
    <w:rsid w:val="00570309"/>
    <w:rsid w:val="00573025"/>
    <w:rsid w:val="00575C1A"/>
    <w:rsid w:val="0057673E"/>
    <w:rsid w:val="00581A83"/>
    <w:rsid w:val="005845F8"/>
    <w:rsid w:val="00586C0C"/>
    <w:rsid w:val="00591344"/>
    <w:rsid w:val="005A097B"/>
    <w:rsid w:val="005A1370"/>
    <w:rsid w:val="005A2516"/>
    <w:rsid w:val="005A3106"/>
    <w:rsid w:val="005A509F"/>
    <w:rsid w:val="005A5905"/>
    <w:rsid w:val="005B0DF8"/>
    <w:rsid w:val="005B0FF7"/>
    <w:rsid w:val="005B196E"/>
    <w:rsid w:val="005B41BD"/>
    <w:rsid w:val="005C0CC5"/>
    <w:rsid w:val="005C78FA"/>
    <w:rsid w:val="005C7BFC"/>
    <w:rsid w:val="005D00FF"/>
    <w:rsid w:val="005D49B0"/>
    <w:rsid w:val="005D5BD1"/>
    <w:rsid w:val="005D7145"/>
    <w:rsid w:val="005E0280"/>
    <w:rsid w:val="005E077F"/>
    <w:rsid w:val="005E0FD3"/>
    <w:rsid w:val="005E44CD"/>
    <w:rsid w:val="005E5A8A"/>
    <w:rsid w:val="005E6EB4"/>
    <w:rsid w:val="005F1928"/>
    <w:rsid w:val="005F5F59"/>
    <w:rsid w:val="005F6808"/>
    <w:rsid w:val="005F7400"/>
    <w:rsid w:val="005F7BDE"/>
    <w:rsid w:val="0060029F"/>
    <w:rsid w:val="00600415"/>
    <w:rsid w:val="00600F43"/>
    <w:rsid w:val="006015BC"/>
    <w:rsid w:val="006042CC"/>
    <w:rsid w:val="00604E85"/>
    <w:rsid w:val="006119B1"/>
    <w:rsid w:val="00615B57"/>
    <w:rsid w:val="00622F4F"/>
    <w:rsid w:val="006248C8"/>
    <w:rsid w:val="0062619D"/>
    <w:rsid w:val="006261EE"/>
    <w:rsid w:val="00626965"/>
    <w:rsid w:val="00631360"/>
    <w:rsid w:val="00631763"/>
    <w:rsid w:val="00633A81"/>
    <w:rsid w:val="00636611"/>
    <w:rsid w:val="0065043C"/>
    <w:rsid w:val="00655673"/>
    <w:rsid w:val="00661085"/>
    <w:rsid w:val="00661C71"/>
    <w:rsid w:val="00662384"/>
    <w:rsid w:val="0066370A"/>
    <w:rsid w:val="00672BC1"/>
    <w:rsid w:val="006772AA"/>
    <w:rsid w:val="00681570"/>
    <w:rsid w:val="00687F9B"/>
    <w:rsid w:val="006A082F"/>
    <w:rsid w:val="006A1345"/>
    <w:rsid w:val="006A4E27"/>
    <w:rsid w:val="006A5205"/>
    <w:rsid w:val="006A63B7"/>
    <w:rsid w:val="006B7EED"/>
    <w:rsid w:val="006C3BBF"/>
    <w:rsid w:val="006C51E3"/>
    <w:rsid w:val="006D08C1"/>
    <w:rsid w:val="006D2848"/>
    <w:rsid w:val="006D3227"/>
    <w:rsid w:val="006D415E"/>
    <w:rsid w:val="006D6BAE"/>
    <w:rsid w:val="006E1201"/>
    <w:rsid w:val="006E1F47"/>
    <w:rsid w:val="006E23EF"/>
    <w:rsid w:val="006E4E8E"/>
    <w:rsid w:val="006E53BB"/>
    <w:rsid w:val="006E77E4"/>
    <w:rsid w:val="006F36E5"/>
    <w:rsid w:val="006F5947"/>
    <w:rsid w:val="00700E3A"/>
    <w:rsid w:val="0070151F"/>
    <w:rsid w:val="00702B0B"/>
    <w:rsid w:val="0070540B"/>
    <w:rsid w:val="00710A55"/>
    <w:rsid w:val="0071368B"/>
    <w:rsid w:val="007173F6"/>
    <w:rsid w:val="00717873"/>
    <w:rsid w:val="007207C6"/>
    <w:rsid w:val="007214D6"/>
    <w:rsid w:val="007215A7"/>
    <w:rsid w:val="007279DD"/>
    <w:rsid w:val="0073723E"/>
    <w:rsid w:val="00741190"/>
    <w:rsid w:val="0074248C"/>
    <w:rsid w:val="00742DB4"/>
    <w:rsid w:val="007459A3"/>
    <w:rsid w:val="00746DC4"/>
    <w:rsid w:val="00751A62"/>
    <w:rsid w:val="0075701A"/>
    <w:rsid w:val="00760D62"/>
    <w:rsid w:val="0076198B"/>
    <w:rsid w:val="0076397B"/>
    <w:rsid w:val="00765A59"/>
    <w:rsid w:val="00766827"/>
    <w:rsid w:val="007717D9"/>
    <w:rsid w:val="00771BBD"/>
    <w:rsid w:val="00772EC5"/>
    <w:rsid w:val="007775CF"/>
    <w:rsid w:val="0078058E"/>
    <w:rsid w:val="00780ED0"/>
    <w:rsid w:val="007820A9"/>
    <w:rsid w:val="00784472"/>
    <w:rsid w:val="00785226"/>
    <w:rsid w:val="00793612"/>
    <w:rsid w:val="007956C1"/>
    <w:rsid w:val="007A4C61"/>
    <w:rsid w:val="007B16CA"/>
    <w:rsid w:val="007C06DD"/>
    <w:rsid w:val="007C0AAB"/>
    <w:rsid w:val="007C383B"/>
    <w:rsid w:val="007D220C"/>
    <w:rsid w:val="007D71A6"/>
    <w:rsid w:val="007E010E"/>
    <w:rsid w:val="007E014E"/>
    <w:rsid w:val="007E40DC"/>
    <w:rsid w:val="007E6EF7"/>
    <w:rsid w:val="007F12D4"/>
    <w:rsid w:val="007F2FBB"/>
    <w:rsid w:val="007F31FC"/>
    <w:rsid w:val="007F3B10"/>
    <w:rsid w:val="007F3C53"/>
    <w:rsid w:val="007F59D0"/>
    <w:rsid w:val="007F6B82"/>
    <w:rsid w:val="007F6EBD"/>
    <w:rsid w:val="007F7E60"/>
    <w:rsid w:val="008036CB"/>
    <w:rsid w:val="00805DC5"/>
    <w:rsid w:val="00814699"/>
    <w:rsid w:val="00821309"/>
    <w:rsid w:val="0082184A"/>
    <w:rsid w:val="00821B1A"/>
    <w:rsid w:val="00821E45"/>
    <w:rsid w:val="00823599"/>
    <w:rsid w:val="0082416C"/>
    <w:rsid w:val="0083012E"/>
    <w:rsid w:val="00834D0A"/>
    <w:rsid w:val="00842108"/>
    <w:rsid w:val="0084256B"/>
    <w:rsid w:val="00845D84"/>
    <w:rsid w:val="008474A4"/>
    <w:rsid w:val="00855CDB"/>
    <w:rsid w:val="00857573"/>
    <w:rsid w:val="00860254"/>
    <w:rsid w:val="0086414A"/>
    <w:rsid w:val="0086517E"/>
    <w:rsid w:val="0086591F"/>
    <w:rsid w:val="00867E4A"/>
    <w:rsid w:val="0087025C"/>
    <w:rsid w:val="0087297E"/>
    <w:rsid w:val="00874CCF"/>
    <w:rsid w:val="008766C7"/>
    <w:rsid w:val="00877761"/>
    <w:rsid w:val="00883F53"/>
    <w:rsid w:val="0089087B"/>
    <w:rsid w:val="00890C9C"/>
    <w:rsid w:val="00893506"/>
    <w:rsid w:val="008953A0"/>
    <w:rsid w:val="008A1777"/>
    <w:rsid w:val="008A2437"/>
    <w:rsid w:val="008A6020"/>
    <w:rsid w:val="008B5818"/>
    <w:rsid w:val="008C1E98"/>
    <w:rsid w:val="008C2C19"/>
    <w:rsid w:val="008C6779"/>
    <w:rsid w:val="008C7B5D"/>
    <w:rsid w:val="008C7FD9"/>
    <w:rsid w:val="008D2F58"/>
    <w:rsid w:val="008D7747"/>
    <w:rsid w:val="008E04EC"/>
    <w:rsid w:val="008E0EF8"/>
    <w:rsid w:val="008E2447"/>
    <w:rsid w:val="008E4163"/>
    <w:rsid w:val="008E4714"/>
    <w:rsid w:val="008E4C49"/>
    <w:rsid w:val="008F2552"/>
    <w:rsid w:val="008F3483"/>
    <w:rsid w:val="008F59A1"/>
    <w:rsid w:val="008F5D6A"/>
    <w:rsid w:val="008F65F7"/>
    <w:rsid w:val="008F68F7"/>
    <w:rsid w:val="008F6ACB"/>
    <w:rsid w:val="009047BD"/>
    <w:rsid w:val="009062EF"/>
    <w:rsid w:val="00913972"/>
    <w:rsid w:val="00916D16"/>
    <w:rsid w:val="009237AC"/>
    <w:rsid w:val="00931167"/>
    <w:rsid w:val="00932EFE"/>
    <w:rsid w:val="009345B4"/>
    <w:rsid w:val="00934E7B"/>
    <w:rsid w:val="00935ECC"/>
    <w:rsid w:val="009409F7"/>
    <w:rsid w:val="0094263E"/>
    <w:rsid w:val="00943A52"/>
    <w:rsid w:val="00943F64"/>
    <w:rsid w:val="009463F1"/>
    <w:rsid w:val="00947475"/>
    <w:rsid w:val="00947D41"/>
    <w:rsid w:val="009500AD"/>
    <w:rsid w:val="009512B3"/>
    <w:rsid w:val="0095523F"/>
    <w:rsid w:val="009554A5"/>
    <w:rsid w:val="00955B20"/>
    <w:rsid w:val="00960B65"/>
    <w:rsid w:val="00963D43"/>
    <w:rsid w:val="009660BB"/>
    <w:rsid w:val="009663D4"/>
    <w:rsid w:val="00970DB4"/>
    <w:rsid w:val="00972AA0"/>
    <w:rsid w:val="009754BE"/>
    <w:rsid w:val="00981CE3"/>
    <w:rsid w:val="00982C75"/>
    <w:rsid w:val="009841F2"/>
    <w:rsid w:val="0099222E"/>
    <w:rsid w:val="00992E55"/>
    <w:rsid w:val="009930F3"/>
    <w:rsid w:val="009A3006"/>
    <w:rsid w:val="009A6A9E"/>
    <w:rsid w:val="009B064B"/>
    <w:rsid w:val="009B33F2"/>
    <w:rsid w:val="009B5F98"/>
    <w:rsid w:val="009C1B2B"/>
    <w:rsid w:val="009C2137"/>
    <w:rsid w:val="009D0398"/>
    <w:rsid w:val="009D10DD"/>
    <w:rsid w:val="009D1A17"/>
    <w:rsid w:val="009D7E18"/>
    <w:rsid w:val="009E01AB"/>
    <w:rsid w:val="009E3EF8"/>
    <w:rsid w:val="009E3FB9"/>
    <w:rsid w:val="009E6192"/>
    <w:rsid w:val="009E6998"/>
    <w:rsid w:val="009E7E16"/>
    <w:rsid w:val="009F1E21"/>
    <w:rsid w:val="009F67A5"/>
    <w:rsid w:val="009F7C3F"/>
    <w:rsid w:val="009F7D45"/>
    <w:rsid w:val="00A001AC"/>
    <w:rsid w:val="00A064CA"/>
    <w:rsid w:val="00A06CE5"/>
    <w:rsid w:val="00A1205B"/>
    <w:rsid w:val="00A15D76"/>
    <w:rsid w:val="00A16A8B"/>
    <w:rsid w:val="00A20622"/>
    <w:rsid w:val="00A216D7"/>
    <w:rsid w:val="00A225B8"/>
    <w:rsid w:val="00A24564"/>
    <w:rsid w:val="00A25327"/>
    <w:rsid w:val="00A2582A"/>
    <w:rsid w:val="00A46D7D"/>
    <w:rsid w:val="00A537F0"/>
    <w:rsid w:val="00A640A7"/>
    <w:rsid w:val="00A73FF6"/>
    <w:rsid w:val="00A76694"/>
    <w:rsid w:val="00A80DEC"/>
    <w:rsid w:val="00A80F17"/>
    <w:rsid w:val="00A81C33"/>
    <w:rsid w:val="00A82A5A"/>
    <w:rsid w:val="00A82D40"/>
    <w:rsid w:val="00A83A24"/>
    <w:rsid w:val="00A85386"/>
    <w:rsid w:val="00A90BF7"/>
    <w:rsid w:val="00A91B12"/>
    <w:rsid w:val="00A928FD"/>
    <w:rsid w:val="00AA3B85"/>
    <w:rsid w:val="00AA50C7"/>
    <w:rsid w:val="00AA5E60"/>
    <w:rsid w:val="00AA63B6"/>
    <w:rsid w:val="00AB2DAC"/>
    <w:rsid w:val="00AB3B36"/>
    <w:rsid w:val="00AB418E"/>
    <w:rsid w:val="00AC0BF3"/>
    <w:rsid w:val="00AC1ADD"/>
    <w:rsid w:val="00AC36B1"/>
    <w:rsid w:val="00AC5D1D"/>
    <w:rsid w:val="00AC6CA8"/>
    <w:rsid w:val="00AD3DF1"/>
    <w:rsid w:val="00AE73C0"/>
    <w:rsid w:val="00AF0571"/>
    <w:rsid w:val="00AF2B3D"/>
    <w:rsid w:val="00AF2E8E"/>
    <w:rsid w:val="00AF5E83"/>
    <w:rsid w:val="00B00A0E"/>
    <w:rsid w:val="00B016C9"/>
    <w:rsid w:val="00B1175B"/>
    <w:rsid w:val="00B125D5"/>
    <w:rsid w:val="00B13E90"/>
    <w:rsid w:val="00B16C77"/>
    <w:rsid w:val="00B2768E"/>
    <w:rsid w:val="00B30E6F"/>
    <w:rsid w:val="00B326E0"/>
    <w:rsid w:val="00B33CFB"/>
    <w:rsid w:val="00B371F7"/>
    <w:rsid w:val="00B372B5"/>
    <w:rsid w:val="00B3741C"/>
    <w:rsid w:val="00B4075E"/>
    <w:rsid w:val="00B41832"/>
    <w:rsid w:val="00B4747A"/>
    <w:rsid w:val="00B47B32"/>
    <w:rsid w:val="00B53AC8"/>
    <w:rsid w:val="00B5541C"/>
    <w:rsid w:val="00B56773"/>
    <w:rsid w:val="00B61C95"/>
    <w:rsid w:val="00B82E27"/>
    <w:rsid w:val="00B82F96"/>
    <w:rsid w:val="00B846B5"/>
    <w:rsid w:val="00B92298"/>
    <w:rsid w:val="00B9528C"/>
    <w:rsid w:val="00B95E6A"/>
    <w:rsid w:val="00B97228"/>
    <w:rsid w:val="00BA0D35"/>
    <w:rsid w:val="00BA1780"/>
    <w:rsid w:val="00BA3296"/>
    <w:rsid w:val="00BA496B"/>
    <w:rsid w:val="00BA5D55"/>
    <w:rsid w:val="00BB1713"/>
    <w:rsid w:val="00BB50C0"/>
    <w:rsid w:val="00BB7ACD"/>
    <w:rsid w:val="00BC14DD"/>
    <w:rsid w:val="00BC41EF"/>
    <w:rsid w:val="00BC5366"/>
    <w:rsid w:val="00BC5F0B"/>
    <w:rsid w:val="00BC625E"/>
    <w:rsid w:val="00BC6777"/>
    <w:rsid w:val="00BD3AD0"/>
    <w:rsid w:val="00BE0146"/>
    <w:rsid w:val="00BE3E32"/>
    <w:rsid w:val="00BE43C5"/>
    <w:rsid w:val="00BF799D"/>
    <w:rsid w:val="00C0067D"/>
    <w:rsid w:val="00C0588F"/>
    <w:rsid w:val="00C07885"/>
    <w:rsid w:val="00C13A4B"/>
    <w:rsid w:val="00C14817"/>
    <w:rsid w:val="00C151B1"/>
    <w:rsid w:val="00C206E1"/>
    <w:rsid w:val="00C23A09"/>
    <w:rsid w:val="00C2417D"/>
    <w:rsid w:val="00C24FB7"/>
    <w:rsid w:val="00C30205"/>
    <w:rsid w:val="00C3423D"/>
    <w:rsid w:val="00C353FE"/>
    <w:rsid w:val="00C40780"/>
    <w:rsid w:val="00C47CA6"/>
    <w:rsid w:val="00C50081"/>
    <w:rsid w:val="00C51A4E"/>
    <w:rsid w:val="00C54D2B"/>
    <w:rsid w:val="00C56CC3"/>
    <w:rsid w:val="00C62F10"/>
    <w:rsid w:val="00C66112"/>
    <w:rsid w:val="00C72315"/>
    <w:rsid w:val="00C742C3"/>
    <w:rsid w:val="00C745B8"/>
    <w:rsid w:val="00C839E0"/>
    <w:rsid w:val="00C8458A"/>
    <w:rsid w:val="00C86715"/>
    <w:rsid w:val="00C86FE1"/>
    <w:rsid w:val="00C87EEB"/>
    <w:rsid w:val="00C917BC"/>
    <w:rsid w:val="00C92DF3"/>
    <w:rsid w:val="00C97A17"/>
    <w:rsid w:val="00CA1312"/>
    <w:rsid w:val="00CA6DA7"/>
    <w:rsid w:val="00CB21C5"/>
    <w:rsid w:val="00CB22F5"/>
    <w:rsid w:val="00CB47D8"/>
    <w:rsid w:val="00CB5BA6"/>
    <w:rsid w:val="00CB6A15"/>
    <w:rsid w:val="00CB7FB2"/>
    <w:rsid w:val="00CC0DC1"/>
    <w:rsid w:val="00CC104F"/>
    <w:rsid w:val="00CC2150"/>
    <w:rsid w:val="00CC26C6"/>
    <w:rsid w:val="00CC3DCD"/>
    <w:rsid w:val="00CD0410"/>
    <w:rsid w:val="00CD250A"/>
    <w:rsid w:val="00CD265F"/>
    <w:rsid w:val="00CD31AC"/>
    <w:rsid w:val="00CD4B84"/>
    <w:rsid w:val="00CD7B5F"/>
    <w:rsid w:val="00CE27FC"/>
    <w:rsid w:val="00CE29AA"/>
    <w:rsid w:val="00CF0115"/>
    <w:rsid w:val="00CF30BB"/>
    <w:rsid w:val="00CF3ED2"/>
    <w:rsid w:val="00CF4214"/>
    <w:rsid w:val="00CF494F"/>
    <w:rsid w:val="00CF5ECD"/>
    <w:rsid w:val="00D004CD"/>
    <w:rsid w:val="00D02817"/>
    <w:rsid w:val="00D06060"/>
    <w:rsid w:val="00D06ED6"/>
    <w:rsid w:val="00D11433"/>
    <w:rsid w:val="00D1163B"/>
    <w:rsid w:val="00D1165F"/>
    <w:rsid w:val="00D1354E"/>
    <w:rsid w:val="00D15B70"/>
    <w:rsid w:val="00D2165D"/>
    <w:rsid w:val="00D21F03"/>
    <w:rsid w:val="00D27BCC"/>
    <w:rsid w:val="00D3126B"/>
    <w:rsid w:val="00D313A0"/>
    <w:rsid w:val="00D32BF9"/>
    <w:rsid w:val="00D35875"/>
    <w:rsid w:val="00D3710C"/>
    <w:rsid w:val="00D4592D"/>
    <w:rsid w:val="00D45D97"/>
    <w:rsid w:val="00D476C1"/>
    <w:rsid w:val="00D4793E"/>
    <w:rsid w:val="00D50F77"/>
    <w:rsid w:val="00D53699"/>
    <w:rsid w:val="00D55119"/>
    <w:rsid w:val="00D556CE"/>
    <w:rsid w:val="00D62610"/>
    <w:rsid w:val="00D65FC0"/>
    <w:rsid w:val="00D66E08"/>
    <w:rsid w:val="00D66FA7"/>
    <w:rsid w:val="00D671ED"/>
    <w:rsid w:val="00D67EB9"/>
    <w:rsid w:val="00D71897"/>
    <w:rsid w:val="00D7211A"/>
    <w:rsid w:val="00D774EC"/>
    <w:rsid w:val="00D840DA"/>
    <w:rsid w:val="00D8661B"/>
    <w:rsid w:val="00D91F60"/>
    <w:rsid w:val="00D96EC4"/>
    <w:rsid w:val="00D97C40"/>
    <w:rsid w:val="00DA090C"/>
    <w:rsid w:val="00DA3072"/>
    <w:rsid w:val="00DA3C2E"/>
    <w:rsid w:val="00DA3C47"/>
    <w:rsid w:val="00DA4E9F"/>
    <w:rsid w:val="00DA528A"/>
    <w:rsid w:val="00DA5417"/>
    <w:rsid w:val="00DB3600"/>
    <w:rsid w:val="00DB41FB"/>
    <w:rsid w:val="00DB53C5"/>
    <w:rsid w:val="00DB71BA"/>
    <w:rsid w:val="00DB7443"/>
    <w:rsid w:val="00DB7600"/>
    <w:rsid w:val="00DB7FCB"/>
    <w:rsid w:val="00DC0832"/>
    <w:rsid w:val="00DC576F"/>
    <w:rsid w:val="00DC64EA"/>
    <w:rsid w:val="00DD1429"/>
    <w:rsid w:val="00DD21C2"/>
    <w:rsid w:val="00DE54FF"/>
    <w:rsid w:val="00DF008C"/>
    <w:rsid w:val="00DF0DA9"/>
    <w:rsid w:val="00DF39E6"/>
    <w:rsid w:val="00DF5858"/>
    <w:rsid w:val="00DF6343"/>
    <w:rsid w:val="00E10329"/>
    <w:rsid w:val="00E10757"/>
    <w:rsid w:val="00E11723"/>
    <w:rsid w:val="00E11D85"/>
    <w:rsid w:val="00E15786"/>
    <w:rsid w:val="00E160D2"/>
    <w:rsid w:val="00E21805"/>
    <w:rsid w:val="00E263F4"/>
    <w:rsid w:val="00E30B0E"/>
    <w:rsid w:val="00E31795"/>
    <w:rsid w:val="00E36F28"/>
    <w:rsid w:val="00E4437F"/>
    <w:rsid w:val="00E44F4A"/>
    <w:rsid w:val="00E46936"/>
    <w:rsid w:val="00E46FC9"/>
    <w:rsid w:val="00E543DA"/>
    <w:rsid w:val="00E61D71"/>
    <w:rsid w:val="00E62261"/>
    <w:rsid w:val="00E63065"/>
    <w:rsid w:val="00E63927"/>
    <w:rsid w:val="00E63E24"/>
    <w:rsid w:val="00E63E6B"/>
    <w:rsid w:val="00E66D85"/>
    <w:rsid w:val="00E72673"/>
    <w:rsid w:val="00E75F7D"/>
    <w:rsid w:val="00E7729C"/>
    <w:rsid w:val="00E8038F"/>
    <w:rsid w:val="00E831A2"/>
    <w:rsid w:val="00E86CD9"/>
    <w:rsid w:val="00E9308E"/>
    <w:rsid w:val="00E93B62"/>
    <w:rsid w:val="00EA0FCD"/>
    <w:rsid w:val="00EA30DE"/>
    <w:rsid w:val="00EA45AA"/>
    <w:rsid w:val="00EA64F8"/>
    <w:rsid w:val="00EA755E"/>
    <w:rsid w:val="00EA7A2D"/>
    <w:rsid w:val="00EB20E8"/>
    <w:rsid w:val="00EB3531"/>
    <w:rsid w:val="00EB40D1"/>
    <w:rsid w:val="00EB798F"/>
    <w:rsid w:val="00EC390C"/>
    <w:rsid w:val="00EC5680"/>
    <w:rsid w:val="00EC6050"/>
    <w:rsid w:val="00ED0AED"/>
    <w:rsid w:val="00ED6D93"/>
    <w:rsid w:val="00ED7601"/>
    <w:rsid w:val="00ED7C2E"/>
    <w:rsid w:val="00EE2D8C"/>
    <w:rsid w:val="00EE3F2D"/>
    <w:rsid w:val="00EF2D50"/>
    <w:rsid w:val="00F0055B"/>
    <w:rsid w:val="00F028E0"/>
    <w:rsid w:val="00F04901"/>
    <w:rsid w:val="00F12D7C"/>
    <w:rsid w:val="00F27343"/>
    <w:rsid w:val="00F2777A"/>
    <w:rsid w:val="00F3661C"/>
    <w:rsid w:val="00F4205F"/>
    <w:rsid w:val="00F424DF"/>
    <w:rsid w:val="00F43692"/>
    <w:rsid w:val="00F45070"/>
    <w:rsid w:val="00F46A48"/>
    <w:rsid w:val="00F47768"/>
    <w:rsid w:val="00F52372"/>
    <w:rsid w:val="00F528F4"/>
    <w:rsid w:val="00F52E6E"/>
    <w:rsid w:val="00F56068"/>
    <w:rsid w:val="00F57CE8"/>
    <w:rsid w:val="00F618C4"/>
    <w:rsid w:val="00F62F6E"/>
    <w:rsid w:val="00F65701"/>
    <w:rsid w:val="00F658D3"/>
    <w:rsid w:val="00F71646"/>
    <w:rsid w:val="00F72672"/>
    <w:rsid w:val="00F740BD"/>
    <w:rsid w:val="00F80750"/>
    <w:rsid w:val="00F85DE4"/>
    <w:rsid w:val="00F86DAF"/>
    <w:rsid w:val="00F920DD"/>
    <w:rsid w:val="00FA1210"/>
    <w:rsid w:val="00FA60E6"/>
    <w:rsid w:val="00FB16E3"/>
    <w:rsid w:val="00FB4605"/>
    <w:rsid w:val="00FB4F8C"/>
    <w:rsid w:val="00FB5D4B"/>
    <w:rsid w:val="00FB6ED6"/>
    <w:rsid w:val="00FC38E8"/>
    <w:rsid w:val="00FC5A92"/>
    <w:rsid w:val="00FD06A2"/>
    <w:rsid w:val="00FE489F"/>
    <w:rsid w:val="00FE6FF9"/>
    <w:rsid w:val="00FF1446"/>
    <w:rsid w:val="00FF1832"/>
    <w:rsid w:val="00FF3FF8"/>
    <w:rsid w:val="00FF4DE5"/>
    <w:rsid w:val="00FF5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C0295CA"/>
  <w15:chartTrackingRefBased/>
  <w15:docId w15:val="{0466CA51-C870-3644-A7D0-F485C8007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BDD"/>
  </w:style>
  <w:style w:type="paragraph" w:styleId="Heading1">
    <w:name w:val="heading 1"/>
    <w:basedOn w:val="Normal"/>
    <w:next w:val="Normal"/>
    <w:link w:val="Heading1Char"/>
    <w:uiPriority w:val="9"/>
    <w:qFormat/>
    <w:rsid w:val="002E5C71"/>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B54"/>
    <w:pPr>
      <w:ind w:left="720"/>
      <w:contextualSpacing/>
    </w:pPr>
  </w:style>
  <w:style w:type="paragraph" w:styleId="FootnoteText">
    <w:name w:val="footnote text"/>
    <w:basedOn w:val="Normal"/>
    <w:link w:val="FootnoteTextChar"/>
    <w:uiPriority w:val="99"/>
    <w:semiHidden/>
    <w:unhideWhenUsed/>
    <w:rsid w:val="00655673"/>
    <w:rPr>
      <w:sz w:val="20"/>
      <w:szCs w:val="20"/>
    </w:rPr>
  </w:style>
  <w:style w:type="character" w:customStyle="1" w:styleId="FootnoteTextChar">
    <w:name w:val="Footnote Text Char"/>
    <w:basedOn w:val="DefaultParagraphFont"/>
    <w:link w:val="FootnoteText"/>
    <w:uiPriority w:val="99"/>
    <w:semiHidden/>
    <w:rsid w:val="00655673"/>
    <w:rPr>
      <w:sz w:val="20"/>
      <w:szCs w:val="20"/>
    </w:rPr>
  </w:style>
  <w:style w:type="character" w:styleId="FootnoteReference">
    <w:name w:val="footnote reference"/>
    <w:basedOn w:val="DefaultParagraphFont"/>
    <w:uiPriority w:val="99"/>
    <w:semiHidden/>
    <w:unhideWhenUsed/>
    <w:rsid w:val="00655673"/>
    <w:rPr>
      <w:vertAlign w:val="superscript"/>
    </w:rPr>
  </w:style>
  <w:style w:type="character" w:styleId="Hyperlink">
    <w:name w:val="Hyperlink"/>
    <w:basedOn w:val="DefaultParagraphFont"/>
    <w:uiPriority w:val="99"/>
    <w:unhideWhenUsed/>
    <w:rsid w:val="00E46FC9"/>
    <w:rPr>
      <w:color w:val="0563C1" w:themeColor="hyperlink"/>
      <w:u w:val="single"/>
    </w:rPr>
  </w:style>
  <w:style w:type="character" w:styleId="UnresolvedMention">
    <w:name w:val="Unresolved Mention"/>
    <w:basedOn w:val="DefaultParagraphFont"/>
    <w:uiPriority w:val="99"/>
    <w:semiHidden/>
    <w:unhideWhenUsed/>
    <w:rsid w:val="00E46FC9"/>
    <w:rPr>
      <w:color w:val="605E5C"/>
      <w:shd w:val="clear" w:color="auto" w:fill="E1DFDD"/>
    </w:rPr>
  </w:style>
  <w:style w:type="character" w:customStyle="1" w:styleId="Heading1Char">
    <w:name w:val="Heading 1 Char"/>
    <w:basedOn w:val="DefaultParagraphFont"/>
    <w:link w:val="Heading1"/>
    <w:uiPriority w:val="9"/>
    <w:rsid w:val="002E5C71"/>
    <w:rPr>
      <w:rFonts w:asciiTheme="majorHAnsi" w:eastAsiaTheme="majorEastAsia" w:hAnsiTheme="majorHAnsi" w:cstheme="majorBidi"/>
      <w:b/>
      <w:bCs/>
      <w:color w:val="2F5496" w:themeColor="accent1" w:themeShade="BF"/>
      <w:kern w:val="0"/>
      <w:sz w:val="28"/>
      <w:szCs w:val="28"/>
      <w:lang w:val="en-US"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78477">
      <w:bodyDiv w:val="1"/>
      <w:marLeft w:val="0"/>
      <w:marRight w:val="0"/>
      <w:marTop w:val="0"/>
      <w:marBottom w:val="0"/>
      <w:divBdr>
        <w:top w:val="none" w:sz="0" w:space="0" w:color="auto"/>
        <w:left w:val="none" w:sz="0" w:space="0" w:color="auto"/>
        <w:bottom w:val="none" w:sz="0" w:space="0" w:color="auto"/>
        <w:right w:val="none" w:sz="0" w:space="0" w:color="auto"/>
      </w:divBdr>
      <w:divsChild>
        <w:div w:id="1973552899">
          <w:marLeft w:val="0"/>
          <w:marRight w:val="0"/>
          <w:marTop w:val="0"/>
          <w:marBottom w:val="0"/>
          <w:divBdr>
            <w:top w:val="none" w:sz="0" w:space="0" w:color="auto"/>
            <w:left w:val="none" w:sz="0" w:space="0" w:color="auto"/>
            <w:bottom w:val="none" w:sz="0" w:space="0" w:color="auto"/>
            <w:right w:val="none" w:sz="0" w:space="0" w:color="auto"/>
          </w:divBdr>
          <w:divsChild>
            <w:div w:id="102170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432437">
      <w:bodyDiv w:val="1"/>
      <w:marLeft w:val="0"/>
      <w:marRight w:val="0"/>
      <w:marTop w:val="0"/>
      <w:marBottom w:val="0"/>
      <w:divBdr>
        <w:top w:val="none" w:sz="0" w:space="0" w:color="auto"/>
        <w:left w:val="none" w:sz="0" w:space="0" w:color="auto"/>
        <w:bottom w:val="none" w:sz="0" w:space="0" w:color="auto"/>
        <w:right w:val="none" w:sz="0" w:space="0" w:color="auto"/>
      </w:divBdr>
      <w:divsChild>
        <w:div w:id="1134371527">
          <w:marLeft w:val="0"/>
          <w:marRight w:val="0"/>
          <w:marTop w:val="0"/>
          <w:marBottom w:val="0"/>
          <w:divBdr>
            <w:top w:val="none" w:sz="0" w:space="0" w:color="auto"/>
            <w:left w:val="none" w:sz="0" w:space="0" w:color="auto"/>
            <w:bottom w:val="none" w:sz="0" w:space="0" w:color="auto"/>
            <w:right w:val="none" w:sz="0" w:space="0" w:color="auto"/>
          </w:divBdr>
          <w:divsChild>
            <w:div w:id="1336616461">
              <w:marLeft w:val="0"/>
              <w:marRight w:val="0"/>
              <w:marTop w:val="0"/>
              <w:marBottom w:val="0"/>
              <w:divBdr>
                <w:top w:val="none" w:sz="0" w:space="0" w:color="auto"/>
                <w:left w:val="none" w:sz="0" w:space="0" w:color="auto"/>
                <w:bottom w:val="none" w:sz="0" w:space="0" w:color="auto"/>
                <w:right w:val="none" w:sz="0" w:space="0" w:color="auto"/>
              </w:divBdr>
              <w:divsChild>
                <w:div w:id="17780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98310">
      <w:bodyDiv w:val="1"/>
      <w:marLeft w:val="0"/>
      <w:marRight w:val="0"/>
      <w:marTop w:val="0"/>
      <w:marBottom w:val="0"/>
      <w:divBdr>
        <w:top w:val="none" w:sz="0" w:space="0" w:color="auto"/>
        <w:left w:val="none" w:sz="0" w:space="0" w:color="auto"/>
        <w:bottom w:val="none" w:sz="0" w:space="0" w:color="auto"/>
        <w:right w:val="none" w:sz="0" w:space="0" w:color="auto"/>
      </w:divBdr>
      <w:divsChild>
        <w:div w:id="1409110581">
          <w:marLeft w:val="0"/>
          <w:marRight w:val="0"/>
          <w:marTop w:val="0"/>
          <w:marBottom w:val="0"/>
          <w:divBdr>
            <w:top w:val="none" w:sz="0" w:space="0" w:color="auto"/>
            <w:left w:val="none" w:sz="0" w:space="0" w:color="auto"/>
            <w:bottom w:val="none" w:sz="0" w:space="0" w:color="auto"/>
            <w:right w:val="none" w:sz="0" w:space="0" w:color="auto"/>
          </w:divBdr>
          <w:divsChild>
            <w:div w:id="1242104778">
              <w:marLeft w:val="0"/>
              <w:marRight w:val="0"/>
              <w:marTop w:val="0"/>
              <w:marBottom w:val="0"/>
              <w:divBdr>
                <w:top w:val="none" w:sz="0" w:space="0" w:color="auto"/>
                <w:left w:val="none" w:sz="0" w:space="0" w:color="auto"/>
                <w:bottom w:val="none" w:sz="0" w:space="0" w:color="auto"/>
                <w:right w:val="none" w:sz="0" w:space="0" w:color="auto"/>
              </w:divBdr>
              <w:divsChild>
                <w:div w:id="3450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96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26063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nomaha.edu/college-of-arts-and-sciences/european-studies-conference/esc-proceedings/evelyn-nicholson-pdf.pdf" TargetMode="External"/><Relationship Id="rId4" Type="http://schemas.openxmlformats.org/officeDocument/2006/relationships/settings" Target="settings.xml"/><Relationship Id="rId9" Type="http://schemas.openxmlformats.org/officeDocument/2006/relationships/hyperlink" Target="https://saints.wales/wp-content/uploads/2023/03/Wenefreda-Lans.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1260635" TargetMode="External"/><Relationship Id="rId2" Type="http://schemas.openxmlformats.org/officeDocument/2006/relationships/hyperlink" Target="https://www.unomaha.edu/college-of-arts-and-sciences/european-studies-conference/esc-proceedings/evelyn-nicholson-pdf.pdf" TargetMode="External"/><Relationship Id="rId1" Type="http://schemas.openxmlformats.org/officeDocument/2006/relationships/hyperlink" Target="https://saints.wales/wp-content/uploads/2023/03/Wenefreda-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641C3-C209-4241-A419-AEC4E3722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2028</TotalTime>
  <Pages>14</Pages>
  <Words>5922</Words>
  <Characters>29438</Characters>
  <Application>Microsoft Office Word</Application>
  <DocSecurity>0</DocSecurity>
  <Lines>432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758</cp:revision>
  <dcterms:created xsi:type="dcterms:W3CDTF">2025-04-02T12:09:00Z</dcterms:created>
  <dcterms:modified xsi:type="dcterms:W3CDTF">2025-04-08T22:30:00Z</dcterms:modified>
</cp:coreProperties>
</file>