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STUDENT NAME: NURUL LIYANA IZYANI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STUDENT ID: 2121799</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QUESTION A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rule of privity of contract is a contract law notion which states agreements are solely contractual in nature to them and that no other parties may enforce or be sued under them (Green. L, 2021). When parties have no contractual responsibilities to one another, privity exists, which removes obligations, liabilities and access to certain rights.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an illustration, in the case of Tweddle v Atkinson and Dunlop Pneumatic Tyre Co Ltd v Selfridge Ltd [1915] , the court concluded that only participants (the ones involved in the contract) can bring lawsuits on it. The supplier has no authority to claim that the retailer (those that are not involved in the contract) for contractual obligation.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[114 words]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QUESTION B</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Past consideration is not valid in a contract as it does not help the promisor or propose any risk to the promisee, hence, past consideration does not amount to good consideration. As an agreement is a written contract to which all parties involve agree to do something- be it a particular act or an obligation to pay a specific amount of money (LawTeacher, 2018). For instance, if two people are involved in an agreement, both individuals must agree that the conduct of the other party will be considered. </w:t>
      </w:r>
    </w:p>
    <w:p>
      <w:pPr>
        <w:pStyle w:val="Body"/>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br w:type="textWrapping"/>
      </w:r>
      <w:r>
        <w:rPr>
          <w:rFonts w:ascii="Times New Roman" w:hAnsi="Times New Roman"/>
          <w:sz w:val="24"/>
          <w:szCs w:val="24"/>
          <w:rtl w:val="0"/>
          <w:lang w:val="en-US"/>
        </w:rPr>
        <w:t xml:space="preserve">As an illustration, in the case of Re McArdle (1951) Ch 669,  </w:t>
      </w:r>
      <w:r>
        <w:rPr>
          <w:rFonts w:ascii="Times New Roman" w:hAnsi="Times New Roman"/>
          <w:sz w:val="24"/>
          <w:szCs w:val="24"/>
          <w:rtl w:val="0"/>
          <w:lang w:val="en-US"/>
        </w:rPr>
        <w:t>Majorie McArdle worked on a cottage</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made some upgrades and restorations. Her husband's father had passed away, leaving the land to his widow for the rest of her life and then to her spouse and his </w:t>
      </w:r>
      <w:r>
        <w:rPr>
          <w:rFonts w:ascii="Times New Roman" w:hAnsi="Times New Roman"/>
          <w:sz w:val="24"/>
          <w:szCs w:val="24"/>
          <w:rtl w:val="0"/>
          <w:lang w:val="en-US"/>
        </w:rPr>
        <w:t>siblings</w:t>
      </w:r>
      <w:r>
        <w:rPr>
          <w:rFonts w:ascii="Times New Roman" w:hAnsi="Times New Roman"/>
          <w:sz w:val="24"/>
          <w:szCs w:val="24"/>
          <w:rtl w:val="0"/>
          <w:lang w:val="en-US"/>
        </w:rPr>
        <w:t xml:space="preserve"> on trust. Following the completion of the repairs, the</w:t>
      </w:r>
      <w:r>
        <w:rPr>
          <w:rFonts w:ascii="Times New Roman" w:hAnsi="Times New Roman"/>
          <w:sz w:val="24"/>
          <w:szCs w:val="24"/>
          <w:rtl w:val="0"/>
          <w:lang w:val="en-US"/>
        </w:rPr>
        <w:t>y</w:t>
      </w:r>
      <w:r>
        <w:rPr>
          <w:rFonts w:ascii="Times New Roman" w:hAnsi="Times New Roman"/>
          <w:sz w:val="24"/>
          <w:szCs w:val="24"/>
          <w:rtl w:val="0"/>
          <w:lang w:val="en-US"/>
        </w:rPr>
        <w:t xml:space="preserve"> entered into a contract consenting to be paid </w:t>
      </w:r>
      <w:r>
        <w:rPr>
          <w:rFonts w:ascii="Times New Roman" w:hAnsi="Times New Roman" w:hint="default"/>
          <w:sz w:val="24"/>
          <w:szCs w:val="24"/>
          <w:rtl w:val="0"/>
        </w:rPr>
        <w:t>£</w:t>
      </w:r>
      <w:r>
        <w:rPr>
          <w:rFonts w:ascii="Times New Roman" w:hAnsi="Times New Roman"/>
          <w:sz w:val="24"/>
          <w:szCs w:val="24"/>
          <w:rtl w:val="0"/>
          <w:lang w:val="en-US"/>
        </w:rPr>
        <w:t>480 from the sales profits. The money, however, ha</w:t>
      </w:r>
      <w:r>
        <w:rPr>
          <w:rFonts w:ascii="Times New Roman" w:hAnsi="Times New Roman"/>
          <w:sz w:val="24"/>
          <w:szCs w:val="24"/>
          <w:rtl w:val="0"/>
          <w:lang w:val="en-US"/>
        </w:rPr>
        <w:t>d</w:t>
      </w:r>
      <w:r>
        <w:rPr>
          <w:rFonts w:ascii="Times New Roman" w:hAnsi="Times New Roman"/>
          <w:sz w:val="24"/>
          <w:szCs w:val="24"/>
          <w:rtl w:val="0"/>
          <w:lang w:val="en-US"/>
        </w:rPr>
        <w:t xml:space="preserve"> never been made, and the house was eventually sold.</w:t>
      </w:r>
      <w:r>
        <w:rPr>
          <w:rFonts w:ascii="Times New Roman" w:hAnsi="Times New Roman"/>
          <w:sz w:val="24"/>
          <w:szCs w:val="24"/>
          <w:rtl w:val="0"/>
          <w:lang w:val="en-US"/>
        </w:rPr>
        <w:t xml:space="preserve"> It was held by the Court of Appeal that b</w:t>
      </w:r>
      <w:r>
        <w:rPr>
          <w:rFonts w:ascii="Times New Roman" w:hAnsi="Times New Roman"/>
          <w:sz w:val="24"/>
          <w:szCs w:val="24"/>
          <w:rtl w:val="0"/>
          <w:lang w:val="en-US"/>
        </w:rPr>
        <w:t>ecause the agreement to pay arrived after the deliberation had already been completed, the commitment to reimburse was not legally enforceable. The consideration of the past is no longer applicable.</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[211 words]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QUESTION C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case of Cutter v Powell (1795), </w:t>
      </w:r>
      <w:r>
        <w:rPr>
          <w:rFonts w:ascii="Times New Roman" w:hAnsi="Times New Roman"/>
          <w:sz w:val="24"/>
          <w:szCs w:val="24"/>
          <w:rtl w:val="0"/>
        </w:rPr>
        <w:t>Mr. Cutter</w:t>
      </w:r>
      <w:r>
        <w:rPr>
          <w:rFonts w:ascii="Times New Roman" w:hAnsi="Times New Roman"/>
          <w:sz w:val="24"/>
          <w:szCs w:val="24"/>
          <w:rtl w:val="0"/>
          <w:lang w:val="en-US"/>
        </w:rPr>
        <w:t xml:space="preserve"> who was a </w:t>
      </w:r>
      <w:r>
        <w:rPr>
          <w:rFonts w:ascii="Times New Roman" w:hAnsi="Times New Roman"/>
          <w:sz w:val="24"/>
          <w:szCs w:val="24"/>
          <w:rtl w:val="0"/>
          <w:lang w:val="en-US"/>
        </w:rPr>
        <w:t>sailor, was recruited for a trip and</w:t>
      </w:r>
      <w:r>
        <w:rPr>
          <w:rFonts w:ascii="Times New Roman" w:hAnsi="Times New Roman"/>
          <w:sz w:val="24"/>
          <w:szCs w:val="24"/>
          <w:rtl w:val="0"/>
          <w:lang w:val="en-US"/>
        </w:rPr>
        <w:t xml:space="preserve"> was </w:t>
      </w:r>
      <w:r>
        <w:rPr>
          <w:rFonts w:ascii="Times New Roman" w:hAnsi="Times New Roman"/>
          <w:sz w:val="24"/>
          <w:szCs w:val="24"/>
          <w:rtl w:val="0"/>
          <w:lang w:val="en-US"/>
        </w:rPr>
        <w:t xml:space="preserve"> handed a written contract in exchange for his services. </w:t>
      </w:r>
      <w:r>
        <w:rPr>
          <w:rFonts w:ascii="Times New Roman" w:hAnsi="Times New Roman"/>
          <w:sz w:val="24"/>
          <w:szCs w:val="24"/>
          <w:rtl w:val="0"/>
          <w:lang w:val="en-US"/>
        </w:rPr>
        <w:t xml:space="preserve">He </w:t>
      </w:r>
      <w:r>
        <w:rPr>
          <w:rFonts w:ascii="Times New Roman" w:hAnsi="Times New Roman"/>
          <w:sz w:val="24"/>
          <w:szCs w:val="24"/>
          <w:rtl w:val="0"/>
          <w:lang w:val="en-US"/>
        </w:rPr>
        <w:t xml:space="preserve">served as </w:t>
      </w:r>
      <w:r>
        <w:rPr>
          <w:rFonts w:ascii="Times New Roman" w:hAnsi="Times New Roman"/>
          <w:sz w:val="24"/>
          <w:szCs w:val="24"/>
          <w:rtl w:val="0"/>
          <w:lang w:val="en-US"/>
        </w:rPr>
        <w:t xml:space="preserve">a </w:t>
      </w:r>
      <w:r>
        <w:rPr>
          <w:rFonts w:ascii="Times New Roman" w:hAnsi="Times New Roman"/>
          <w:sz w:val="24"/>
          <w:szCs w:val="24"/>
          <w:rtl w:val="0"/>
          <w:lang w:val="en-US"/>
        </w:rPr>
        <w:t>second officer</w:t>
      </w:r>
      <w:r>
        <w:rPr>
          <w:rFonts w:ascii="Times New Roman" w:hAnsi="Times New Roman" w:hint="default"/>
          <w:sz w:val="24"/>
          <w:szCs w:val="24"/>
          <w:rtl w:val="0"/>
        </w:rPr>
        <w:t> </w:t>
      </w:r>
      <w:r>
        <w:rPr>
          <w:rFonts w:ascii="Times New Roman" w:hAnsi="Times New Roman"/>
          <w:sz w:val="24"/>
          <w:szCs w:val="24"/>
          <w:rtl w:val="0"/>
          <w:lang w:val="en-US"/>
        </w:rPr>
        <w:t>on the vessel for roughly six weeks before dying before it arrived in Liverpool. His spouse filed a claim for a substantial share of his unpaid earnings for the duration of the journey.</w:t>
      </w:r>
      <w:r>
        <w:rPr>
          <w:rFonts w:ascii="Times New Roman" w:hAnsi="Times New Roman"/>
          <w:sz w:val="24"/>
          <w:szCs w:val="24"/>
          <w:rtl w:val="0"/>
          <w:lang w:val="en-US"/>
        </w:rPr>
        <w:t xml:space="preserve"> The dispute occurred as to whether the seaman is entitled to remuneration as an implicit provision in the agreement for  his significant execution of the agreement (LawTeacher, 2013).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first exception to the entire performance rule from the case is </w:t>
      </w:r>
      <w:r>
        <w:rPr>
          <w:rFonts w:ascii="Times New Roman" w:hAnsi="Times New Roman"/>
          <w:sz w:val="24"/>
          <w:szCs w:val="24"/>
          <w:u w:val="single"/>
          <w:rtl w:val="0"/>
          <w:lang w:val="en-US"/>
        </w:rPr>
        <w:t>severable contracts</w:t>
      </w:r>
      <w:r>
        <w:rPr>
          <w:rFonts w:ascii="Times New Roman" w:hAnsi="Times New Roman"/>
          <w:sz w:val="24"/>
          <w:szCs w:val="24"/>
          <w:rtl w:val="0"/>
          <w:lang w:val="en-US"/>
        </w:rPr>
        <w:t xml:space="preserve">. Based on the case, the contract between Mr. Cutter and the ship master can be divided into several essential parts whereby Mr. Cutter carried out part of his duty based on his contract, hence, he should be entitled to recover what he has already done.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second exception to the entire performance rule from the case is substantial performance. Based on the case, Mr. Cutter substantially executed the contract, hence, he can reimburse for the amount of work he has carried out. In this situation, the ship master is allowed to pay Mr. Cutter a  reduced amount from the initial amount that was promised as Mr. Cutter had only partially executed  his work.</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third exception to the entire performance rule from the case is acceptance of partial performance. In this case, Mr. Cutter carried out part of the contract only. Hence, it is up to the ship master to accept or reject what Mr. Cutter has done. If and when the ship master accepts Mr. Cutter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end of the contract, then essentially, he has to reimburse him based on that as he has benefited from it.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w:t>
      </w:r>
      <w:r>
        <w:rPr>
          <w:rFonts w:ascii="Times New Roman" w:hAnsi="Times New Roman"/>
          <w:sz w:val="24"/>
          <w:szCs w:val="24"/>
          <w:rtl w:val="0"/>
          <w:lang w:val="en-US"/>
        </w:rPr>
        <w:t>refore, The</w:t>
      </w:r>
      <w:r>
        <w:rPr>
          <w:rFonts w:ascii="Times New Roman" w:hAnsi="Times New Roman"/>
          <w:sz w:val="24"/>
          <w:szCs w:val="24"/>
          <w:rtl w:val="0"/>
          <w:lang w:val="en-US"/>
        </w:rPr>
        <w:t xml:space="preserve"> Court concluded that no provisions can be assumed into a written agreement when the parties sign it. On the grounds, the parties' contract stated that reimbursement was subject on the </w:t>
      </w:r>
      <w:r>
        <w:rPr>
          <w:rFonts w:ascii="Times New Roman" w:hAnsi="Times New Roman"/>
          <w:sz w:val="24"/>
          <w:szCs w:val="24"/>
          <w:rtl w:val="0"/>
          <w:lang w:val="en-US"/>
        </w:rPr>
        <w:t>fulfilment</w:t>
      </w:r>
      <w:r>
        <w:rPr>
          <w:rFonts w:ascii="Times New Roman" w:hAnsi="Times New Roman"/>
          <w:sz w:val="24"/>
          <w:szCs w:val="24"/>
          <w:rtl w:val="0"/>
          <w:lang w:val="en-US"/>
        </w:rPr>
        <w:t xml:space="preserve"> of the journey and would be made only once the ship arrived. The binding agreement payment conditional on completion of the entire cruise as a sort of insurance for the employer, according to the Court.</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[366 words]</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QUESTION D</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 contract is an agreement that is enforceable by the court of law. It is an equity that is legally binding between parties. Offer, acceptance, consideration and intent to create legal relations are  important elements of a contract. In a contract, </w:t>
      </w:r>
      <w:r>
        <w:rPr>
          <w:rFonts w:ascii="Times New Roman" w:hAnsi="Times New Roman"/>
          <w:sz w:val="24"/>
          <w:szCs w:val="24"/>
          <w:rtl w:val="0"/>
          <w:lang w:val="en-US"/>
        </w:rPr>
        <w:t>a proposal must be presented. Details of the contract, as well as its terms</w:t>
      </w:r>
      <w:r>
        <w:rPr>
          <w:rFonts w:ascii="Times New Roman" w:hAnsi="Times New Roman"/>
          <w:sz w:val="24"/>
          <w:szCs w:val="24"/>
          <w:rtl w:val="0"/>
          <w:lang w:val="en-US"/>
        </w:rPr>
        <w:t xml:space="preserve"> and conditions </w:t>
      </w:r>
      <w:r>
        <w:rPr>
          <w:rFonts w:ascii="Times New Roman" w:hAnsi="Times New Roman"/>
          <w:sz w:val="24"/>
          <w:szCs w:val="24"/>
          <w:rtl w:val="0"/>
          <w:lang w:val="en-US"/>
        </w:rPr>
        <w:t>should also be included</w:t>
      </w:r>
      <w:r>
        <w:rPr>
          <w:rFonts w:ascii="Times New Roman" w:hAnsi="Times New Roman"/>
          <w:sz w:val="24"/>
          <w:szCs w:val="24"/>
          <w:rtl w:val="0"/>
          <w:lang w:val="en-US"/>
        </w:rPr>
        <w:t xml:space="preserve"> as </w:t>
      </w:r>
      <w:r>
        <w:rPr>
          <w:rFonts w:ascii="Times New Roman" w:hAnsi="Times New Roman"/>
          <w:sz w:val="24"/>
          <w:szCs w:val="24"/>
          <w:rtl w:val="0"/>
          <w:lang w:val="en-US"/>
        </w:rPr>
        <w:t>an offer is an effort by the offeror to engage into an agreement with another party.</w:t>
      </w:r>
      <w:r>
        <w:rPr>
          <w:rFonts w:ascii="Times New Roman" w:hAnsi="Times New Roman"/>
          <w:sz w:val="24"/>
          <w:szCs w:val="24"/>
          <w:rtl w:val="0"/>
          <w:lang w:val="en-US"/>
        </w:rPr>
        <w:t xml:space="preserve"> After the offer has been given, </w:t>
      </w:r>
      <w:r>
        <w:rPr>
          <w:rFonts w:ascii="Times New Roman" w:hAnsi="Times New Roman"/>
          <w:sz w:val="24"/>
          <w:szCs w:val="24"/>
          <w:rtl w:val="0"/>
          <w:lang w:val="en-US"/>
        </w:rPr>
        <w:t xml:space="preserve">the offeree has the option of accepting or rejecting the proposition and its contract terms. Offerees have the option of accepting offers via post, electronically, or orally. </w:t>
      </w:r>
      <w:r>
        <w:rPr>
          <w:rFonts w:ascii="Times New Roman" w:hAnsi="Times New Roman"/>
          <w:sz w:val="24"/>
          <w:szCs w:val="24"/>
          <w:rtl w:val="0"/>
          <w:lang w:val="en-US"/>
        </w:rPr>
        <w:t>T</w:t>
      </w:r>
      <w:r>
        <w:rPr>
          <w:rFonts w:ascii="Times New Roman" w:hAnsi="Times New Roman"/>
          <w:sz w:val="24"/>
          <w:szCs w:val="24"/>
          <w:rtl w:val="0"/>
          <w:lang w:val="it-IT"/>
        </w:rPr>
        <w:t>he postal</w:t>
      </w:r>
      <w:r>
        <w:rPr>
          <w:rFonts w:ascii="Times New Roman" w:hAnsi="Times New Roman" w:hint="default"/>
          <w:sz w:val="24"/>
          <w:szCs w:val="24"/>
          <w:rtl w:val="0"/>
        </w:rPr>
        <w:t> </w:t>
      </w:r>
      <w:r>
        <w:rPr>
          <w:rFonts w:ascii="Times New Roman" w:hAnsi="Times New Roman"/>
          <w:sz w:val="24"/>
          <w:szCs w:val="24"/>
          <w:rtl w:val="0"/>
        </w:rPr>
        <w:t>rule</w:t>
      </w:r>
      <w:r>
        <w:rPr>
          <w:rFonts w:ascii="Times New Roman" w:hAnsi="Times New Roman"/>
          <w:sz w:val="24"/>
          <w:szCs w:val="24"/>
          <w:rtl w:val="0"/>
          <w:lang w:val="en-US"/>
        </w:rPr>
        <w:t xml:space="preserve"> </w:t>
      </w:r>
      <w:r>
        <w:rPr>
          <w:rFonts w:ascii="Times New Roman" w:hAnsi="Times New Roman"/>
          <w:sz w:val="24"/>
          <w:szCs w:val="24"/>
          <w:rtl w:val="0"/>
          <w:lang w:val="en-US"/>
        </w:rPr>
        <w:t>stipulates that if a contract is formed through post or email, it is formally accepted the minute it is located in a postbox</w:t>
      </w:r>
      <w:r>
        <w:rPr>
          <w:rFonts w:ascii="Times New Roman" w:hAnsi="Times New Roman" w:hint="default"/>
          <w:sz w:val="24"/>
          <w:szCs w:val="24"/>
          <w:rtl w:val="0"/>
        </w:rPr>
        <w:t> </w:t>
      </w:r>
      <w:r>
        <w:rPr>
          <w:rFonts w:ascii="Times New Roman" w:hAnsi="Times New Roman"/>
          <w:sz w:val="24"/>
          <w:szCs w:val="24"/>
          <w:rtl w:val="0"/>
          <w:lang w:val="en-US"/>
        </w:rPr>
        <w:t>to be mailed</w:t>
      </w:r>
      <w:r>
        <w:rPr>
          <w:rFonts w:ascii="Times New Roman" w:hAnsi="Times New Roman" w:hint="default"/>
          <w:sz w:val="24"/>
          <w:szCs w:val="24"/>
          <w:rtl w:val="0"/>
        </w:rPr>
        <w:t> </w:t>
      </w:r>
      <w:r>
        <w:rPr>
          <w:rFonts w:ascii="Times New Roman" w:hAnsi="Times New Roman"/>
          <w:sz w:val="24"/>
          <w:szCs w:val="24"/>
          <w:rtl w:val="0"/>
          <w:lang w:val="en-US"/>
        </w:rPr>
        <w:t>or transmitted via email. Even if the offerer did not get the mail</w:t>
      </w:r>
      <w:r>
        <w:rPr>
          <w:rFonts w:ascii="Times New Roman" w:hAnsi="Times New Roman"/>
          <w:sz w:val="24"/>
          <w:szCs w:val="24"/>
          <w:rtl w:val="0"/>
          <w:lang w:val="en-US"/>
        </w:rPr>
        <w:t xml:space="preserve">. </w:t>
      </w:r>
      <w:r>
        <w:rPr>
          <w:rFonts w:ascii="Times New Roman" w:hAnsi="Times New Roman"/>
          <w:sz w:val="24"/>
          <w:szCs w:val="24"/>
          <w:rtl w:val="0"/>
          <w:lang w:val="en-US"/>
        </w:rPr>
        <w:t>This acceptance must include a clear indication that all of the contract's conditions have been approved.</w:t>
      </w:r>
      <w:r>
        <w:rPr>
          <w:rFonts w:ascii="Times New Roman" w:hAnsi="Times New Roman"/>
          <w:sz w:val="24"/>
          <w:szCs w:val="24"/>
          <w:rtl w:val="0"/>
          <w:lang w:val="en-US"/>
        </w:rPr>
        <w:t xml:space="preserve"> In order to have a </w:t>
      </w:r>
      <w:r>
        <w:rPr>
          <w:rFonts w:ascii="Times New Roman" w:hAnsi="Times New Roman"/>
          <w:sz w:val="24"/>
          <w:szCs w:val="24"/>
          <w:rtl w:val="0"/>
        </w:rPr>
        <w:t>legitimate</w:t>
      </w:r>
      <w:r>
        <w:rPr>
          <w:rFonts w:ascii="Times New Roman" w:hAnsi="Times New Roman"/>
          <w:sz w:val="24"/>
          <w:szCs w:val="24"/>
          <w:rtl w:val="0"/>
          <w:lang w:val="en-US"/>
        </w:rPr>
        <w:t xml:space="preserve"> and </w:t>
      </w:r>
      <w:r>
        <w:rPr>
          <w:rFonts w:ascii="Times New Roman" w:hAnsi="Times New Roman"/>
          <w:sz w:val="24"/>
          <w:szCs w:val="24"/>
          <w:rtl w:val="0"/>
          <w:lang w:val="en-US"/>
        </w:rPr>
        <w:t>legally binding contract, something of worth must be transferred. For the transaction of funds, merchandise, land, security, or services are commonly offered. If the litigants are not dealing in cash, they need ensure that whatever they are dealing, commonly known as their consideration, is considered valuable by the courts.</w:t>
      </w:r>
      <w:r>
        <w:rPr>
          <w:rFonts w:ascii="Times New Roman" w:hAnsi="Times New Roman"/>
          <w:sz w:val="24"/>
          <w:szCs w:val="24"/>
          <w:rtl w:val="0"/>
          <w:lang w:val="en-US"/>
        </w:rPr>
        <w:t xml:space="preserve">  </w:t>
      </w:r>
      <w:r>
        <w:rPr>
          <w:rFonts w:ascii="Times New Roman" w:hAnsi="Times New Roman"/>
          <w:sz w:val="24"/>
          <w:szCs w:val="24"/>
          <w:rtl w:val="0"/>
          <w:lang w:val="en-US"/>
        </w:rPr>
        <w:t>Agreements can't be made to regulate the sale of illicit goods and services. If a drug dealer's consumer fails to pay, the seller is unable to execute the agreement. All parties must demonstrate legal purpose, which means that they want their contract's outcomes to be totally lawful.</w:t>
      </w:r>
    </w:p>
    <w:p>
      <w:pPr>
        <w:pStyle w:val="Default"/>
        <w:spacing w:line="240" w:lineRule="auto"/>
        <w:ind w:left="0" w:firstLine="0"/>
        <w:jc w:val="left"/>
        <w:rPr>
          <w:outline w:val="0"/>
          <w:color w:val="535e6b"/>
          <w:sz w:val="20"/>
          <w:szCs w:val="20"/>
          <w:shd w:val="clear" w:color="auto" w:fill="ffffff"/>
          <w14:textFill>
            <w14:solidFill>
              <w14:srgbClr w14:val="545E6B"/>
            </w14:solidFill>
          </w14:textFill>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Invitation to treat is a bilateral contract. Advertisement is an invitation to treat where</w:t>
      </w:r>
      <w:r>
        <w:rPr>
          <w:rFonts w:ascii="Times New Roman" w:hAnsi="Times New Roman"/>
          <w:sz w:val="24"/>
          <w:szCs w:val="24"/>
          <w:rtl w:val="0"/>
          <w:lang w:val="en-US"/>
        </w:rPr>
        <w:t xml:space="preserve"> the potential customer </w:t>
      </w:r>
      <w:r>
        <w:rPr>
          <w:rFonts w:ascii="Times New Roman" w:hAnsi="Times New Roman"/>
          <w:sz w:val="24"/>
          <w:szCs w:val="24"/>
          <w:rtl w:val="0"/>
          <w:lang w:val="en-US"/>
        </w:rPr>
        <w:t xml:space="preserve">initiates </w:t>
      </w:r>
      <w:r>
        <w:rPr>
          <w:rFonts w:ascii="Times New Roman" w:hAnsi="Times New Roman"/>
          <w:sz w:val="24"/>
          <w:szCs w:val="24"/>
          <w:rtl w:val="0"/>
          <w:lang w:val="en-US"/>
        </w:rPr>
        <w:t>the sales agreement.</w:t>
      </w:r>
      <w:r>
        <w:rPr>
          <w:rFonts w:ascii="Times New Roman" w:hAnsi="Times New Roman"/>
          <w:sz w:val="24"/>
          <w:szCs w:val="24"/>
          <w:rtl w:val="0"/>
          <w:lang w:val="en-US"/>
        </w:rPr>
        <w:t xml:space="preserve"> In the case of Partridge v Crittenden [1968], the defendant was convicted for advertising selling wild birds in a classified section of a magazine which is a violation of the Protection of Birds Act 1954 as it is against the law to sell such birds. He was then charged with the crime and was found guilty, however, it was overturned on appeal. </w:t>
      </w:r>
      <w:r>
        <w:rPr>
          <w:rFonts w:ascii="Times New Roman" w:hAnsi="Times New Roman"/>
          <w:sz w:val="24"/>
          <w:szCs w:val="24"/>
          <w:rtl w:val="0"/>
          <w:lang w:val="en-US"/>
        </w:rPr>
        <w:t>The question on review was if the advertising should be interpreted as an agreement of purchase (in which instance the accused was convicted) or as an invitation to treat (in which situation the accused was not responsible)</w:t>
      </w:r>
      <w:r>
        <w:rPr>
          <w:rFonts w:ascii="Times New Roman" w:hAnsi="Times New Roman"/>
          <w:sz w:val="24"/>
          <w:szCs w:val="24"/>
          <w:rtl w:val="0"/>
          <w:lang w:val="en-US"/>
        </w:rPr>
        <w:t xml:space="preserve"> (LawTeacher, 2013)</w:t>
      </w:r>
      <w:r>
        <w:rPr>
          <w:rFonts w:ascii="Times New Roman" w:hAnsi="Times New Roman"/>
          <w:sz w:val="24"/>
          <w:szCs w:val="24"/>
          <w:rtl w:val="0"/>
        </w:rPr>
        <w:t>.</w:t>
      </w:r>
      <w:r>
        <w:rPr>
          <w:rFonts w:ascii="Times New Roman" w:hAnsi="Times New Roman"/>
          <w:sz w:val="24"/>
          <w:szCs w:val="24"/>
          <w:rtl w:val="0"/>
          <w:lang w:val="en-US"/>
        </w:rPr>
        <w:t xml:space="preserve"> The court </w:t>
      </w:r>
      <w:r>
        <w:rPr>
          <w:rFonts w:ascii="Times New Roman" w:hAnsi="Times New Roman"/>
          <w:sz w:val="24"/>
          <w:szCs w:val="24"/>
          <w:rtl w:val="0"/>
          <w:lang w:val="en-US"/>
        </w:rPr>
        <w:t xml:space="preserve">decided that the advertising was an invitation to treat rather than an offer, and that the accused was not convicted as a result.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Based on the texts, on the 5th of May, Christine has made an offer to Arthur for </w:t>
      </w:r>
      <w:r>
        <w:rPr>
          <w:rFonts w:ascii="Times New Roman" w:hAnsi="Times New Roman" w:hint="default"/>
          <w:sz w:val="24"/>
          <w:szCs w:val="24"/>
          <w:rtl w:val="0"/>
          <w:lang w:val="en-US"/>
        </w:rPr>
        <w:t>£</w:t>
      </w:r>
      <w:r>
        <w:rPr>
          <w:rFonts w:ascii="Times New Roman" w:hAnsi="Times New Roman"/>
          <w:sz w:val="24"/>
          <w:szCs w:val="24"/>
          <w:rtl w:val="0"/>
          <w:lang w:val="en-US"/>
        </w:rPr>
        <w:t xml:space="preserve">11,000. Arthur then made a counter offer for </w:t>
      </w:r>
      <w:r>
        <w:rPr>
          <w:rFonts w:ascii="Times New Roman" w:hAnsi="Times New Roman" w:hint="default"/>
          <w:sz w:val="24"/>
          <w:szCs w:val="24"/>
          <w:rtl w:val="0"/>
          <w:lang w:val="en-US"/>
        </w:rPr>
        <w:t>£</w:t>
      </w:r>
      <w:r>
        <w:rPr>
          <w:rFonts w:ascii="Times New Roman" w:hAnsi="Times New Roman"/>
          <w:sz w:val="24"/>
          <w:szCs w:val="24"/>
          <w:rtl w:val="0"/>
          <w:lang w:val="en-US"/>
        </w:rPr>
        <w:t xml:space="preserve">13,000. She then requested for further information (negotiation) to Arthur if she could pay the </w:t>
      </w:r>
      <w:r>
        <w:rPr>
          <w:rFonts w:ascii="Times New Roman" w:hAnsi="Times New Roman" w:hint="default"/>
          <w:sz w:val="24"/>
          <w:szCs w:val="24"/>
          <w:rtl w:val="0"/>
          <w:lang w:val="en-US"/>
        </w:rPr>
        <w:t>£</w:t>
      </w:r>
      <w:r>
        <w:rPr>
          <w:rFonts w:ascii="Times New Roman" w:hAnsi="Times New Roman"/>
          <w:sz w:val="24"/>
          <w:szCs w:val="24"/>
          <w:rtl w:val="0"/>
          <w:lang w:val="en-US"/>
        </w:rPr>
        <w:t xml:space="preserve">11,000 and pay the remaining </w:t>
      </w:r>
      <w:r>
        <w:rPr>
          <w:rFonts w:ascii="Times New Roman" w:hAnsi="Times New Roman" w:hint="default"/>
          <w:sz w:val="24"/>
          <w:szCs w:val="24"/>
          <w:rtl w:val="0"/>
          <w:lang w:val="en-US"/>
        </w:rPr>
        <w:t>£</w:t>
      </w:r>
      <w:r>
        <w:rPr>
          <w:rFonts w:ascii="Times New Roman" w:hAnsi="Times New Roman"/>
          <w:sz w:val="24"/>
          <w:szCs w:val="24"/>
          <w:rtl w:val="0"/>
          <w:lang w:val="en-US"/>
        </w:rPr>
        <w:t>2,000 once she receives her pay. Assuming Christine negotiated with Arthur, the contract is considered valid. If it was not a negotiation but another counter offer, it is not a valid contract as counter offers cannot be to your own offer. Therefore, Christine</w:t>
      </w:r>
      <w:r>
        <w:rPr>
          <w:rFonts w:ascii="Times New Roman" w:hAnsi="Times New Roman" w:hint="default"/>
          <w:sz w:val="24"/>
          <w:szCs w:val="24"/>
          <w:rtl w:val="0"/>
          <w:lang w:val="en-US"/>
        </w:rPr>
        <w:t>’</w:t>
      </w:r>
      <w:r>
        <w:rPr>
          <w:rFonts w:ascii="Times New Roman" w:hAnsi="Times New Roman"/>
          <w:sz w:val="24"/>
          <w:szCs w:val="24"/>
          <w:rtl w:val="0"/>
          <w:lang w:val="en-US"/>
        </w:rPr>
        <w:t xml:space="preserve">s offer was a valid contract.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Dennis on the other hand, showed interest in buying the watch from Arthur via email. He then agreed to pay </w:t>
      </w:r>
      <w:r>
        <w:rPr>
          <w:rFonts w:ascii="Times New Roman" w:hAnsi="Times New Roman" w:hint="default"/>
          <w:sz w:val="24"/>
          <w:szCs w:val="24"/>
          <w:rtl w:val="0"/>
          <w:lang w:val="en-US"/>
        </w:rPr>
        <w:t>£</w:t>
      </w:r>
      <w:r>
        <w:rPr>
          <w:rFonts w:ascii="Times New Roman" w:hAnsi="Times New Roman"/>
          <w:sz w:val="24"/>
          <w:szCs w:val="24"/>
          <w:rtl w:val="0"/>
          <w:lang w:val="en-US"/>
        </w:rPr>
        <w:t xml:space="preserve">13,000 to Arthur, hence, it is a valid contract with valid acceptance. This is acceptance by modern methods of communication as emails are considered as a modern way of communicating. In the case of Brinkibon Ltd v Stahag Stahl GmbH [1983], Brinkibon Ltd </w:t>
      </w:r>
      <w:r>
        <w:rPr>
          <w:rFonts w:ascii="Times New Roman" w:hAnsi="Times New Roman"/>
          <w:sz w:val="24"/>
          <w:szCs w:val="24"/>
          <w:rtl w:val="0"/>
          <w:lang w:val="en-US"/>
        </w:rPr>
        <w:t xml:space="preserve">intended to file a lawsuit </w:t>
      </w:r>
      <w:r>
        <w:rPr>
          <w:rFonts w:ascii="Times New Roman" w:hAnsi="Times New Roman"/>
          <w:sz w:val="24"/>
          <w:szCs w:val="24"/>
          <w:rtl w:val="0"/>
          <w:lang w:val="en-US"/>
        </w:rPr>
        <w:t xml:space="preserve">towards </w:t>
      </w:r>
      <w:r>
        <w:rPr>
          <w:rFonts w:ascii="Times New Roman" w:hAnsi="Times New Roman"/>
          <w:sz w:val="24"/>
          <w:szCs w:val="24"/>
          <w:rtl w:val="0"/>
          <w:lang w:val="en-US"/>
        </w:rPr>
        <w:t>Stahag Stahl for breach of fiduciary duty won in the High Court of London. Brinkibon Ltd was purchasing metal from the accused, who were Austrian vendors. The plaintiffs accepted the offer through Telex and transmitted it to the accused in Vienna.</w:t>
      </w:r>
      <w:r>
        <w:rPr>
          <w:rFonts w:ascii="Times New Roman" w:hAnsi="Times New Roman"/>
          <w:sz w:val="24"/>
          <w:szCs w:val="24"/>
          <w:rtl w:val="0"/>
          <w:lang w:val="en-US"/>
        </w:rPr>
        <w:t xml:space="preserve"> </w:t>
      </w:r>
      <w:r>
        <w:rPr>
          <w:rFonts w:ascii="Times New Roman" w:hAnsi="Times New Roman"/>
          <w:sz w:val="24"/>
          <w:szCs w:val="24"/>
          <w:rtl w:val="0"/>
          <w:lang w:val="en-US"/>
        </w:rPr>
        <w:t>The European Court of Justice's Court of Arbitration has determined that if an agreement was established in England, it can only be handled with under English law. The defendants challenged the court's judgement, claiming that the agreement should have been made in Austria.The postal regulation shall not require to immediate modes of communication, such as Telex, according to the appeal. The court, however, determined that there was no uniform law and that each instance would have to be decided on the basis of purpose and commercial practise.</w:t>
      </w:r>
      <w:r>
        <w:rPr>
          <w:rFonts w:ascii="Times New Roman" w:hAnsi="Times New Roman"/>
          <w:sz w:val="24"/>
          <w:szCs w:val="24"/>
          <w:rtl w:val="0"/>
          <w:lang w:val="en-US"/>
        </w:rPr>
        <w:t xml:space="preserve"> This was reaffirmed by the case of Entores v Miles Far East Co. [1955] (LawTeacher, 2013).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Last but not least, there is no valid contract between Ben and Arthur. Ben</w:t>
      </w:r>
      <w:r>
        <w:rPr>
          <w:rFonts w:ascii="Times New Roman" w:hAnsi="Times New Roman" w:hint="default"/>
          <w:sz w:val="24"/>
          <w:szCs w:val="24"/>
          <w:rtl w:val="0"/>
          <w:lang w:val="en-US"/>
        </w:rPr>
        <w:t>’</w:t>
      </w:r>
      <w:r>
        <w:rPr>
          <w:rFonts w:ascii="Times New Roman" w:hAnsi="Times New Roman"/>
          <w:sz w:val="24"/>
          <w:szCs w:val="24"/>
          <w:rtl w:val="0"/>
          <w:lang w:val="en-US"/>
        </w:rPr>
        <w:t xml:space="preserve">s letter was not a contract as postal rule does not apply because offer, acceptance is to be communicated as soon as the letter is posted. In the case of Household Fire Insurance v Grant [1879], </w:t>
      </w:r>
      <w:r>
        <w:rPr>
          <w:rFonts w:ascii="Times New Roman" w:hAnsi="Times New Roman"/>
          <w:sz w:val="24"/>
          <w:szCs w:val="24"/>
          <w:rtl w:val="0"/>
          <w:lang w:val="en-US"/>
        </w:rPr>
        <w:t>Mr Grant was assigned stocks by the complainants, and they finalised the transaction by sending him a document with notification, which was missing in the mail. When the firm declared bankruptcy, the court administrator</w:t>
      </w:r>
      <w:r>
        <w:rPr>
          <w:rFonts w:ascii="Times New Roman" w:hAnsi="Times New Roman" w:hint="default"/>
          <w:sz w:val="24"/>
          <w:szCs w:val="24"/>
          <w:rtl w:val="0"/>
        </w:rPr>
        <w:t> </w:t>
      </w:r>
      <w:r>
        <w:rPr>
          <w:rFonts w:ascii="Times New Roman" w:hAnsi="Times New Roman"/>
          <w:sz w:val="24"/>
          <w:szCs w:val="24"/>
          <w:rtl w:val="0"/>
          <w:lang w:val="en-US"/>
        </w:rPr>
        <w:t>demanded payment of the stocks from the defendant. Mr Grant declined to accept because he did</w:t>
      </w:r>
      <w:r>
        <w:rPr>
          <w:rFonts w:ascii="Times New Roman" w:hAnsi="Times New Roman"/>
          <w:sz w:val="24"/>
          <w:szCs w:val="24"/>
          <w:rtl w:val="0"/>
          <w:lang w:val="en-US"/>
        </w:rPr>
        <w:t xml:space="preserve"> </w:t>
      </w:r>
      <w:r>
        <w:rPr>
          <w:rFonts w:ascii="Times New Roman" w:hAnsi="Times New Roman"/>
          <w:sz w:val="24"/>
          <w:szCs w:val="24"/>
          <w:rtl w:val="0"/>
        </w:rPr>
        <w:t>n</w:t>
      </w:r>
      <w:r>
        <w:rPr>
          <w:rFonts w:ascii="Times New Roman" w:hAnsi="Times New Roman"/>
          <w:sz w:val="24"/>
          <w:szCs w:val="24"/>
          <w:rtl w:val="0"/>
          <w:lang w:val="en-US"/>
        </w:rPr>
        <w:t>o</w:t>
      </w:r>
      <w:r>
        <w:rPr>
          <w:rFonts w:ascii="Times New Roman" w:hAnsi="Times New Roman"/>
          <w:sz w:val="24"/>
          <w:szCs w:val="24"/>
          <w:rtl w:val="0"/>
          <w:lang w:val="en-US"/>
        </w:rPr>
        <w:t xml:space="preserve">t feel he was a stockholder or that an agreement </w:t>
      </w:r>
      <w:r>
        <w:rPr>
          <w:rFonts w:ascii="Times New Roman" w:hAnsi="Times New Roman"/>
          <w:sz w:val="24"/>
          <w:szCs w:val="24"/>
          <w:rtl w:val="0"/>
          <w:lang w:val="en-US"/>
        </w:rPr>
        <w:t xml:space="preserve">even </w:t>
      </w:r>
      <w:r>
        <w:rPr>
          <w:rFonts w:ascii="Times New Roman" w:hAnsi="Times New Roman"/>
          <w:sz w:val="24"/>
          <w:szCs w:val="24"/>
          <w:rtl w:val="0"/>
          <w:lang w:val="en-US"/>
        </w:rPr>
        <w:t>existed.</w:t>
      </w:r>
      <w:r>
        <w:rPr>
          <w:rFonts w:ascii="Times New Roman" w:hAnsi="Times New Roman"/>
          <w:sz w:val="24"/>
          <w:szCs w:val="24"/>
          <w:rtl w:val="0"/>
          <w:lang w:val="en-US"/>
        </w:rPr>
        <w:t xml:space="preserve"> </w:t>
      </w:r>
      <w:r>
        <w:rPr>
          <w:rFonts w:ascii="Times New Roman" w:hAnsi="Times New Roman"/>
          <w:sz w:val="24"/>
          <w:szCs w:val="24"/>
          <w:rtl w:val="0"/>
          <w:lang w:val="en-US"/>
        </w:rPr>
        <w:t>The appeal focused as to whether Mr Grant had accepted a stock proposition and whether he and his insurance firm had entered into a legally enforceable agreement.</w:t>
      </w:r>
      <w:r>
        <w:rPr>
          <w:rFonts w:ascii="Times New Roman" w:hAnsi="Times New Roman"/>
          <w:sz w:val="24"/>
          <w:szCs w:val="24"/>
          <w:rtl w:val="0"/>
          <w:lang w:val="en-US"/>
        </w:rPr>
        <w:t xml:space="preserve"> </w:t>
      </w:r>
      <w:r>
        <w:rPr>
          <w:rFonts w:ascii="Times New Roman" w:hAnsi="Times New Roman"/>
          <w:sz w:val="24"/>
          <w:szCs w:val="24"/>
          <w:rtl w:val="0"/>
          <w:lang w:val="en-US"/>
        </w:rPr>
        <w:t>The postal rule was upheld, which stipulates that acceptance is valid when it is sent, as long as both parties regard the postal service to be an appropriate mode of communication. This law is applicable</w:t>
      </w:r>
      <w:r>
        <w:rPr>
          <w:rFonts w:ascii="Times New Roman" w:hAnsi="Times New Roman"/>
          <w:sz w:val="24"/>
          <w:szCs w:val="24"/>
          <w:rtl w:val="0"/>
          <w:lang w:val="en-US"/>
        </w:rPr>
        <w:t xml:space="preserve"> in this case</w:t>
      </w:r>
      <w:r>
        <w:rPr>
          <w:rFonts w:ascii="Times New Roman" w:hAnsi="Times New Roman"/>
          <w:sz w:val="24"/>
          <w:szCs w:val="24"/>
          <w:rtl w:val="0"/>
          <w:lang w:val="en-US"/>
        </w:rPr>
        <w:t xml:space="preserve"> even if Mr Grant did not</w:t>
      </w:r>
      <w:r>
        <w:rPr>
          <w:rFonts w:ascii="Times New Roman" w:hAnsi="Times New Roman" w:hint="default"/>
          <w:sz w:val="24"/>
          <w:szCs w:val="24"/>
          <w:rtl w:val="0"/>
        </w:rPr>
        <w:t> </w:t>
      </w:r>
      <w:r>
        <w:rPr>
          <w:rFonts w:ascii="Times New Roman" w:hAnsi="Times New Roman"/>
          <w:sz w:val="24"/>
          <w:szCs w:val="24"/>
          <w:rtl w:val="0"/>
          <w:lang w:val="en-US"/>
        </w:rPr>
        <w:t xml:space="preserve">received the letter. According to Lord Justice Thesiger, indicating acceptance results in a'meeting of minds,' which results in a legally enforceable </w:t>
      </w:r>
      <w:r>
        <w:rPr>
          <w:rFonts w:ascii="Times New Roman" w:hAnsi="Times New Roman"/>
          <w:sz w:val="24"/>
          <w:szCs w:val="24"/>
          <w:rtl w:val="0"/>
          <w:lang w:val="en-US"/>
        </w:rPr>
        <w:t>agreement (LawTeacher, 2013)</w:t>
      </w:r>
      <w:r>
        <w:rPr>
          <w:rFonts w:ascii="Times New Roman" w:hAnsi="Times New Roman"/>
          <w:sz w:val="24"/>
          <w:szCs w:val="24"/>
          <w:rtl w:val="0"/>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(932 words)</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REFERENCES:</w:t>
      </w:r>
      <w:r>
        <w:rPr>
          <w:rFonts w:ascii="Times New Roman" w:hAnsi="Times New Roman"/>
          <w:sz w:val="24"/>
          <w:szCs w:val="24"/>
          <w:rtl w:val="0"/>
          <w:lang w:val="en-US"/>
        </w:rPr>
        <w:t xml:space="preserve"> </w:t>
      </w:r>
    </w:p>
    <w:p>
      <w:pPr>
        <w:pStyle w:val="Body"/>
        <w:spacing w:line="360" w:lineRule="auto"/>
        <w:jc w:val="both"/>
        <w:rPr>
          <w:rFonts w:ascii="Times New Roman" w:cs="Times New Roman" w:hAnsi="Times New Roman" w:eastAsia="Times New Roman"/>
          <w:sz w:val="24"/>
          <w:szCs w:val="24"/>
        </w:rPr>
      </w:pP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i w:val="1"/>
          <w:iCs w:val="1"/>
          <w:sz w:val="24"/>
          <w:szCs w:val="24"/>
          <w:rtl w:val="0"/>
          <w:lang w:val="en-US"/>
        </w:rPr>
        <w:t xml:space="preserve">Privity of contract - practical law. </w:t>
      </w:r>
      <w:r>
        <w:rPr>
          <w:rFonts w:ascii="Times New Roman" w:hAnsi="Times New Roman"/>
          <w:sz w:val="24"/>
          <w:szCs w:val="24"/>
          <w:rtl w:val="0"/>
          <w:lang w:val="en-US"/>
        </w:rPr>
        <w:t>THOMSON REUTERS PRACTICAL LAW. (2022). Retrieved from https://uk.practicallaw.thomsonreuters.com/8-107-7056?contextDate=(sc.Default)</w:t>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 xml:space="preserve">Green, L.,2021. What is privity? </w:t>
      </w:r>
      <w:r>
        <w:rPr>
          <w:rFonts w:ascii="Times New Roman" w:hAnsi="Times New Roman"/>
          <w:i w:val="1"/>
          <w:iCs w:val="1"/>
          <w:sz w:val="24"/>
          <w:szCs w:val="24"/>
          <w:rtl w:val="0"/>
          <w:lang w:val="en-US"/>
        </w:rPr>
        <w:t xml:space="preserve">Investopedia. </w:t>
      </w:r>
      <w:r>
        <w:rPr>
          <w:rFonts w:ascii="Times New Roman" w:hAnsi="Times New Roman"/>
          <w:sz w:val="24"/>
          <w:szCs w:val="24"/>
          <w:rtl w:val="0"/>
          <w:lang w:val="en-US"/>
        </w:rPr>
        <w:t>Retrieved from https://www.investopedia.com/terms/p/privity.asp</w:t>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LawTeacher. November 2013. Cutter v Powell - 1975. [online]. Retrieved from https://www.lawteacher.net/cases/cutter-v-powell.php?vref=1</w:t>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LawTeacher.net. November 2018. Consideration &amp; Promissory Estoppel Lecture. [online]. Retrieved from: https://www.lawteacher.net/lectures/contract-law/formation/consideration-promissory-estoppel/?vref=1</w:t>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 xml:space="preserve">Anon, Past consideration: Upcounsel 2022. </w:t>
      </w:r>
      <w:r>
        <w:rPr>
          <w:rFonts w:ascii="Times New Roman" w:hAnsi="Times New Roman"/>
          <w:i w:val="1"/>
          <w:iCs w:val="1"/>
          <w:sz w:val="24"/>
          <w:szCs w:val="24"/>
          <w:rtl w:val="0"/>
          <w:lang w:val="en-US"/>
        </w:rPr>
        <w:t xml:space="preserve">UpCounsel. </w:t>
      </w:r>
      <w:r>
        <w:rPr>
          <w:rFonts w:ascii="Times New Roman" w:hAnsi="Times New Roman"/>
          <w:sz w:val="24"/>
          <w:szCs w:val="24"/>
          <w:rtl w:val="0"/>
          <w:lang w:val="en-US"/>
        </w:rPr>
        <w:t>Retrieved from https://www.upcounsel.com/past-consideration</w:t>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LawTeacher. November 2013. Partridge v Crittenden - 1968. [online]. Retrieved from https://www.lawteacher.net/cases/partridge-v-crittenden.php?vref=1</w:t>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 xml:space="preserve">LawTeacher. November 2013. Brinkibon v Stahag Stahl - 1983. [online]. Retrieved from https://www.lawteacher.net/cases/brinkibon-v-stahag-stahl.php?vref=1 </w:t>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Viky.martzoukou, England and Wales High Court (King</w:t>
      </w:r>
      <w:r>
        <w:rPr>
          <w:rFonts w:ascii="Times New Roman" w:hAnsi="Times New Roman" w:hint="default"/>
          <w:sz w:val="24"/>
          <w:szCs w:val="24"/>
          <w:rtl w:val="0"/>
          <w:lang w:val="en-US"/>
        </w:rPr>
        <w:t>’</w:t>
      </w:r>
      <w:r>
        <w:rPr>
          <w:rFonts w:ascii="Times New Roman" w:hAnsi="Times New Roman"/>
          <w:sz w:val="24"/>
          <w:szCs w:val="24"/>
          <w:rtl w:val="0"/>
          <w:lang w:val="en-US"/>
        </w:rPr>
        <w:t xml:space="preserve">s Bench Division) decisions. </w:t>
      </w:r>
      <w:r>
        <w:rPr>
          <w:rFonts w:ascii="Times New Roman" w:hAnsi="Times New Roman"/>
          <w:i w:val="1"/>
          <w:iCs w:val="1"/>
          <w:sz w:val="24"/>
          <w:szCs w:val="24"/>
          <w:rtl w:val="0"/>
          <w:lang w:val="en-US"/>
        </w:rPr>
        <w:t xml:space="preserve">Cutter v Powell [1795] EWHC KB J13 (9 June 1795). </w:t>
      </w:r>
      <w:r>
        <w:rPr>
          <w:rFonts w:ascii="Times New Roman" w:hAnsi="Times New Roman"/>
          <w:sz w:val="24"/>
          <w:szCs w:val="24"/>
          <w:rtl w:val="0"/>
          <w:lang w:val="en-US"/>
        </w:rPr>
        <w:t>Retrieved from https://www.bailii.org/ew/cases/EWHC/KB/1795/J13.html</w:t>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 xml:space="preserve">Anon, </w:t>
      </w:r>
      <w:r>
        <w:rPr>
          <w:rFonts w:ascii="Times New Roman" w:hAnsi="Times New Roman"/>
          <w:i w:val="1"/>
          <w:iCs w:val="1"/>
          <w:sz w:val="24"/>
          <w:szCs w:val="24"/>
          <w:rtl w:val="0"/>
          <w:lang w:val="en-US"/>
        </w:rPr>
        <w:t xml:space="preserve">Discharge through performance. </w:t>
      </w:r>
      <w:r>
        <w:rPr>
          <w:rFonts w:ascii="Times New Roman" w:hAnsi="Times New Roman"/>
          <w:sz w:val="24"/>
          <w:szCs w:val="24"/>
          <w:rtl w:val="0"/>
          <w:lang w:val="en-US"/>
        </w:rPr>
        <w:t xml:space="preserve">Retrieved from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"https://www.e-lawresources.co.uk/Discharge-through-performance.php"</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https://www.e-lawresources.co.uk/Discharge-through-performance.php</w:t>
      </w:r>
      <w:r>
        <w:rPr>
          <w:rFonts w:ascii="Times New Roman" w:cs="Times New Roman" w:hAnsi="Times New Roman" w:eastAsia="Times New Roman"/>
          <w:sz w:val="24"/>
          <w:szCs w:val="24"/>
        </w:rPr>
        <w:fldChar w:fldCharType="end" w:fldLock="0"/>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Anon, Contract - practical law. Retrieved from https://uk.practicallaw.thomsonreuters.com/4-107-6271?contextDate=(sc.Default)</w:t>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LawTeacher. November 2013. Household Fire Insurance v Grant - 1879. [online]. Retrieved from https://www.lawteacher.net/cases/household-fire-insurance-v-grant.php?vref=1</w:t>
      </w:r>
    </w:p>
    <w:p>
      <w:pPr>
        <w:pStyle w:val="Body"/>
        <w:numPr>
          <w:ilvl w:val="0"/>
          <w:numId w:val="2"/>
        </w:numPr>
        <w:spacing w:after="100" w:line="360" w:lineRule="auto"/>
        <w:jc w:val="both"/>
        <w:rPr>
          <w:rFonts w:ascii="Times New Roman" w:hAnsi="Times New Roman"/>
          <w:sz w:val="24"/>
          <w:szCs w:val="24"/>
          <w:lang w:val="en-US"/>
        </w:rPr>
      </w:pPr>
      <w:r>
        <w:rPr>
          <w:rFonts w:ascii="Times New Roman" w:hAnsi="Times New Roman"/>
          <w:sz w:val="24"/>
          <w:szCs w:val="24"/>
          <w:rtl w:val="0"/>
          <w:lang w:val="en-US"/>
        </w:rPr>
        <w:t>Viky.martzoukou, England and Wales High Court (King</w:t>
      </w:r>
      <w:r>
        <w:rPr>
          <w:rFonts w:ascii="Times New Roman" w:hAnsi="Times New Roman" w:hint="default"/>
          <w:sz w:val="24"/>
          <w:szCs w:val="24"/>
          <w:rtl w:val="0"/>
          <w:lang w:val="en-US"/>
        </w:rPr>
        <w:t>’</w:t>
      </w:r>
      <w:r>
        <w:rPr>
          <w:rFonts w:ascii="Times New Roman" w:hAnsi="Times New Roman"/>
          <w:sz w:val="24"/>
          <w:szCs w:val="24"/>
          <w:rtl w:val="0"/>
          <w:lang w:val="en-US"/>
        </w:rPr>
        <w:t xml:space="preserve">s Bench Division) decisions. </w:t>
      </w:r>
      <w:r>
        <w:rPr>
          <w:rFonts w:ascii="Times New Roman" w:hAnsi="Times New Roman"/>
          <w:i w:val="1"/>
          <w:iCs w:val="1"/>
          <w:sz w:val="24"/>
          <w:szCs w:val="24"/>
          <w:rtl w:val="0"/>
          <w:lang w:val="en-US"/>
        </w:rPr>
        <w:t xml:space="preserve">Adams &amp; Ors v Lindsell &amp; Ors [1818] EWHC KB J59 (05 June 1818). </w:t>
      </w:r>
      <w:r>
        <w:rPr>
          <w:rFonts w:ascii="Times New Roman" w:hAnsi="Times New Roman"/>
          <w:sz w:val="24"/>
          <w:szCs w:val="24"/>
          <w:rtl w:val="0"/>
          <w:lang w:val="en-US"/>
        </w:rPr>
        <w:t>Retrieved from https://www.bailii.org/ew/cases/EWHC/KB/1818/J59.html</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200" w:line="360" w:lineRule="auto"/>
      <w:ind w:left="960" w:right="0" w:hanging="96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numbering" w:styleId="Numbered">
    <w:name w:val="Numbered"/>
    <w:pPr>
      <w:numPr>
        <w:numId w:val="1"/>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