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76C870" w14:textId="77777777" w:rsidR="00BD506C" w:rsidRDefault="00BD506C" w:rsidP="00BD506C">
      <w:pPr>
        <w:spacing w:before="212"/>
        <w:jc w:val="center"/>
        <w:rPr>
          <w:rFonts w:ascii="Arial"/>
          <w:b/>
          <w:sz w:val="56"/>
        </w:rPr>
      </w:pPr>
      <w:r>
        <w:rPr>
          <w:rFonts w:ascii="Arial"/>
          <w:b/>
          <w:noProof/>
          <w:sz w:val="56"/>
        </w:rPr>
        <w:drawing>
          <wp:inline distT="0" distB="0" distL="0" distR="0" wp14:anchorId="53752423" wp14:editId="7FD1E9BF">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49F4516B" w14:textId="77777777" w:rsidR="00BD506C" w:rsidRPr="0066224E" w:rsidRDefault="00BD506C" w:rsidP="00BD506C">
      <w:pPr>
        <w:spacing w:before="212"/>
        <w:jc w:val="center"/>
        <w:rPr>
          <w:rFonts w:ascii="Arial"/>
          <w:b/>
          <w:sz w:val="36"/>
          <w:szCs w:val="36"/>
        </w:rPr>
      </w:pPr>
    </w:p>
    <w:p w14:paraId="3CE462D1" w14:textId="77777777" w:rsidR="00BD506C" w:rsidRDefault="00BD506C" w:rsidP="00BD506C">
      <w:pPr>
        <w:spacing w:before="212"/>
        <w:rPr>
          <w:rFonts w:ascii="Arial"/>
          <w:b/>
          <w:sz w:val="56"/>
        </w:rPr>
      </w:pPr>
    </w:p>
    <w:p w14:paraId="20AFC9D0" w14:textId="057392ED" w:rsidR="00BD506C" w:rsidRDefault="00BD506C" w:rsidP="00BD506C">
      <w:pPr>
        <w:spacing w:before="212"/>
        <w:rPr>
          <w:rFonts w:ascii="Arial"/>
          <w:b/>
          <w:sz w:val="48"/>
          <w:szCs w:val="48"/>
        </w:rPr>
      </w:pPr>
      <w:r w:rsidRPr="00DD5969">
        <w:rPr>
          <w:rFonts w:ascii="Arial"/>
          <w:b/>
          <w:sz w:val="48"/>
          <w:szCs w:val="48"/>
        </w:rPr>
        <w:t>MODULE CODE:</w:t>
      </w:r>
      <w:r>
        <w:rPr>
          <w:rFonts w:ascii="Arial"/>
          <w:b/>
          <w:sz w:val="48"/>
          <w:szCs w:val="48"/>
        </w:rPr>
        <w:t xml:space="preserve"> ECDE7020</w:t>
      </w:r>
    </w:p>
    <w:p w14:paraId="12DDFAE5" w14:textId="77777777" w:rsidR="00BD506C" w:rsidRDefault="00BD506C" w:rsidP="00BD506C">
      <w:pPr>
        <w:spacing w:before="212"/>
        <w:rPr>
          <w:rFonts w:ascii="Arial"/>
          <w:b/>
          <w:sz w:val="48"/>
          <w:szCs w:val="48"/>
        </w:rPr>
      </w:pPr>
    </w:p>
    <w:p w14:paraId="68EEDDDC" w14:textId="0BF93D0B" w:rsidR="00BD506C" w:rsidRPr="00DD5969" w:rsidRDefault="00BD506C" w:rsidP="00BD506C">
      <w:pPr>
        <w:spacing w:before="212"/>
        <w:rPr>
          <w:rFonts w:ascii="Arial"/>
          <w:b/>
          <w:sz w:val="48"/>
          <w:szCs w:val="48"/>
        </w:rPr>
      </w:pPr>
      <w:r>
        <w:rPr>
          <w:rFonts w:ascii="Arial"/>
          <w:b/>
          <w:sz w:val="48"/>
          <w:szCs w:val="48"/>
        </w:rPr>
        <w:t xml:space="preserve">ASSESSMENT COMPONENT: </w:t>
      </w:r>
      <w:r w:rsidR="0029526E">
        <w:rPr>
          <w:rFonts w:ascii="Arial"/>
          <w:b/>
          <w:sz w:val="48"/>
          <w:szCs w:val="48"/>
        </w:rPr>
        <w:t>2</w:t>
      </w:r>
    </w:p>
    <w:p w14:paraId="2EC22361" w14:textId="77777777" w:rsidR="00BD506C" w:rsidRDefault="00BD506C" w:rsidP="00BD506C">
      <w:pPr>
        <w:spacing w:before="7"/>
        <w:jc w:val="center"/>
        <w:rPr>
          <w:rFonts w:ascii="Arial"/>
          <w:b/>
          <w:sz w:val="44"/>
        </w:rPr>
      </w:pPr>
    </w:p>
    <w:p w14:paraId="68D40DA3" w14:textId="640A950B" w:rsidR="00BD506C" w:rsidRPr="00DD5969" w:rsidRDefault="00BD506C" w:rsidP="00BD506C">
      <w:pPr>
        <w:spacing w:before="3"/>
        <w:rPr>
          <w:rFonts w:ascii="Arial"/>
          <w:b/>
          <w:sz w:val="48"/>
          <w:szCs w:val="48"/>
        </w:rPr>
      </w:pPr>
      <w:r w:rsidRPr="00DD5969">
        <w:rPr>
          <w:rFonts w:ascii="Arial"/>
          <w:b/>
          <w:sz w:val="48"/>
          <w:szCs w:val="48"/>
        </w:rPr>
        <w:t>STUDENT NAME:</w:t>
      </w:r>
      <w:r>
        <w:rPr>
          <w:rFonts w:ascii="Arial"/>
          <w:b/>
          <w:sz w:val="48"/>
          <w:szCs w:val="48"/>
        </w:rPr>
        <w:t xml:space="preserve"> Yiying Jiao</w:t>
      </w:r>
    </w:p>
    <w:p w14:paraId="2A1C1868" w14:textId="77777777" w:rsidR="00BD506C" w:rsidRPr="00DD5969" w:rsidRDefault="00BD506C" w:rsidP="00BD506C">
      <w:pPr>
        <w:spacing w:before="3"/>
        <w:rPr>
          <w:rFonts w:ascii="Arial"/>
          <w:b/>
          <w:sz w:val="48"/>
          <w:szCs w:val="48"/>
        </w:rPr>
      </w:pPr>
    </w:p>
    <w:p w14:paraId="12E120BB" w14:textId="00B89FF2" w:rsidR="00BD506C" w:rsidRPr="00DD5969" w:rsidRDefault="00BD506C" w:rsidP="00BD506C">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1500112</w:t>
      </w:r>
    </w:p>
    <w:p w14:paraId="61B15C54" w14:textId="77777777" w:rsidR="00BD506C" w:rsidRDefault="00BD506C" w:rsidP="00BD506C">
      <w:pPr>
        <w:rPr>
          <w:rFonts w:ascii="Arial"/>
          <w:b/>
          <w:sz w:val="47"/>
        </w:rPr>
      </w:pPr>
    </w:p>
    <w:p w14:paraId="6C2FFDC5" w14:textId="77777777" w:rsidR="00BD506C" w:rsidRPr="00192D3C" w:rsidRDefault="00BD506C" w:rsidP="00BD506C">
      <w:pPr>
        <w:ind w:left="100"/>
        <w:jc w:val="center"/>
        <w:rPr>
          <w:rFonts w:ascii="Arial"/>
          <w:b/>
          <w:sz w:val="47"/>
        </w:rPr>
      </w:pPr>
    </w:p>
    <w:p w14:paraId="0827670E" w14:textId="77777777" w:rsidR="00BD506C" w:rsidRDefault="00BD506C" w:rsidP="00BD506C">
      <w:pPr>
        <w:ind w:left="100"/>
        <w:rPr>
          <w:rFonts w:ascii="Arial"/>
          <w:b/>
          <w:sz w:val="47"/>
        </w:rPr>
      </w:pPr>
    </w:p>
    <w:p w14:paraId="6AA93A8E" w14:textId="77777777" w:rsidR="00BD506C" w:rsidRDefault="00BD506C" w:rsidP="00BD506C">
      <w:pPr>
        <w:ind w:left="100"/>
        <w:rPr>
          <w:rFonts w:ascii="Arial"/>
          <w:b/>
          <w:sz w:val="47"/>
        </w:rPr>
      </w:pPr>
    </w:p>
    <w:p w14:paraId="79385BCF" w14:textId="77777777" w:rsidR="00BD506C" w:rsidRPr="00192D3C" w:rsidRDefault="00BD506C" w:rsidP="00BD506C">
      <w:pPr>
        <w:ind w:left="100"/>
        <w:rPr>
          <w:rFonts w:ascii="Arial"/>
          <w:b/>
          <w:sz w:val="47"/>
        </w:rPr>
      </w:pPr>
      <w:r w:rsidRPr="00192D3C">
        <w:rPr>
          <w:rFonts w:ascii="Arial"/>
          <w:b/>
          <w:sz w:val="47"/>
        </w:rPr>
        <w:t>Doctorate in Education (EdD)</w:t>
      </w:r>
    </w:p>
    <w:p w14:paraId="02270891" w14:textId="77777777" w:rsidR="00BD506C" w:rsidRPr="00192D3C" w:rsidRDefault="00BD506C" w:rsidP="00BD506C">
      <w:pPr>
        <w:jc w:val="center"/>
        <w:rPr>
          <w:rFonts w:ascii="Arial"/>
          <w:b/>
          <w:sz w:val="40"/>
        </w:rPr>
      </w:pPr>
    </w:p>
    <w:p w14:paraId="2E80599A" w14:textId="77777777" w:rsidR="00BD506C" w:rsidRPr="00E243A8" w:rsidRDefault="00BD506C" w:rsidP="00BD506C">
      <w:pPr>
        <w:rPr>
          <w:b/>
          <w:bCs/>
          <w:sz w:val="32"/>
          <w:szCs w:val="32"/>
          <w:u w:val="single"/>
        </w:rPr>
      </w:pPr>
      <w:r w:rsidRPr="00E243A8">
        <w:rPr>
          <w:b/>
          <w:bCs/>
          <w:sz w:val="32"/>
          <w:szCs w:val="32"/>
          <w:u w:val="single"/>
        </w:rPr>
        <w:t>AI Acknowledgement</w:t>
      </w:r>
    </w:p>
    <w:p w14:paraId="0CFA21E6" w14:textId="77777777" w:rsidR="00BD506C" w:rsidRDefault="00BD506C" w:rsidP="00BD506C"/>
    <w:p w14:paraId="72F31A77" w14:textId="77777777" w:rsidR="00BD506C" w:rsidRDefault="00BD506C" w:rsidP="00BD506C">
      <w:r w:rsidRPr="00E243A8">
        <w:t xml:space="preserve">I confirm that I have not used any AI tools in the research and creation of this assignment. </w:t>
      </w:r>
    </w:p>
    <w:p w14:paraId="734B43FC" w14:textId="77777777" w:rsidR="00BD506C" w:rsidRDefault="00BD506C" w:rsidP="00BD506C">
      <w:r w:rsidRPr="00E243A8">
        <w:t xml:space="preserve">I confirm that I have not presented any AI generated materials as my own work. </w:t>
      </w:r>
    </w:p>
    <w:p w14:paraId="297C0506" w14:textId="77777777" w:rsidR="00BD506C" w:rsidRPr="00E243A8" w:rsidRDefault="00BD506C" w:rsidP="00BD506C">
      <w:r w:rsidRPr="00E243A8">
        <w:t xml:space="preserve">I confirm </w:t>
      </w:r>
      <w:r>
        <w:t xml:space="preserve">that </w:t>
      </w:r>
      <w:r w:rsidRPr="00E243A8">
        <w:t>I have copies of my drafts, notes, and other resources I used, which I may be asked to provide in evidence.</w:t>
      </w:r>
    </w:p>
    <w:p w14:paraId="04F4DD27" w14:textId="2BA45E3C" w:rsidR="00BD506C" w:rsidRDefault="00BD506C">
      <w:pPr>
        <w:rPr>
          <w:b/>
          <w:bCs/>
        </w:rPr>
      </w:pPr>
      <w:r>
        <w:rPr>
          <w:b/>
          <w:bCs/>
        </w:rPr>
        <w:br w:type="page"/>
      </w:r>
    </w:p>
    <w:p w14:paraId="5BC0013B" w14:textId="160C85AC" w:rsidR="005331F9" w:rsidRPr="004822C1" w:rsidRDefault="004822C1">
      <w:pPr>
        <w:rPr>
          <w:b/>
          <w:bCs/>
          <w:sz w:val="28"/>
          <w:szCs w:val="28"/>
        </w:rPr>
      </w:pPr>
      <w:r w:rsidRPr="004822C1">
        <w:rPr>
          <w:b/>
          <w:bCs/>
          <w:sz w:val="28"/>
          <w:szCs w:val="28"/>
        </w:rPr>
        <w:lastRenderedPageBreak/>
        <w:t>Understanding international students’ academic challenges in taught master’s degree courses in Education Studies: perceptions of the programme team in a Welsh non-Russell Group university.</w:t>
      </w:r>
    </w:p>
    <w:p w14:paraId="75D3EEC3" w14:textId="77777777" w:rsidR="00F53675" w:rsidRDefault="00F53675"/>
    <w:p w14:paraId="48B5193A" w14:textId="52D5AE55" w:rsidR="00F53675" w:rsidRDefault="00F53675">
      <w:r w:rsidRPr="00D52F53">
        <w:rPr>
          <w:b/>
          <w:bCs/>
        </w:rPr>
        <w:t>Introduction</w:t>
      </w:r>
      <w:r>
        <w:t xml:space="preserve"> </w:t>
      </w:r>
    </w:p>
    <w:p w14:paraId="20A2E2C6" w14:textId="77777777" w:rsidR="00F53675" w:rsidRDefault="00F53675"/>
    <w:p w14:paraId="3F88D74A" w14:textId="77777777" w:rsidR="00DC04DF" w:rsidRDefault="00334A19" w:rsidP="00E56460">
      <w:r>
        <w:t xml:space="preserve">UK </w:t>
      </w:r>
      <w:r w:rsidR="00D52F53">
        <w:t>is one of the most</w:t>
      </w:r>
      <w:r>
        <w:t xml:space="preserve"> popular destination</w:t>
      </w:r>
      <w:r w:rsidR="00D52F53">
        <w:t>s</w:t>
      </w:r>
      <w:r>
        <w:t xml:space="preserve"> </w:t>
      </w:r>
      <w:r w:rsidR="00B05E2F">
        <w:t>for</w:t>
      </w:r>
      <w:r>
        <w:t xml:space="preserve"> international students to pursue their studies. </w:t>
      </w:r>
      <w:r w:rsidR="005C4C13">
        <w:t xml:space="preserve">International students are great assets to universities as they not only bring diversity, global culture and perspectives to UK campuses (Bolton, Lewis and Gower, 2024), their tuition fees are one of the most important sources of income for UK universities: based on a report by Universities UK (2023), 37% of  teaching income in 2021-22 came from non-EU fees, and 4.2% of which were from EU based students. </w:t>
      </w:r>
      <w:r>
        <w:t>At the postgraduate level, international students are particularly important</w:t>
      </w:r>
      <w:r w:rsidR="00D52F53">
        <w:t xml:space="preserve"> to the UK</w:t>
      </w:r>
      <w:r>
        <w:t>, as they consistent of 53% of the student body at the master’s level (House, 2020).</w:t>
      </w:r>
      <w:r w:rsidR="00DC04DF">
        <w:t xml:space="preserve"> Having said this, surprisingly, </w:t>
      </w:r>
      <w:r w:rsidR="005C4C13">
        <w:t>taught postgraduate (PGT)</w:t>
      </w:r>
      <w:r w:rsidR="005C4C13">
        <w:t xml:space="preserve"> students </w:t>
      </w:r>
      <w:r w:rsidR="005C4C13">
        <w:t xml:space="preserve">are described as the </w:t>
      </w:r>
      <w:r w:rsidR="005C4C13">
        <w:t xml:space="preserve">‘often overlooked’ cohort by </w:t>
      </w:r>
      <w:r w:rsidR="005C4C13" w:rsidRPr="00E5370E">
        <w:t xml:space="preserve">Coneyworth, L. </w:t>
      </w:r>
      <w:r w:rsidR="005C4C13" w:rsidRPr="00E5370E">
        <w:rPr>
          <w:i/>
          <w:iCs/>
        </w:rPr>
        <w:t>et al.</w:t>
      </w:r>
      <w:r w:rsidR="005C4C13">
        <w:t xml:space="preserve"> (</w:t>
      </w:r>
      <w:r w:rsidR="005C4C13" w:rsidRPr="00E5370E">
        <w:t>2020</w:t>
      </w:r>
      <w:r w:rsidR="005C4C13">
        <w:t>, p.262</w:t>
      </w:r>
      <w:r w:rsidR="00B05E2F">
        <w:t>).</w:t>
      </w:r>
    </w:p>
    <w:p w14:paraId="51E312AC" w14:textId="77777777" w:rsidR="00DC04DF" w:rsidRDefault="00DC04DF" w:rsidP="00E56460"/>
    <w:p w14:paraId="453DE99E" w14:textId="0F5B6336" w:rsidR="00F6688B" w:rsidRDefault="005C4C13" w:rsidP="00E56460">
      <w:r>
        <w:t xml:space="preserve">Within the </w:t>
      </w:r>
      <w:r w:rsidR="00B05E2F">
        <w:t>existing</w:t>
      </w:r>
      <w:r>
        <w:t xml:space="preserve"> studies on PGT students, many focused on international </w:t>
      </w:r>
      <w:r w:rsidR="00643E2F">
        <w:t>student</w:t>
      </w:r>
      <w:r w:rsidR="00DC04DF">
        <w:t>s, with research on</w:t>
      </w:r>
      <w:r w:rsidR="00B05E2F">
        <w:t xml:space="preserve"> </w:t>
      </w:r>
      <w:r w:rsidR="008559F2">
        <w:t xml:space="preserve">the </w:t>
      </w:r>
      <w:r w:rsidR="00B05E2F">
        <w:t>success</w:t>
      </w:r>
      <w:r w:rsidR="00643E2F">
        <w:t xml:space="preserve"> </w:t>
      </w:r>
      <w:r w:rsidR="008A47B4">
        <w:t xml:space="preserve">factors influencing international </w:t>
      </w:r>
      <w:r w:rsidR="00B05E2F">
        <w:t>PGT</w:t>
      </w:r>
      <w:r w:rsidR="008A47B4">
        <w:t xml:space="preserve"> students’ adjustments</w:t>
      </w:r>
      <w:r w:rsidR="00B05E2F">
        <w:t xml:space="preserve"> to their studies</w:t>
      </w:r>
      <w:r w:rsidR="00643E2F">
        <w:t xml:space="preserve"> (</w:t>
      </w:r>
      <w:r w:rsidR="00643E2F">
        <w:t>Young et al.</w:t>
      </w:r>
      <w:r w:rsidR="00643E2F">
        <w:t>,</w:t>
      </w:r>
      <w:r w:rsidR="00643E2F">
        <w:t xml:space="preserve"> 2013</w:t>
      </w:r>
      <w:r w:rsidR="00643E2F">
        <w:t xml:space="preserve">), </w:t>
      </w:r>
      <w:r w:rsidR="003A1DB0">
        <w:t>transition from undergraduate to PGT studies (Evans</w:t>
      </w:r>
      <w:r w:rsidR="00283153">
        <w:t xml:space="preserve"> </w:t>
      </w:r>
      <w:r w:rsidR="003A1DB0">
        <w:t>et al., 2018; Zhang</w:t>
      </w:r>
      <w:r w:rsidR="00283153">
        <w:t>,</w:t>
      </w:r>
      <w:r w:rsidR="003A1DB0">
        <w:t xml:space="preserve"> Fuller and Elliot</w:t>
      </w:r>
      <w:r w:rsidR="00283153">
        <w:t>,</w:t>
      </w:r>
      <w:r w:rsidR="003A1DB0">
        <w:t xml:space="preserve"> 2024), </w:t>
      </w:r>
      <w:r w:rsidR="00643E2F">
        <w:t>academic learning experiences (Liand Shen, 2025)</w:t>
      </w:r>
      <w:r>
        <w:t xml:space="preserve"> and so on</w:t>
      </w:r>
      <w:r w:rsidR="003A1DB0">
        <w:t xml:space="preserve">. </w:t>
      </w:r>
      <w:r w:rsidR="00DC04DF">
        <w:t>Within the</w:t>
      </w:r>
      <w:r w:rsidR="003A1DB0">
        <w:t xml:space="preserve"> </w:t>
      </w:r>
      <w:r w:rsidR="00DC04DF">
        <w:t xml:space="preserve">even </w:t>
      </w:r>
      <w:r w:rsidR="003A1DB0">
        <w:t>few</w:t>
      </w:r>
      <w:r w:rsidR="00E5370E">
        <w:t>er</w:t>
      </w:r>
      <w:r w:rsidR="003A1DB0">
        <w:t xml:space="preserve"> studies on</w:t>
      </w:r>
      <w:r w:rsidR="00DC04DF">
        <w:t xml:space="preserve"> the perspectives of</w:t>
      </w:r>
      <w:r w:rsidR="00E5370E">
        <w:t xml:space="preserve"> </w:t>
      </w:r>
      <w:r w:rsidR="003A1DB0">
        <w:t>lecturers and the programme team</w:t>
      </w:r>
      <w:r w:rsidR="00DC04DF">
        <w:t>s</w:t>
      </w:r>
      <w:r w:rsidR="00B47F14">
        <w:t>,</w:t>
      </w:r>
      <w:r w:rsidR="00E56460">
        <w:t xml:space="preserve"> </w:t>
      </w:r>
      <w:r w:rsidR="00E56460">
        <w:t>Macleod, Barnes</w:t>
      </w:r>
      <w:r w:rsidR="00283153">
        <w:t xml:space="preserve"> </w:t>
      </w:r>
      <w:r w:rsidR="00E56460">
        <w:t>and Huttly</w:t>
      </w:r>
      <w:r w:rsidR="00E56460">
        <w:t xml:space="preserve"> (</w:t>
      </w:r>
      <w:r w:rsidR="00E56460">
        <w:t>2019)</w:t>
      </w:r>
      <w:r w:rsidR="00E56460">
        <w:t xml:space="preserve"> focused on the view</w:t>
      </w:r>
      <w:r w:rsidR="00B47F14">
        <w:t>s</w:t>
      </w:r>
      <w:r w:rsidR="00E56460">
        <w:t xml:space="preserve"> and experiences of members of staff, who teach and manage the PGT programmes, </w:t>
      </w:r>
      <w:r w:rsidR="008559F2">
        <w:t>and</w:t>
      </w:r>
      <w:r w:rsidR="00E56460">
        <w:t xml:space="preserve"> their understanding of the challenges faced by their students. They identified a gap between students’ preparedness for their studies, the sector’s expectations, staff’s expectations and institutional factors such as lack of capacity for targeted support for PGT students. </w:t>
      </w:r>
      <w:r w:rsidR="00E56460" w:rsidRPr="00E5370E">
        <w:t xml:space="preserve">Coneyworth </w:t>
      </w:r>
      <w:r w:rsidR="00E56460" w:rsidRPr="00E5370E">
        <w:rPr>
          <w:i/>
          <w:iCs/>
        </w:rPr>
        <w:t>et al.</w:t>
      </w:r>
      <w:r w:rsidR="00E56460">
        <w:t xml:space="preserve"> (</w:t>
      </w:r>
      <w:r w:rsidR="00E56460" w:rsidRPr="00E5370E">
        <w:t>2020</w:t>
      </w:r>
      <w:r w:rsidR="00E56460">
        <w:t>)</w:t>
      </w:r>
      <w:r w:rsidR="00A13F89">
        <w:t>, on the other hand,</w:t>
      </w:r>
      <w:r w:rsidR="00E56460">
        <w:t xml:space="preserve"> focused on</w:t>
      </w:r>
      <w:r w:rsidR="00A13F89">
        <w:t xml:space="preserve"> their</w:t>
      </w:r>
      <w:r w:rsidR="00E56460">
        <w:t xml:space="preserve"> </w:t>
      </w:r>
      <w:r w:rsidR="00E5370E">
        <w:t>support programme</w:t>
      </w:r>
      <w:r w:rsidR="00A13F89">
        <w:t xml:space="preserve"> </w:t>
      </w:r>
      <w:r w:rsidR="00E5370E">
        <w:t xml:space="preserve">for </w:t>
      </w:r>
      <w:r w:rsidR="00A13F89">
        <w:t xml:space="preserve">both home and international </w:t>
      </w:r>
      <w:r w:rsidR="00E56460">
        <w:t>PGT students</w:t>
      </w:r>
      <w:r w:rsidR="00A13F89">
        <w:t>.</w:t>
      </w:r>
      <w:r w:rsidR="00B47F14">
        <w:t xml:space="preserve"> These are some examples of the existing studies on PGT academic staff, however,</w:t>
      </w:r>
      <w:r>
        <w:t xml:space="preserve"> the</w:t>
      </w:r>
      <w:r>
        <w:t>se</w:t>
      </w:r>
      <w:r>
        <w:t xml:space="preserve"> available </w:t>
      </w:r>
      <w:r>
        <w:t>studies</w:t>
      </w:r>
      <w:r>
        <w:t xml:space="preserve"> are mainly</w:t>
      </w:r>
      <w:r w:rsidR="00B47F14">
        <w:t xml:space="preserve"> </w:t>
      </w:r>
      <w:r>
        <w:t>focused on</w:t>
      </w:r>
      <w:r>
        <w:t xml:space="preserve"> Russell-Group universities</w:t>
      </w:r>
      <w:r>
        <w:t xml:space="preserve"> in England and Scotland.</w:t>
      </w:r>
    </w:p>
    <w:p w14:paraId="6F886658" w14:textId="77777777" w:rsidR="00F6688B" w:rsidRDefault="00F6688B"/>
    <w:p w14:paraId="38E911C2" w14:textId="4F268C68" w:rsidR="00B05E2F" w:rsidRDefault="00334A19">
      <w:r>
        <w:t>Base</w:t>
      </w:r>
      <w:r w:rsidR="00D52F53">
        <w:t>d</w:t>
      </w:r>
      <w:r>
        <w:t xml:space="preserve"> on the research done in previous assignments, Wales has benefitted from international students, it has seen the greatest increase in international students amongst the four nations in the UK from 2017/18 to 2021/22</w:t>
      </w:r>
      <w:r w:rsidR="00D52F53">
        <w:t>, and the majority of these international students went to non-Russell Group Welsh universities.</w:t>
      </w:r>
      <w:r>
        <w:t xml:space="preserve"> However, </w:t>
      </w:r>
      <w:r w:rsidR="00D52F53">
        <w:t xml:space="preserve">there </w:t>
      </w:r>
      <w:r w:rsidR="00D52F53">
        <w:lastRenderedPageBreak/>
        <w:t xml:space="preserve">was </w:t>
      </w:r>
      <w:r>
        <w:t xml:space="preserve">scant research on international students studying in Wales and </w:t>
      </w:r>
      <w:r w:rsidR="00D52F53">
        <w:t xml:space="preserve">even fewer focused on </w:t>
      </w:r>
      <w:r w:rsidR="00B47F14">
        <w:t>PGT</w:t>
      </w:r>
      <w:r w:rsidR="00F6688B">
        <w:t xml:space="preserve"> programmes</w:t>
      </w:r>
      <w:r w:rsidR="00D52F53">
        <w:t xml:space="preserve"> in non-Russell Group Welsh universities. </w:t>
      </w:r>
      <w:r w:rsidR="00B05E2F">
        <w:t>With t</w:t>
      </w:r>
      <w:r w:rsidR="005C4C13">
        <w:t xml:space="preserve">he recent fast increase in the number of international students </w:t>
      </w:r>
      <w:r w:rsidR="00B05E2F">
        <w:t xml:space="preserve">in </w:t>
      </w:r>
      <w:r w:rsidR="00B47F14">
        <w:t>these</w:t>
      </w:r>
      <w:r w:rsidR="005C4C13">
        <w:t xml:space="preserve"> universities,</w:t>
      </w:r>
      <w:r w:rsidR="00B05E2F">
        <w:t xml:space="preserve"> research on academic staff’s understanding of the challenges and barriers that their international students face</w:t>
      </w:r>
      <w:r w:rsidR="00B47F14">
        <w:t>d</w:t>
      </w:r>
      <w:r w:rsidR="00B05E2F">
        <w:t xml:space="preserve"> is needed, as </w:t>
      </w:r>
      <w:r w:rsidR="00B05E2F">
        <w:t>despite that experiences can be drawn on existing research,</w:t>
      </w:r>
      <w:r w:rsidR="00B05E2F">
        <w:t xml:space="preserve"> the Welsh non-Russell Group context can be very different.</w:t>
      </w:r>
    </w:p>
    <w:p w14:paraId="21F28995" w14:textId="77777777" w:rsidR="00B05E2F" w:rsidRDefault="00B05E2F"/>
    <w:p w14:paraId="3F403F2B" w14:textId="767E2ED0" w:rsidR="00B47F14" w:rsidRDefault="00B47F14">
      <w:r>
        <w:t xml:space="preserve">As a member of the PGT Education Studies programme team in a non-Russell Group university in Wales, it is particularly important for me to understand the sector, institutional and programme level’s expectations of the students, and how the programme team sees the challenges and barriers that our existing international students </w:t>
      </w:r>
      <w:r w:rsidR="008559F2">
        <w:t>have</w:t>
      </w:r>
      <w:r>
        <w:t>, so that we can better design our course and provide additional support to help them achieve their fullest potential</w:t>
      </w:r>
      <w:r w:rsidR="008559F2">
        <w:t xml:space="preserve"> and get the most out of the programme</w:t>
      </w:r>
      <w:r>
        <w:t xml:space="preserve"> in a very intensive 12-month </w:t>
      </w:r>
      <w:r w:rsidR="008559F2">
        <w:t>period</w:t>
      </w:r>
      <w:r w:rsidR="00116E18">
        <w:t xml:space="preserve">. </w:t>
      </w:r>
      <w:r w:rsidR="008559F2">
        <w:t>And this research is designed for this purpose.</w:t>
      </w:r>
    </w:p>
    <w:p w14:paraId="14F7EE30" w14:textId="77777777" w:rsidR="008559F2" w:rsidRDefault="008559F2"/>
    <w:p w14:paraId="2CF0DAF8" w14:textId="7CEA0E5B" w:rsidR="008559F2" w:rsidRDefault="008559F2">
      <w:bookmarkStart w:id="0" w:name="_Hlk196764395"/>
      <w:r>
        <w:t>This research sets t</w:t>
      </w:r>
      <w:r w:rsidR="00BD2D1C">
        <w:t>hree</w:t>
      </w:r>
      <w:r>
        <w:t xml:space="preserve"> research questions:</w:t>
      </w:r>
    </w:p>
    <w:p w14:paraId="1CF069FB" w14:textId="07A33E46" w:rsidR="008559F2" w:rsidRDefault="008559F2" w:rsidP="008559F2">
      <w:pPr>
        <w:pStyle w:val="ListParagraph"/>
        <w:numPr>
          <w:ilvl w:val="0"/>
          <w:numId w:val="1"/>
        </w:numPr>
      </w:pPr>
      <w:r>
        <w:t xml:space="preserve">What are the </w:t>
      </w:r>
      <w:r w:rsidR="0077146B">
        <w:t xml:space="preserve">general </w:t>
      </w:r>
      <w:r>
        <w:t>expectations of PGT students in</w:t>
      </w:r>
      <w:r w:rsidR="00BD2D1C">
        <w:t xml:space="preserve"> a</w:t>
      </w:r>
      <w:r w:rsidR="00F6042D">
        <w:t>n</w:t>
      </w:r>
      <w:r w:rsidR="00BD2D1C">
        <w:t xml:space="preserve"> </w:t>
      </w:r>
      <w:r>
        <w:t>Education Studies</w:t>
      </w:r>
      <w:r w:rsidR="00BD2D1C">
        <w:t xml:space="preserve"> degree</w:t>
      </w:r>
      <w:r>
        <w:t>?</w:t>
      </w:r>
    </w:p>
    <w:p w14:paraId="7A40F3B9" w14:textId="10382965" w:rsidR="008559F2" w:rsidRDefault="008559F2" w:rsidP="008559F2">
      <w:pPr>
        <w:pStyle w:val="ListParagraph"/>
        <w:numPr>
          <w:ilvl w:val="0"/>
          <w:numId w:val="1"/>
        </w:numPr>
      </w:pPr>
      <w:r>
        <w:t xml:space="preserve">According to the PGT Education Studies programme team in the given Welsh non-Russell Group university, what are the challenges and barriers that </w:t>
      </w:r>
      <w:r w:rsidR="0077146B">
        <w:t xml:space="preserve">their </w:t>
      </w:r>
      <w:r>
        <w:t>international students face?</w:t>
      </w:r>
    </w:p>
    <w:p w14:paraId="6059A665" w14:textId="58F7521F" w:rsidR="0077146B" w:rsidRDefault="0077146B" w:rsidP="008559F2">
      <w:pPr>
        <w:pStyle w:val="ListParagraph"/>
        <w:numPr>
          <w:ilvl w:val="0"/>
          <w:numId w:val="1"/>
        </w:numPr>
      </w:pPr>
      <w:r>
        <w:t>According to the programme team, what additional support do international students need in order to overcome the challenges and barriers and meet the postgraduate</w:t>
      </w:r>
      <w:r w:rsidR="00BD2D1C">
        <w:t>-</w:t>
      </w:r>
      <w:r>
        <w:t>level expectations.</w:t>
      </w:r>
    </w:p>
    <w:p w14:paraId="1272E4CB" w14:textId="77777777" w:rsidR="00B00C16" w:rsidRDefault="00B00C16" w:rsidP="00B00C16"/>
    <w:p w14:paraId="6A39BFED" w14:textId="77777777" w:rsidR="00B00C16" w:rsidRDefault="00B00C16" w:rsidP="00B00C16">
      <w:r w:rsidRPr="0094344F">
        <w:t>The purpose of this study is to provide a perspective from a Welsh non-Russell Group university on the perceived challenges and barriers faced by staff regarding international students in the PGT Education Studies degree course</w:t>
      </w:r>
      <w:r>
        <w:t xml:space="preserve">, it aims to 1) fill the research gap (that there are fewer studies focusing the PGT programme team’s perspective, as well as the lack of research in the Welsh non-Russell Group context) identified in the introduction, and 2) lay the first step for future research which will aim at bridging the academic gaps of international students studying the PGT Education Studies programme. To fulfil this purpose, this research sets the first research questions to understand the institutional and sector-wide expectations of PGT students. The institutional and sector-wide expectation are important guidance for the programme team, as these standards have to be met to ensure the quality of the preprogramme. It is important for understand these standards and guidelines through document analysis </w:t>
      </w:r>
      <w:r>
        <w:lastRenderedPageBreak/>
        <w:t>before approaching the programme team, as it provides a solid foundation to understand how the programme team interpret and understand the official documents, and what professional insights they gained from day-to-day interactions with their international students, and in what ways these experiences influences their understanding of the expectations and the challenges and barriers faced by international students and possible strategies for support.</w:t>
      </w:r>
    </w:p>
    <w:p w14:paraId="4484DC23" w14:textId="77777777" w:rsidR="00B00C16" w:rsidRDefault="00B00C16" w:rsidP="00B00C16">
      <w:r w:rsidRPr="00B00C16">
        <w:drawing>
          <wp:inline distT="0" distB="0" distL="0" distR="0" wp14:anchorId="25695FA0" wp14:editId="568639E4">
            <wp:extent cx="4569357" cy="3469289"/>
            <wp:effectExtent l="0" t="0" r="3175" b="0"/>
            <wp:docPr id="37024681" name="Picture 1" descr="A diagram of a student's assig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24681" name="Picture 1" descr="A diagram of a student's assignment&#10;&#10;AI-generated content may be incorrect."/>
                    <pic:cNvPicPr/>
                  </pic:nvPicPr>
                  <pic:blipFill>
                    <a:blip r:embed="rId6"/>
                    <a:stretch>
                      <a:fillRect/>
                    </a:stretch>
                  </pic:blipFill>
                  <pic:spPr>
                    <a:xfrm>
                      <a:off x="0" y="0"/>
                      <a:ext cx="4571519" cy="3470930"/>
                    </a:xfrm>
                    <a:prstGeom prst="rect">
                      <a:avLst/>
                    </a:prstGeom>
                  </pic:spPr>
                </pic:pic>
              </a:graphicData>
            </a:graphic>
          </wp:inline>
        </w:drawing>
      </w:r>
    </w:p>
    <w:p w14:paraId="479B240D" w14:textId="2E7216F1" w:rsidR="00B00C16" w:rsidRPr="00B00C16" w:rsidRDefault="00B00C16" w:rsidP="00B00C16">
      <w:pPr>
        <w:rPr>
          <w:color w:val="747474" w:themeColor="background2" w:themeShade="80"/>
          <w:sz w:val="20"/>
          <w:szCs w:val="20"/>
        </w:rPr>
      </w:pPr>
      <w:r>
        <w:rPr>
          <w:color w:val="747474" w:themeColor="background2" w:themeShade="80"/>
          <w:sz w:val="20"/>
          <w:szCs w:val="20"/>
        </w:rPr>
        <w:t xml:space="preserve">                                         </w:t>
      </w:r>
      <w:r w:rsidRPr="00B00C16">
        <w:rPr>
          <w:color w:val="747474" w:themeColor="background2" w:themeShade="80"/>
          <w:sz w:val="20"/>
          <w:szCs w:val="20"/>
        </w:rPr>
        <w:t>Figure 1</w:t>
      </w:r>
    </w:p>
    <w:p w14:paraId="37FDF9EA" w14:textId="69E6E820" w:rsidR="00B00C16" w:rsidRDefault="00B00C16" w:rsidP="00B00C16">
      <w:r>
        <w:t xml:space="preserve">The relationship  between the research questions can be seen in the Figure 1 above. </w:t>
      </w:r>
    </w:p>
    <w:p w14:paraId="0613B23C" w14:textId="77777777" w:rsidR="00B00C16" w:rsidRDefault="00B00C16"/>
    <w:p w14:paraId="7C16E158" w14:textId="52887252" w:rsidR="0077146B" w:rsidRDefault="0077146B">
      <w:r>
        <w:t>T</w:t>
      </w:r>
      <w:r w:rsidR="00B00C16">
        <w:t>o answer the research questions, t</w:t>
      </w:r>
      <w:r>
        <w:t>his research sets the following aims:</w:t>
      </w:r>
    </w:p>
    <w:p w14:paraId="2F825547" w14:textId="59E7EF25" w:rsidR="0077146B" w:rsidRDefault="0077146B" w:rsidP="0077146B">
      <w:pPr>
        <w:pStyle w:val="ListParagraph"/>
        <w:numPr>
          <w:ilvl w:val="0"/>
          <w:numId w:val="2"/>
        </w:numPr>
        <w:rPr>
          <w:rFonts w:cs="Arial"/>
        </w:rPr>
      </w:pPr>
      <w:r>
        <w:rPr>
          <w:rFonts w:cs="Arial"/>
        </w:rPr>
        <w:t>C</w:t>
      </w:r>
      <w:r w:rsidRPr="00C06473">
        <w:rPr>
          <w:rFonts w:cs="Arial"/>
        </w:rPr>
        <w:t>larify expectations of PGT</w:t>
      </w:r>
      <w:r>
        <w:rPr>
          <w:rFonts w:cs="Arial"/>
        </w:rPr>
        <w:t xml:space="preserve"> </w:t>
      </w:r>
      <w:r w:rsidRPr="00C06473">
        <w:rPr>
          <w:rFonts w:cs="Arial"/>
        </w:rPr>
        <w:t>students in the higher education sector</w:t>
      </w:r>
      <w:r>
        <w:rPr>
          <w:rFonts w:cs="Arial"/>
        </w:rPr>
        <w:t>.</w:t>
      </w:r>
    </w:p>
    <w:p w14:paraId="360E606E" w14:textId="1607AFF6" w:rsidR="0077146B" w:rsidRDefault="0077146B" w:rsidP="0077146B">
      <w:pPr>
        <w:pStyle w:val="ListParagraph"/>
        <w:numPr>
          <w:ilvl w:val="0"/>
          <w:numId w:val="2"/>
        </w:numPr>
        <w:rPr>
          <w:rFonts w:cs="Arial"/>
        </w:rPr>
      </w:pPr>
      <w:r>
        <w:rPr>
          <w:rFonts w:cs="Arial"/>
        </w:rPr>
        <w:t xml:space="preserve">Understand </w:t>
      </w:r>
      <w:r>
        <w:rPr>
          <w:rFonts w:cs="Arial"/>
        </w:rPr>
        <w:t xml:space="preserve">the institutional </w:t>
      </w:r>
      <w:r>
        <w:rPr>
          <w:rFonts w:cs="Arial"/>
        </w:rPr>
        <w:t xml:space="preserve">expectations of PGT international students </w:t>
      </w:r>
      <w:r>
        <w:rPr>
          <w:rFonts w:cs="Arial"/>
        </w:rPr>
        <w:t>at the chosen</w:t>
      </w:r>
      <w:r>
        <w:rPr>
          <w:rFonts w:cs="Arial"/>
        </w:rPr>
        <w:t xml:space="preserve"> Welsh non-Russell Group</w:t>
      </w:r>
      <w:r>
        <w:rPr>
          <w:rFonts w:cs="Arial"/>
        </w:rPr>
        <w:t xml:space="preserve"> university</w:t>
      </w:r>
      <w:r>
        <w:rPr>
          <w:rFonts w:cs="Arial"/>
        </w:rPr>
        <w:t>.</w:t>
      </w:r>
    </w:p>
    <w:p w14:paraId="60963B6B" w14:textId="18F6E5AC" w:rsidR="0077146B" w:rsidRPr="0077146B" w:rsidRDefault="0077146B" w:rsidP="0077146B">
      <w:pPr>
        <w:pStyle w:val="ListParagraph"/>
        <w:numPr>
          <w:ilvl w:val="0"/>
          <w:numId w:val="2"/>
        </w:numPr>
        <w:rPr>
          <w:rFonts w:cs="Arial"/>
        </w:rPr>
      </w:pPr>
      <w:r w:rsidRPr="007D4BED">
        <w:rPr>
          <w:rFonts w:cs="Arial"/>
        </w:rPr>
        <w:t>Understand academic challenges</w:t>
      </w:r>
      <w:r>
        <w:rPr>
          <w:rFonts w:cs="Arial"/>
        </w:rPr>
        <w:t xml:space="preserve"> and barriers</w:t>
      </w:r>
      <w:r w:rsidRPr="007D4BED">
        <w:rPr>
          <w:rFonts w:cs="Arial"/>
        </w:rPr>
        <w:t xml:space="preserve"> of international students</w:t>
      </w:r>
      <w:r w:rsidR="00D66C0E">
        <w:rPr>
          <w:rFonts w:cs="Arial"/>
        </w:rPr>
        <w:t>, who are</w:t>
      </w:r>
      <w:r w:rsidRPr="007D4BED">
        <w:rPr>
          <w:rFonts w:cs="Arial"/>
        </w:rPr>
        <w:t xml:space="preserve"> enrolling on an MA Education Studies programme</w:t>
      </w:r>
      <w:r w:rsidR="00D66C0E">
        <w:rPr>
          <w:rFonts w:cs="Arial"/>
        </w:rPr>
        <w:t>,</w:t>
      </w:r>
      <w:r w:rsidRPr="007D4BED">
        <w:rPr>
          <w:rFonts w:cs="Arial"/>
        </w:rPr>
        <w:t xml:space="preserve"> </w:t>
      </w:r>
      <w:r>
        <w:rPr>
          <w:rFonts w:cs="Arial"/>
        </w:rPr>
        <w:t>at the chosen university</w:t>
      </w:r>
      <w:r w:rsidRPr="007D4BED">
        <w:rPr>
          <w:rFonts w:cs="Arial"/>
        </w:rPr>
        <w:t xml:space="preserve"> from the programme team’s perspective</w:t>
      </w:r>
      <w:r>
        <w:rPr>
          <w:rFonts w:cs="Arial"/>
        </w:rPr>
        <w:t>, and additional</w:t>
      </w:r>
      <w:r w:rsidRPr="0077146B">
        <w:rPr>
          <w:rFonts w:cs="Arial"/>
        </w:rPr>
        <w:t xml:space="preserve"> support needed to help them succeed.</w:t>
      </w:r>
    </w:p>
    <w:p w14:paraId="1238FE59" w14:textId="77777777" w:rsidR="0077146B" w:rsidRDefault="0077146B"/>
    <w:p w14:paraId="35985007" w14:textId="68CA1D88" w:rsidR="0077146B" w:rsidRDefault="0077146B">
      <w:r>
        <w:t>To achieve the above aims, the research sets the following objectives:</w:t>
      </w:r>
    </w:p>
    <w:p w14:paraId="53727666" w14:textId="206A8B97" w:rsidR="0077146B" w:rsidRDefault="0077146B" w:rsidP="0077146B">
      <w:pPr>
        <w:pStyle w:val="ListParagraph"/>
        <w:numPr>
          <w:ilvl w:val="0"/>
          <w:numId w:val="3"/>
        </w:numPr>
        <w:rPr>
          <w:rFonts w:cs="Arial"/>
        </w:rPr>
      </w:pPr>
      <w:r>
        <w:rPr>
          <w:rFonts w:cs="Arial"/>
        </w:rPr>
        <w:lastRenderedPageBreak/>
        <w:t>Through document analysis</w:t>
      </w:r>
      <w:r>
        <w:rPr>
          <w:rFonts w:cs="Arial"/>
        </w:rPr>
        <w:t xml:space="preserve"> </w:t>
      </w:r>
      <w:r w:rsidR="00116E18">
        <w:rPr>
          <w:rFonts w:cs="Arial"/>
        </w:rPr>
        <w:t>(</w:t>
      </w:r>
      <w:r>
        <w:rPr>
          <w:rFonts w:cs="Arial"/>
        </w:rPr>
        <w:t>of the Quality Assurance Agency’s (QAA) documents</w:t>
      </w:r>
      <w:r w:rsidR="00116E18">
        <w:rPr>
          <w:rFonts w:cs="Arial"/>
        </w:rPr>
        <w:t>)</w:t>
      </w:r>
      <w:r>
        <w:rPr>
          <w:rFonts w:cs="Arial"/>
        </w:rPr>
        <w:t>, understand the sector-wide expectations of postgraduate students</w:t>
      </w:r>
      <w:r>
        <w:rPr>
          <w:rFonts w:cs="Arial"/>
        </w:rPr>
        <w:t>.</w:t>
      </w:r>
    </w:p>
    <w:p w14:paraId="6934F7D4" w14:textId="429A1ECF" w:rsidR="0077146B" w:rsidRDefault="0077146B" w:rsidP="0077146B">
      <w:pPr>
        <w:pStyle w:val="ListParagraph"/>
        <w:numPr>
          <w:ilvl w:val="0"/>
          <w:numId w:val="3"/>
        </w:numPr>
        <w:rPr>
          <w:rFonts w:cs="Arial"/>
        </w:rPr>
      </w:pPr>
      <w:r>
        <w:rPr>
          <w:rFonts w:cs="Arial"/>
        </w:rPr>
        <w:t>Through document analysis</w:t>
      </w:r>
      <w:r>
        <w:rPr>
          <w:rFonts w:cs="Arial"/>
        </w:rPr>
        <w:t xml:space="preserve"> </w:t>
      </w:r>
      <w:r w:rsidR="00116E18">
        <w:rPr>
          <w:rFonts w:cs="Arial"/>
        </w:rPr>
        <w:t>(</w:t>
      </w:r>
      <w:r>
        <w:rPr>
          <w:rFonts w:cs="Arial"/>
        </w:rPr>
        <w:t xml:space="preserve">of </w:t>
      </w:r>
      <w:r w:rsidR="00116E18">
        <w:rPr>
          <w:rFonts w:cs="Arial"/>
        </w:rPr>
        <w:t>the chosen university’s policy documents and MA Education Studies programme document)</w:t>
      </w:r>
      <w:r>
        <w:rPr>
          <w:rFonts w:cs="Arial"/>
        </w:rPr>
        <w:t>, understand the programme team’s and their university’s expectations of their PGT students.</w:t>
      </w:r>
    </w:p>
    <w:p w14:paraId="1A20BD34" w14:textId="5B5C187D" w:rsidR="0077146B" w:rsidRPr="00116E18" w:rsidRDefault="0077146B" w:rsidP="004E2884">
      <w:pPr>
        <w:pStyle w:val="ListParagraph"/>
        <w:numPr>
          <w:ilvl w:val="0"/>
          <w:numId w:val="3"/>
        </w:numPr>
        <w:rPr>
          <w:rFonts w:cs="Arial"/>
        </w:rPr>
      </w:pPr>
      <w:r w:rsidRPr="00116E18">
        <w:rPr>
          <w:rFonts w:cs="Arial"/>
        </w:rPr>
        <w:t xml:space="preserve">Through </w:t>
      </w:r>
      <w:r w:rsidR="00116E18" w:rsidRPr="00116E18">
        <w:rPr>
          <w:rFonts w:cs="Arial"/>
        </w:rPr>
        <w:t>individual</w:t>
      </w:r>
      <w:r w:rsidRPr="00116E18">
        <w:rPr>
          <w:rFonts w:cs="Arial"/>
        </w:rPr>
        <w:t xml:space="preserve"> interview</w:t>
      </w:r>
      <w:r w:rsidR="00116E18" w:rsidRPr="00116E18">
        <w:rPr>
          <w:rFonts w:cs="Arial"/>
        </w:rPr>
        <w:t>s</w:t>
      </w:r>
      <w:r w:rsidRPr="00116E18">
        <w:rPr>
          <w:rFonts w:cs="Arial"/>
        </w:rPr>
        <w:t xml:space="preserve"> and a heuristic approach, understand the academic challenges and barriers that their </w:t>
      </w:r>
      <w:r w:rsidR="00116E18">
        <w:rPr>
          <w:rFonts w:cs="Arial"/>
        </w:rPr>
        <w:t xml:space="preserve">international </w:t>
      </w:r>
      <w:r w:rsidRPr="00116E18">
        <w:rPr>
          <w:rFonts w:cs="Arial"/>
        </w:rPr>
        <w:t>students are facing</w:t>
      </w:r>
      <w:r w:rsidR="00116E18">
        <w:rPr>
          <w:rFonts w:cs="Arial"/>
        </w:rPr>
        <w:t>, and additional support that they would need to help them succeed at their studies.</w:t>
      </w:r>
    </w:p>
    <w:bookmarkEnd w:id="0"/>
    <w:p w14:paraId="483D8002" w14:textId="77777777" w:rsidR="0077146B" w:rsidRDefault="0077146B"/>
    <w:p w14:paraId="4065BA90" w14:textId="597F7EC4" w:rsidR="00D52F53" w:rsidRPr="00D66C0E" w:rsidRDefault="00D66C0E">
      <w:pPr>
        <w:rPr>
          <w:b/>
          <w:bCs/>
        </w:rPr>
      </w:pPr>
      <w:r w:rsidRPr="00D66C0E">
        <w:rPr>
          <w:b/>
          <w:bCs/>
        </w:rPr>
        <w:t>Research paradigm</w:t>
      </w:r>
    </w:p>
    <w:p w14:paraId="1397EA9A" w14:textId="77777777" w:rsidR="00D66C0E" w:rsidRDefault="00D66C0E"/>
    <w:p w14:paraId="463D3073" w14:textId="0A1723FA" w:rsidR="00C810B4" w:rsidRDefault="00647164" w:rsidP="00C810B4">
      <w:r>
        <w:t>A</w:t>
      </w:r>
      <w:r w:rsidR="00C810B4">
        <w:t xml:space="preserve"> piece of meaningful </w:t>
      </w:r>
      <w:r>
        <w:t xml:space="preserve">educational </w:t>
      </w:r>
      <w:r w:rsidR="00C810B4">
        <w:t>research</w:t>
      </w:r>
      <w:r>
        <w:t xml:space="preserve"> would facilitate the in-depth understanding of a phenomena and ultimately creates new knowledge, this understanding and construction of new knowledge is inseparable from </w:t>
      </w:r>
      <w:r w:rsidR="007424E5">
        <w:t>the</w:t>
      </w:r>
      <w:r>
        <w:t xml:space="preserve"> methodology of </w:t>
      </w:r>
      <w:r w:rsidR="007424E5">
        <w:t xml:space="preserve">a </w:t>
      </w:r>
      <w:r>
        <w:t>inquiry, which is informed by paradigms. Paradigms according to Cohen, Manion and Morrison (201</w:t>
      </w:r>
      <w:r w:rsidR="007424E5">
        <w:t>8</w:t>
      </w:r>
      <w:r>
        <w:t xml:space="preserve">) </w:t>
      </w:r>
      <w:r w:rsidR="0093330D">
        <w:t xml:space="preserve">citing Kuhn (1977) </w:t>
      </w:r>
      <w:r>
        <w:t xml:space="preserve">are ways to look at </w:t>
      </w:r>
      <w:r w:rsidR="007424E5">
        <w:t>world</w:t>
      </w:r>
      <w:r>
        <w:t>, they</w:t>
      </w:r>
      <w:r w:rsidR="007424E5">
        <w:t xml:space="preserve"> set</w:t>
      </w:r>
      <w:r w:rsidR="003A0AF2">
        <w:t xml:space="preserve"> different assumptions about the way the world works and how one can understand it; they are</w:t>
      </w:r>
      <w:r w:rsidR="007424E5">
        <w:t xml:space="preserve"> ways to pursue knowledge, </w:t>
      </w:r>
      <w:r w:rsidR="003A0AF2">
        <w:t xml:space="preserve">and set </w:t>
      </w:r>
      <w:r w:rsidR="007424E5">
        <w:t xml:space="preserve">what kinds of problems can be investigated and how to investigate them, as well as how the understand and solution is more acceptable than others (p. 38). This is echoed by Humphreys (2013), who suggested that paradigms the philosophy of science, which ‘explicitly address </w:t>
      </w:r>
      <w:r w:rsidR="007424E5" w:rsidRPr="007424E5">
        <w:t>the assumptions around being, knowing and valuing which are implicitly embedded in the practice of science</w:t>
      </w:r>
      <w:r w:rsidR="007424E5">
        <w:t xml:space="preserve">’ (p. 4). </w:t>
      </w:r>
      <w:r w:rsidR="003A0AF2">
        <w:t xml:space="preserve">In the field of social sciences such as education, reality is rarely understood as being purely objective and can exist independently of individuals (like in natural sciences). My research topic involves an understanding of official documents and the programme team, which is laden </w:t>
      </w:r>
      <w:r w:rsidR="00CB29EE">
        <w:t>with</w:t>
      </w:r>
      <w:r w:rsidR="003A0AF2">
        <w:t xml:space="preserve"> </w:t>
      </w:r>
      <w:r w:rsidR="00461916">
        <w:t xml:space="preserve">value, perspectives and different understandings of what is important, thus it fits the post-positivist paradigm of interpretivism. According to Humphreys (2013) </w:t>
      </w:r>
      <w:r w:rsidR="00BD33C7">
        <w:t xml:space="preserve">the ontology of </w:t>
      </w:r>
      <w:r w:rsidR="00461916">
        <w:t>an interpretivist paradigm posit</w:t>
      </w:r>
      <w:r w:rsidR="00FE3AFD">
        <w:t>s</w:t>
      </w:r>
      <w:r w:rsidR="00461916">
        <w:t xml:space="preserve"> that human beings and the world around them </w:t>
      </w:r>
      <w:r w:rsidR="00FE3AFD">
        <w:t>are</w:t>
      </w:r>
      <w:r w:rsidR="00461916">
        <w:t xml:space="preserve"> </w:t>
      </w:r>
      <w:r w:rsidR="00FE3AFD">
        <w:t>inter-</w:t>
      </w:r>
      <w:r w:rsidR="00461916">
        <w:t>related, that the world is made sense of based on individuals’</w:t>
      </w:r>
      <w:r w:rsidR="00FE3AFD">
        <w:t xml:space="preserve"> ‘humanity’, which varies in perspectives. Cohen, Manion an Morrison (2018) adds that interpretivist paradigm set out to investigate ‘the subjective world of human experience’ and individuals’ understanding of the world around them (p.50)</w:t>
      </w:r>
      <w:r w:rsidR="00BD33C7">
        <w:t>, which suggested that the epistemologically speaking, interpretivism suggests that knowledge is grounded in individual’s experiences, it is subjective and shaped by the environment the individual was influenced in (</w:t>
      </w:r>
      <w:r w:rsidR="00283153">
        <w:t>Hiller, 2016</w:t>
      </w:r>
      <w:r w:rsidR="00BD33C7">
        <w:t>)</w:t>
      </w:r>
      <w:r w:rsidR="00FE3AFD">
        <w:t>. Based on the above discuss, the interpretivist paradigm would fit with my research topic</w:t>
      </w:r>
      <w:r w:rsidR="0097162E">
        <w:t>: the understanding of international students’ challenges and barriers from the programme team’s perspective is to understand the participants’ subjective views on the matter of investigation</w:t>
      </w:r>
      <w:r w:rsidR="00FE3AFD">
        <w:t xml:space="preserve">. Despite that </w:t>
      </w:r>
      <w:r w:rsidR="0097162E">
        <w:t xml:space="preserve">the document </w:t>
      </w:r>
      <w:r w:rsidR="0097162E">
        <w:lastRenderedPageBreak/>
        <w:t>analysis would include policy and guidelines papers and programme handbooks, the understanding of which is still subjective to the people who read it, including the programme team. For the above reason</w:t>
      </w:r>
      <w:r w:rsidR="00F517B1">
        <w:t>s</w:t>
      </w:r>
      <w:r w:rsidR="0097162E">
        <w:t>, this research will adopt a</w:t>
      </w:r>
      <w:r w:rsidR="00F517B1">
        <w:t>n</w:t>
      </w:r>
      <w:r w:rsidR="0097162E">
        <w:t xml:space="preserve"> interpretivist paradigm a</w:t>
      </w:r>
      <w:r w:rsidR="00CB29EE">
        <w:t>s the</w:t>
      </w:r>
      <w:r w:rsidR="0097162E">
        <w:t xml:space="preserve"> guiding philosophical framework</w:t>
      </w:r>
      <w:r w:rsidR="00F15986">
        <w:t xml:space="preserve"> and will be qualitative in nature</w:t>
      </w:r>
      <w:r w:rsidR="0097162E">
        <w:t>.</w:t>
      </w:r>
    </w:p>
    <w:p w14:paraId="33728E08" w14:textId="0F077C44" w:rsidR="00F53675" w:rsidRDefault="007424E5">
      <w:r>
        <w:t xml:space="preserve"> </w:t>
      </w:r>
    </w:p>
    <w:p w14:paraId="26066EA4" w14:textId="3F112EB7" w:rsidR="00D66C0E" w:rsidRPr="00D66C0E" w:rsidRDefault="00D66C0E">
      <w:pPr>
        <w:rPr>
          <w:b/>
          <w:bCs/>
        </w:rPr>
      </w:pPr>
      <w:r w:rsidRPr="00D66C0E">
        <w:rPr>
          <w:b/>
          <w:bCs/>
        </w:rPr>
        <w:t xml:space="preserve">Research </w:t>
      </w:r>
      <w:r w:rsidR="00F15986">
        <w:rPr>
          <w:b/>
          <w:bCs/>
        </w:rPr>
        <w:t>methodology</w:t>
      </w:r>
      <w:r w:rsidR="001F5BBE">
        <w:rPr>
          <w:b/>
          <w:bCs/>
        </w:rPr>
        <w:t xml:space="preserve"> </w:t>
      </w:r>
    </w:p>
    <w:p w14:paraId="2C713778" w14:textId="29311A06" w:rsidR="0093330D" w:rsidRDefault="0093330D"/>
    <w:p w14:paraId="7451FDC2" w14:textId="29CDD370" w:rsidR="0093330D" w:rsidRDefault="0093330D">
      <w:r>
        <w:t>When it comes to terminologies used by different scholars, the term ‘methodology’ can be a confusing one. According to The Research Onion by Saunders</w:t>
      </w:r>
      <w:r w:rsidR="002E2DF6">
        <w:t xml:space="preserve">, Lewis and Thornhill </w:t>
      </w:r>
      <w:r>
        <w:t>(20</w:t>
      </w:r>
      <w:r w:rsidR="002E2DF6">
        <w:t>16</w:t>
      </w:r>
      <w:r>
        <w:t xml:space="preserve">), qualitative, quantitative and mixed methods are methodological choices, yet, Cohen, Manion and Morrison (2018) does not categorise ‘qualitative’ as a specific methodology, instead, there are methodologies within an qualitative research which can include case studies, phenomenology, ethnography and so on. On the other hand, Brown (2006) suggested that </w:t>
      </w:r>
      <w:r w:rsidR="001D7DBD">
        <w:t>‘</w:t>
      </w:r>
      <w:r>
        <w:t xml:space="preserve">methodology is the philosophical framework </w:t>
      </w:r>
      <w:r w:rsidR="001D7DBD">
        <w:t xml:space="preserve">within which the research is conducted or the foundation upon which the research is based’, yet other people would use paradigms to suggest the chosen research philosophy(ies). To avoid confusion. This piece of work will </w:t>
      </w:r>
      <w:r w:rsidR="00F224BE">
        <w:t>use</w:t>
      </w:r>
      <w:r w:rsidR="001D7DBD">
        <w:t xml:space="preserve"> Saunders</w:t>
      </w:r>
      <w:r w:rsidR="002E2DF6">
        <w:t>, Lewis and Thornhill</w:t>
      </w:r>
      <w:r w:rsidR="001D7DBD">
        <w:t xml:space="preserve"> (20</w:t>
      </w:r>
      <w:r w:rsidR="002E2DF6">
        <w:t>16</w:t>
      </w:r>
      <w:r w:rsidR="001D7DBD">
        <w:t>)’s terminologies</w:t>
      </w:r>
      <w:r w:rsidR="00D4463D">
        <w:t xml:space="preserve"> to</w:t>
      </w:r>
      <w:r w:rsidR="001D7DBD">
        <w:t xml:space="preserve"> discuss the methodological design and strategies adopted for this study.</w:t>
      </w:r>
    </w:p>
    <w:p w14:paraId="19CD2A76" w14:textId="77777777" w:rsidR="002E2DF6" w:rsidRDefault="002E2DF6"/>
    <w:p w14:paraId="1836888F" w14:textId="4D99D3C6" w:rsidR="00D66C0E" w:rsidRDefault="00D4463D">
      <w:r>
        <w:t>Base on the interpretivist paradigm adopted for this research, the</w:t>
      </w:r>
      <w:r w:rsidR="00BD33C7">
        <w:t xml:space="preserve"> research</w:t>
      </w:r>
      <w:r w:rsidR="00F15986">
        <w:t xml:space="preserve"> </w:t>
      </w:r>
      <w:r>
        <w:t>will be</w:t>
      </w:r>
      <w:r w:rsidR="00F15986">
        <w:t xml:space="preserve"> qualitative </w:t>
      </w:r>
      <w:r w:rsidR="0093330D">
        <w:t>in nature and adopts a case study as the research strategy.</w:t>
      </w:r>
      <w:r w:rsidR="00E770B9">
        <w:t xml:space="preserve"> to the research questions, aims and objectives.</w:t>
      </w:r>
      <w:r w:rsidR="00283153">
        <w:t xml:space="preserve"> </w:t>
      </w:r>
      <w:r>
        <w:t xml:space="preserve">Qualitative research, as </w:t>
      </w:r>
      <w:r w:rsidR="005945A8">
        <w:t xml:space="preserve">Hammersley (2013) highlighted, emphasise the key role of subjectivity in the research process and use verbal forms of approach to study a case in details. Gonzales et al. (2008) adds that it </w:t>
      </w:r>
      <w:r w:rsidR="00B6685C">
        <w:t xml:space="preserve">enabled an ‘in-depth, intricate and detailed understanding of meaning, actions, non-observable as well as observable phenomena, attitudes, intentions and behaviours (p.3, cited by Cohan, Manion and Morrison, 2018, p. 346). However, it’s looseness in nature could affect its validity and justifiability, thus, as Cohen, Manion and Morrison (2018) highlighted, </w:t>
      </w:r>
      <w:r w:rsidR="0094344F">
        <w:t xml:space="preserve">qualitative studies </w:t>
      </w:r>
      <w:r w:rsidR="00B6685C">
        <w:t>‘have to be weighted, downgraded, upgraded or excluded according to the quality of the evidence and sampling that they contain (p. 346), they also highlighted the context is at the heart of a qualitative research, thus one needs to weigh all the above factors and carefully design the study to ensure that the research maintains its validity as well as its essence.</w:t>
      </w:r>
    </w:p>
    <w:p w14:paraId="3764A9CF" w14:textId="77777777" w:rsidR="00D66C0E" w:rsidRDefault="00D66C0E"/>
    <w:p w14:paraId="55AAAA7D" w14:textId="339DB893" w:rsidR="00B00C16" w:rsidRDefault="00B00C16">
      <w:r>
        <w:t xml:space="preserve">To answer my research question 1, detailed understanding of the policy and guidelines documents are needed, the nature of this strategy is qualitative, as it is related to </w:t>
      </w:r>
      <w:r>
        <w:lastRenderedPageBreak/>
        <w:t xml:space="preserve">interpreting the words in detailed to gain in-depth and nuanced understanding of the institutional and sector-wide expectations of PGT students in general (as despite whether the students are international or not, they expectations of the postgraduate level are the same). Despite parameters can </w:t>
      </w:r>
      <w:r w:rsidR="005412DC">
        <w:t>be</w:t>
      </w:r>
      <w:r>
        <w:t xml:space="preserve"> set to allow this analysis to be quantitative, </w:t>
      </w:r>
      <w:r w:rsidR="005412DC">
        <w:t xml:space="preserve">due to the nature of the discipline, </w:t>
      </w:r>
      <w:r>
        <w:t xml:space="preserve">the qualitative approach to the document analysis will enable the research to focus on </w:t>
      </w:r>
      <w:r w:rsidR="005412DC">
        <w:t>abilities and skills gained through the programme which is hard to quantify. The same reason would apply to research questions two and three, as they focus on the programme teams’ perspectives, which is subjective in nature, thus quantitative approach would not be suitable. As it can be seen from the above reasons, this study is suitable to purely qualitative.</w:t>
      </w:r>
    </w:p>
    <w:p w14:paraId="03DFEC43" w14:textId="77777777" w:rsidR="00B6685C" w:rsidRDefault="00B6685C"/>
    <w:p w14:paraId="5F904BB6" w14:textId="44A011FF" w:rsidR="00D66C0E" w:rsidRPr="00D66C0E" w:rsidRDefault="00D66C0E">
      <w:pPr>
        <w:rPr>
          <w:b/>
          <w:bCs/>
        </w:rPr>
      </w:pPr>
      <w:r w:rsidRPr="00D66C0E">
        <w:rPr>
          <w:b/>
          <w:bCs/>
        </w:rPr>
        <w:t>Ethical considerations</w:t>
      </w:r>
    </w:p>
    <w:p w14:paraId="4EE73BC0" w14:textId="77777777" w:rsidR="00D66C0E" w:rsidRDefault="00D66C0E"/>
    <w:p w14:paraId="2A56C831" w14:textId="0A59C114" w:rsidR="005412DC" w:rsidRDefault="005412DC">
      <w:r>
        <w:t xml:space="preserve">It is impossible for any research to be free from risks, thus thorough ethical considerations are necessary for this study. This research is a partial document analysis and partial empirical study, it involves the MA Education Studies’ programme handbook which is not in the public domain, and the empirical part of the study involves </w:t>
      </w:r>
      <w:r w:rsidR="001F70EF">
        <w:t>participants and the researcher herself, thus careful considerations of the risks related to the researcher, the participants, the chosen university will need to be done. This research will make sure to follow BERA (2024) ethical guidelines and relevant UWTSD (2021) ethical guidelines and GDPR policy documents to ensure that the potential risks are thoroughly considered and best mitigated.</w:t>
      </w:r>
    </w:p>
    <w:p w14:paraId="20618F6A" w14:textId="77777777" w:rsidR="001F70EF" w:rsidRDefault="001F70EF"/>
    <w:p w14:paraId="58ADC865" w14:textId="772448E6" w:rsidR="001F70EF" w:rsidRDefault="001F70EF">
      <w:r>
        <w:t xml:space="preserve">Detailed ethical considerations on this research are presented in the ethics form assignment, thus will not be repeated here. However, one point is worth reconsideration here, as it is missed out in the ethics form. As indicated in objective 3 that individual interviews and a heuristic approach will be used, this is because of the fact that the researcher is also a member of the chosen PGT Education Studies programme team, who will also participate in the research. This imposes risks to confidentiality and anonymity of the other participants, who are colleagues with the researcher working on the same programme. Despite using pseudonyms for the other participants, people may still be able to identify the names of the other participants through knowing the name of the researcher. </w:t>
      </w:r>
      <w:r w:rsidR="00DA53AA">
        <w:t xml:space="preserve">This will also make anonymity of the chosen university difficult, as the researcher is a member of staff of the chosen university. To mitigate this, the researcher will inform the participants and university regarding this risk, permissions will be sought before data collection. If by any chance permissions are not granted, the </w:t>
      </w:r>
      <w:r w:rsidR="00DA53AA">
        <w:lastRenderedPageBreak/>
        <w:t>researcher will include staff from other universities to minimise the risks related to confidentiality and anonymity.</w:t>
      </w:r>
    </w:p>
    <w:p w14:paraId="5D77A557" w14:textId="77777777" w:rsidR="00F53675" w:rsidRDefault="00F53675"/>
    <w:p w14:paraId="74C88BD7" w14:textId="20B5679D" w:rsidR="00DA53AA" w:rsidRPr="00DA53AA" w:rsidRDefault="00DA53AA">
      <w:pPr>
        <w:rPr>
          <w:b/>
          <w:bCs/>
        </w:rPr>
      </w:pPr>
      <w:r w:rsidRPr="00DA53AA">
        <w:rPr>
          <w:b/>
          <w:bCs/>
        </w:rPr>
        <w:t>Sampling strategy</w:t>
      </w:r>
    </w:p>
    <w:p w14:paraId="250D255B" w14:textId="77777777" w:rsidR="00DA53AA" w:rsidRDefault="00DA53AA"/>
    <w:p w14:paraId="4D3E9A2C" w14:textId="407EAC0E" w:rsidR="00DA53AA" w:rsidRDefault="00DA53AA">
      <w:r>
        <w:t>This study will use non-probability purposive</w:t>
      </w:r>
      <w:r w:rsidR="004D5397">
        <w:t xml:space="preserve"> sampling strategies and the sample size is three, as this is the size of the programme team</w:t>
      </w:r>
      <w:r>
        <w:t xml:space="preserve">. Purposive sampling, according to </w:t>
      </w:r>
      <w:r>
        <w:t xml:space="preserve">Cohen, Manion, Morrsion </w:t>
      </w:r>
      <w:r>
        <w:t>(</w:t>
      </w:r>
      <w:r>
        <w:t>2018</w:t>
      </w:r>
      <w:r>
        <w:t xml:space="preserve">) allows researchers to select their participants base on whether they fit the characteristics and representativeness of the sample required for the research. For this study, the researcher aims to </w:t>
      </w:r>
      <w:r w:rsidR="00312E02">
        <w:t>study the programme team of the a Welsh non-Russell group university that the researcher works at, thus purposive sampling fits the purpose of the research. Having said this, if the researcher was not grant permission to carry out the research due to confidentiality and anonymity concerns, purposive sampling will be used to include more participants in Welsh non-Russell Group universities who teach PGT Education Studies programmes. Purposive sampling fits the researcher’s needs of conducting a case study, and this research does not intend to provide generalised data as the sample is selective and will be biased.</w:t>
      </w:r>
    </w:p>
    <w:p w14:paraId="5CEE4D4E" w14:textId="77777777" w:rsidR="00DA53AA" w:rsidRDefault="00DA53AA"/>
    <w:p w14:paraId="69F69A69" w14:textId="29D78962" w:rsidR="00D66C0E" w:rsidRPr="00D66C0E" w:rsidRDefault="00D66C0E">
      <w:pPr>
        <w:rPr>
          <w:b/>
          <w:bCs/>
        </w:rPr>
      </w:pPr>
      <w:r w:rsidRPr="00D66C0E">
        <w:rPr>
          <w:b/>
          <w:bCs/>
        </w:rPr>
        <w:t>Methods of data collection</w:t>
      </w:r>
      <w:r>
        <w:rPr>
          <w:b/>
          <w:bCs/>
        </w:rPr>
        <w:t xml:space="preserve"> and analysis</w:t>
      </w:r>
    </w:p>
    <w:p w14:paraId="536D5FA4" w14:textId="77777777" w:rsidR="00161745" w:rsidRDefault="00161745"/>
    <w:p w14:paraId="5D9B9F78" w14:textId="460DA96C" w:rsidR="00F129F0" w:rsidRDefault="00F129F0">
      <w:r>
        <w:t>To fulfil the purpose of this study, the researcher will use three methods to collect data: document analysis will be used to collect secondary data on official documents; individual interviews will be used to collect empirical data from two members of the programme team, and a heuristic approach will be use to collect empirical data from the other member of the programme team – the researcher.</w:t>
      </w:r>
    </w:p>
    <w:p w14:paraId="4D6F7E24" w14:textId="77777777" w:rsidR="00F129F0" w:rsidRDefault="00F129F0"/>
    <w:p w14:paraId="2686D826" w14:textId="4F263CBE" w:rsidR="00161745" w:rsidRDefault="00161745">
      <w:pPr>
        <w:rPr>
          <w:u w:val="single"/>
        </w:rPr>
      </w:pPr>
      <w:r w:rsidRPr="00161745">
        <w:rPr>
          <w:u w:val="single"/>
        </w:rPr>
        <w:t>Document analysis</w:t>
      </w:r>
    </w:p>
    <w:p w14:paraId="4020A546" w14:textId="77777777" w:rsidR="00161745" w:rsidRPr="00161745" w:rsidRDefault="00161745">
      <w:pPr>
        <w:rPr>
          <w:u w:val="single"/>
        </w:rPr>
      </w:pPr>
    </w:p>
    <w:p w14:paraId="7549BC62" w14:textId="77777777" w:rsidR="00224B29" w:rsidRDefault="00F129F0">
      <w:r>
        <w:t xml:space="preserve">This study will begin by conducting document analysis on 1) </w:t>
      </w:r>
      <w:r w:rsidR="00CD12B3">
        <w:t>QAA</w:t>
      </w:r>
      <w:r>
        <w:t xml:space="preserve"> bench mark statements and guidelines on Education Studies at the PGT level, to understand the sector-wide expectations of PGT students</w:t>
      </w:r>
      <w:r w:rsidRPr="00F129F0">
        <w:t xml:space="preserve"> </w:t>
      </w:r>
      <w:r>
        <w:t>in Education Studies</w:t>
      </w:r>
      <w:r>
        <w:t>,</w:t>
      </w:r>
      <w:r w:rsidR="00CD12B3">
        <w:t xml:space="preserve"> and</w:t>
      </w:r>
      <w:r>
        <w:t xml:space="preserve"> 2)</w:t>
      </w:r>
      <w:r w:rsidR="00CD12B3">
        <w:t xml:space="preserve"> the chosen university</w:t>
      </w:r>
      <w:r>
        <w:t xml:space="preserve">’s official </w:t>
      </w:r>
      <w:r w:rsidR="00CD12B3">
        <w:t>to investigate the institutional expectations of PGT students</w:t>
      </w:r>
      <w:r>
        <w:t xml:space="preserve"> in the chosen subject area</w:t>
      </w:r>
      <w:r w:rsidR="00CD12B3">
        <w:t xml:space="preserve">. Document or documentary analysis, according to Cohen, Manion and Morrison (2018) needs to consider authenticity, credibility, representativeness and (the intended and received) meaning of the text. </w:t>
      </w:r>
      <w:r w:rsidR="0002183C">
        <w:t xml:space="preserve">Some potential problems related to </w:t>
      </w:r>
      <w:r w:rsidR="0002183C">
        <w:lastRenderedPageBreak/>
        <w:t xml:space="preserve">document analysis is that the selected documents may not be produced to fit the purpose of the research and that it may contain too much information for the researcher to categorise and analysis, and important information may be lost due to the way information is categorised for analysis purposes. </w:t>
      </w:r>
      <w:r w:rsidR="00CD12B3">
        <w:t xml:space="preserve">Initial research has already located the required </w:t>
      </w:r>
      <w:r w:rsidR="0002183C">
        <w:t xml:space="preserve">guidelines and policy </w:t>
      </w:r>
      <w:r w:rsidR="00CD12B3">
        <w:t xml:space="preserve">documents which this research will investigate </w:t>
      </w:r>
      <w:r w:rsidR="0002183C">
        <w:t>on, they will be from QAA and the chosen university, thus authenticity, credibility, representativeness can all be satisfied. The difficult may lie in the meaning category, as policy documents are subject to interpretations</w:t>
      </w:r>
      <w:r w:rsidR="00CD12B3">
        <w:t xml:space="preserve">. </w:t>
      </w:r>
      <w:r w:rsidR="004D5397" w:rsidRPr="004D5397">
        <w:t>Thus, this will be triangulated through interviews with the programme team.</w:t>
      </w:r>
    </w:p>
    <w:p w14:paraId="573BC9BE" w14:textId="77777777" w:rsidR="00224B29" w:rsidRDefault="00224B29"/>
    <w:p w14:paraId="25E4292A" w14:textId="2F231178" w:rsidR="00224B29" w:rsidRDefault="004D5397">
      <w:r>
        <w:t>After the document analysis, interview questions will be constructed.</w:t>
      </w:r>
      <w:r w:rsidR="004B3D02">
        <w:t xml:space="preserve"> </w:t>
      </w:r>
      <w:r w:rsidRPr="004D5397">
        <w:t>The interview questi</w:t>
      </w:r>
      <w:r w:rsidR="00224B29">
        <w:t xml:space="preserve">ons will be divided into three parts, part one focuses on the programme team’s expectations of their students; part two seeks to understand their perceived challenges and barriers of </w:t>
      </w:r>
      <w:r w:rsidR="004B3D02">
        <w:t xml:space="preserve">their </w:t>
      </w:r>
      <w:r w:rsidR="00224B29">
        <w:t xml:space="preserve">international students, and part three explores </w:t>
      </w:r>
      <w:r w:rsidR="004B3D02">
        <w:t xml:space="preserve">their </w:t>
      </w:r>
      <w:r w:rsidR="00224B29">
        <w:t>strategies to support international students to overcome these challenges and barriers.</w:t>
      </w:r>
    </w:p>
    <w:p w14:paraId="1C40E24D" w14:textId="77777777" w:rsidR="004B3D02" w:rsidRDefault="004B3D02"/>
    <w:p w14:paraId="44909446" w14:textId="55398F7D" w:rsidR="00F726E2" w:rsidRPr="00F726E2" w:rsidRDefault="00F726E2">
      <w:pPr>
        <w:rPr>
          <w:u w:val="single"/>
        </w:rPr>
      </w:pPr>
      <w:r w:rsidRPr="00F726E2">
        <w:rPr>
          <w:u w:val="single"/>
        </w:rPr>
        <w:t>Heuristic approach</w:t>
      </w:r>
    </w:p>
    <w:p w14:paraId="3E74DC4E" w14:textId="77777777" w:rsidR="00F726E2" w:rsidRDefault="00F726E2"/>
    <w:p w14:paraId="0A338636" w14:textId="582D427A" w:rsidR="00337DC1" w:rsidRDefault="004B3D02">
      <w:r>
        <w:t>To make sure that all members of the programme team are included in this research to present a comprehensive view, a heuristic approach</w:t>
      </w:r>
      <w:r w:rsidR="00337DC1">
        <w:t xml:space="preserve"> (also named as autoethnography)</w:t>
      </w:r>
      <w:r>
        <w:t xml:space="preserve"> will be used to collect data from the researcher before individual interviews with other members of the programme team is conducted. </w:t>
      </w:r>
      <w:r w:rsidR="00C13678">
        <w:t xml:space="preserve">The same sets of interview questions will be used for the heuristic approach to get the same sets of answers as the other participants. </w:t>
      </w:r>
      <w:r>
        <w:t xml:space="preserve">Heuristic inquiry </w:t>
      </w:r>
      <w:r w:rsidR="008B45F9">
        <w:t xml:space="preserve">is a person-centred approach, which ‘seeks to explore questions that arise from a personal experience of the researcher’ (Lumma and Weger, 2023). Despite being developed for psychological research, it is suitable for this research as the researcher is a target participant, who is personally connected and motivated to be part of the process and be able to draw on retrospective data through prompts of the interview questions. This approach allows comprehensive views of the whole programme team to be presented in equal if not finer details, however, a heuristic approach is not without weaknesses. </w:t>
      </w:r>
      <w:r w:rsidR="00337DC1">
        <w:t xml:space="preserve">For the this research, the researcher </w:t>
      </w:r>
      <w:r w:rsidR="008B45F9">
        <w:t xml:space="preserve">needs to be able to enter an </w:t>
      </w:r>
      <w:r w:rsidR="00337DC1">
        <w:t xml:space="preserve">immersive state to collect data from memory without distraction, and to be aware of potential bias or presumptions made as a researcher, and collect true reflections without being influenced by these biases and presumptions. This, despite being a powerful tool to collect personal lived experience of the researcher, it is difficult to minimise the bias and presumptions that a researcher may bring to the research. To </w:t>
      </w:r>
      <w:r w:rsidR="00C13678">
        <w:t>reduce</w:t>
      </w:r>
      <w:r w:rsidR="00337DC1">
        <w:t xml:space="preserve"> this risk, </w:t>
      </w:r>
      <w:r w:rsidR="00C13678">
        <w:t xml:space="preserve">after the interview questions are finalised, the researcher will record the interview questions, and then leave the interview questions for a week. After a week, </w:t>
      </w:r>
      <w:r w:rsidR="00C13678">
        <w:lastRenderedPageBreak/>
        <w:t xml:space="preserve">the researcher will set </w:t>
      </w:r>
      <w:r w:rsidR="00161745">
        <w:t>45 minutes</w:t>
      </w:r>
      <w:r w:rsidR="00C13678">
        <w:t xml:space="preserve"> of uninterrupted time to listen to the recordings of the interview questions and answer them respectively. The answers will be audio recorded to allow transcription and coding.</w:t>
      </w:r>
    </w:p>
    <w:p w14:paraId="3535E47E" w14:textId="77777777" w:rsidR="00C13678" w:rsidRDefault="00C13678"/>
    <w:p w14:paraId="72B29216" w14:textId="0DC63755" w:rsidR="00F726E2" w:rsidRPr="00F726E2" w:rsidRDefault="00F726E2">
      <w:pPr>
        <w:rPr>
          <w:u w:val="single"/>
        </w:rPr>
      </w:pPr>
      <w:r w:rsidRPr="00F726E2">
        <w:rPr>
          <w:u w:val="single"/>
        </w:rPr>
        <w:t>Interviews</w:t>
      </w:r>
    </w:p>
    <w:p w14:paraId="6D7BADF7" w14:textId="77777777" w:rsidR="00F726E2" w:rsidRDefault="00F726E2"/>
    <w:p w14:paraId="54319853" w14:textId="6A55EC4D" w:rsidR="00C13678" w:rsidRDefault="00C13678">
      <w:r>
        <w:t xml:space="preserve">After data of the researcher is collected through the heuristic approach explained above, the individual interviews of the other two members of the programme team will be conducted. The reason for this sequence is to ensure that the researcher’s answers to the questions are not affected by the answers of the other two participants. The interviews will equally be </w:t>
      </w:r>
      <w:r w:rsidR="00161745">
        <w:t>45 minutes</w:t>
      </w:r>
      <w:r>
        <w:t xml:space="preserve"> in lengths to allow equal time for the participants to provide answers. A consent letter including the </w:t>
      </w:r>
      <w:r w:rsidR="00B80741">
        <w:t xml:space="preserve">following elements will be read out to the participants to seek oral consent: procedures and </w:t>
      </w:r>
      <w:r>
        <w:t>purpose of the research,</w:t>
      </w:r>
      <w:r w:rsidR="00B80741">
        <w:t xml:space="preserve"> expected </w:t>
      </w:r>
      <w:r>
        <w:t xml:space="preserve">risks </w:t>
      </w:r>
      <w:r w:rsidR="00B80741">
        <w:t>related to</w:t>
      </w:r>
      <w:r>
        <w:t xml:space="preserve"> confidentiality and anonymity</w:t>
      </w:r>
      <w:r w:rsidR="00B80741">
        <w:t>, benefits of participation, offer to answer questions and inform voluntary participation and the cut-off date for date withdrawal, as well as</w:t>
      </w:r>
      <w:r>
        <w:t xml:space="preserve"> means to report findings will be read out to the participants</w:t>
      </w:r>
      <w:r w:rsidR="00B80741">
        <w:t xml:space="preserve"> before the interview begins. The answers of the participants will be audio recorded to allow transcription and coding for analysis. Being one of the most common methods to collect qualitative data, i</w:t>
      </w:r>
      <w:r w:rsidR="00161745">
        <w:t>nterviews has many benefits. According to Atkins and Wallace, 2012) it allows participants to answer a wide range of questions which enabled them to give detailed answers and to fully explain their opinions. It also allows the researcher to check whether they understand the participants’ answers correct.  However, transcribing interviews can be time consuming, and decisions on what additional emotional or non-verbal cues need to be recorded in the transcription can influence the interpretation of interview data, especially when raw data is destroyed after transcription is complete. Additionally, the detailed information recorded from interviews might make coding and analysis difficult. Regardless of these disadvantages, interviews remain a suitable tools to get opinions from the two members of the programme team.</w:t>
      </w:r>
    </w:p>
    <w:p w14:paraId="14FBA2C0" w14:textId="77777777" w:rsidR="00161745" w:rsidRDefault="00161745"/>
    <w:p w14:paraId="422888A3" w14:textId="353BA60F" w:rsidR="00161745" w:rsidRPr="00F726E2" w:rsidRDefault="00F726E2">
      <w:pPr>
        <w:rPr>
          <w:u w:val="single"/>
        </w:rPr>
      </w:pPr>
      <w:r w:rsidRPr="00F726E2">
        <w:rPr>
          <w:u w:val="single"/>
        </w:rPr>
        <w:t>Data analysis</w:t>
      </w:r>
    </w:p>
    <w:p w14:paraId="5882E389" w14:textId="77777777" w:rsidR="00F726E2" w:rsidRDefault="00F726E2"/>
    <w:p w14:paraId="671CD4D1" w14:textId="7E1EF7B8" w:rsidR="00F726E2" w:rsidRDefault="00F726E2">
      <w:r>
        <w:t xml:space="preserve">Considering the purpose of this research, thematic analysis will be used for analysing selected documents and interviews transcriptions. Thematic analysis, is defined </w:t>
      </w:r>
      <w:r w:rsidR="00BE243E">
        <w:t xml:space="preserve">by Braun and Clarke (2006) </w:t>
      </w:r>
      <w:r>
        <w:t xml:space="preserve">as ‘a method for identifying, analysing and reporting patterns within data’ (p.79), </w:t>
      </w:r>
      <w:r w:rsidR="00BE243E">
        <w:t xml:space="preserve">and has many benefits including flexibility, as one may </w:t>
      </w:r>
      <w:r w:rsidR="00FB3879">
        <w:t xml:space="preserve">identify themes (or patterns) that are emerged from data. The key is to identify whether the </w:t>
      </w:r>
      <w:r w:rsidR="00FB3879">
        <w:lastRenderedPageBreak/>
        <w:t xml:space="preserve">determined themes </w:t>
      </w:r>
      <w:r w:rsidR="00235836">
        <w:t>‘capture’ important information in relation to the research questions. Braun and Clarke (2006) suggested six-stages for thematic research, starting from familiarisation data to setting initial patterns to naming the finalised patterns before writing up. This process will help to address the disadvantage of interviews of too much information. Thematic analysis will help the researcher to determine key theme that are relevant to the research questions. Given flexibility as one of the advantages of thematic analysis, however,</w:t>
      </w:r>
      <w:r w:rsidR="00FB3879">
        <w:t xml:space="preserve"> this is also one of its criticisms due to its lack of clear and concise guidelines (Antaki et al., 2022). </w:t>
      </w:r>
      <w:r w:rsidR="00235836">
        <w:t xml:space="preserve">Another issue with thematic analysis is that one has to be selective in the themes that they can select for their research, important information may exist in unselected themes. </w:t>
      </w:r>
    </w:p>
    <w:p w14:paraId="58872055" w14:textId="77777777" w:rsidR="00D66C0E" w:rsidRDefault="00D66C0E"/>
    <w:p w14:paraId="232B512E" w14:textId="0A349838" w:rsidR="00235836" w:rsidRPr="00235836" w:rsidRDefault="00235836">
      <w:pPr>
        <w:rPr>
          <w:b/>
          <w:bCs/>
        </w:rPr>
      </w:pPr>
      <w:r w:rsidRPr="00235836">
        <w:rPr>
          <w:b/>
          <w:bCs/>
        </w:rPr>
        <w:t>Summary</w:t>
      </w:r>
    </w:p>
    <w:p w14:paraId="5424988E" w14:textId="77777777" w:rsidR="00235836" w:rsidRDefault="00235836"/>
    <w:p w14:paraId="2CCE18BF" w14:textId="20E1B32A" w:rsidR="00F53675" w:rsidRDefault="00235836">
      <w:r>
        <w:t>This assignment laid out the background and rationale behind the purpose of the research. Research questions, aims and objectives of the research are provided with and explanation of the chosen philosophical framework, methodology, methods of data collection, and a brief discussion of methods of data analysis.</w:t>
      </w:r>
    </w:p>
    <w:p w14:paraId="6D1792D4" w14:textId="241B0978" w:rsidR="00F1415E" w:rsidRDefault="00F1415E">
      <w:r>
        <w:br w:type="page"/>
      </w:r>
    </w:p>
    <w:p w14:paraId="3C46F3C5" w14:textId="5C1B0B35" w:rsidR="00F1415E" w:rsidRPr="00F726E2" w:rsidRDefault="00F1415E">
      <w:pPr>
        <w:rPr>
          <w:b/>
          <w:bCs/>
        </w:rPr>
      </w:pPr>
      <w:r w:rsidRPr="00F726E2">
        <w:rPr>
          <w:b/>
          <w:bCs/>
        </w:rPr>
        <w:lastRenderedPageBreak/>
        <w:t>References:</w:t>
      </w:r>
    </w:p>
    <w:p w14:paraId="71CBB60D" w14:textId="77777777" w:rsidR="00161745" w:rsidRDefault="00161745" w:rsidP="00161745"/>
    <w:p w14:paraId="6E948375" w14:textId="66BA2053" w:rsidR="00FB3879" w:rsidRDefault="00FB3879" w:rsidP="00FB3879">
      <w:r>
        <w:t>A</w:t>
      </w:r>
      <w:r w:rsidRPr="00FB3879">
        <w:t>ntaki, C</w:t>
      </w:r>
      <w:r>
        <w:t xml:space="preserve">., </w:t>
      </w:r>
      <w:r w:rsidRPr="00FB3879">
        <w:t>Billig, M</w:t>
      </w:r>
      <w:r>
        <w:t>.,</w:t>
      </w:r>
      <w:r w:rsidRPr="00FB3879">
        <w:t xml:space="preserve"> Edwards, D</w:t>
      </w:r>
      <w:r>
        <w:t>. and</w:t>
      </w:r>
      <w:r w:rsidRPr="00FB3879">
        <w:t xml:space="preserve"> Potter, J</w:t>
      </w:r>
      <w:r>
        <w:t>.</w:t>
      </w:r>
      <w:r w:rsidRPr="00FB3879">
        <w:t xml:space="preserve"> (2003). </w:t>
      </w:r>
      <w:r>
        <w:t>‘</w:t>
      </w:r>
      <w:r w:rsidRPr="00FB3879">
        <w:t>Discourse analysis means doing analysis: a critique of six analytic shortcomings</w:t>
      </w:r>
      <w:r>
        <w:t>’.</w:t>
      </w:r>
      <w:r w:rsidRPr="00FB3879">
        <w:t xml:space="preserve"> Loughborough University. Journal contribution. </w:t>
      </w:r>
      <w:r>
        <w:t xml:space="preserve">Available at: </w:t>
      </w:r>
      <w:r w:rsidRPr="00FB3879">
        <w:t>https://hdl.handle.net/2134/633</w:t>
      </w:r>
      <w:r w:rsidRPr="00FB3879">
        <w:t xml:space="preserve"> </w:t>
      </w:r>
      <w:r>
        <w:t>(Accessed: 28 April 2025).</w:t>
      </w:r>
    </w:p>
    <w:p w14:paraId="2E48FC8A" w14:textId="77777777" w:rsidR="00FB3879" w:rsidRDefault="00FB3879" w:rsidP="00FB3879"/>
    <w:p w14:paraId="60C89052" w14:textId="5284088D" w:rsidR="00161745" w:rsidRPr="00161745" w:rsidRDefault="00161745" w:rsidP="00FB3879">
      <w:r w:rsidRPr="00161745">
        <w:t>Atkins, L.</w:t>
      </w:r>
      <w:r>
        <w:t xml:space="preserve"> and</w:t>
      </w:r>
      <w:r w:rsidRPr="00161745">
        <w:t xml:space="preserve"> Wallace, S. (2012) </w:t>
      </w:r>
      <w:r w:rsidRPr="00161745">
        <w:rPr>
          <w:i/>
          <w:iCs/>
        </w:rPr>
        <w:t>Qualitative research in education</w:t>
      </w:r>
      <w:r w:rsidRPr="00161745">
        <w:t>. London</w:t>
      </w:r>
      <w:r>
        <w:rPr>
          <w:rFonts w:ascii="Arial" w:hAnsi="Arial" w:cs="Arial"/>
        </w:rPr>
        <w:t>:</w:t>
      </w:r>
      <w:r w:rsidRPr="00161745">
        <w:t xml:space="preserve"> SAGE.</w:t>
      </w:r>
    </w:p>
    <w:p w14:paraId="06B8B9C6" w14:textId="77777777" w:rsidR="00F1415E" w:rsidRDefault="00F1415E"/>
    <w:p w14:paraId="05959447" w14:textId="3D75A45D" w:rsidR="00F1415E" w:rsidRPr="00750FEA" w:rsidRDefault="00F1415E" w:rsidP="00F1415E">
      <w:pPr>
        <w:rPr>
          <w:rFonts w:cstheme="minorHAnsi"/>
        </w:rPr>
      </w:pPr>
      <w:r w:rsidRPr="00750FEA">
        <w:rPr>
          <w:rFonts w:cstheme="minorHAnsi"/>
        </w:rPr>
        <w:t xml:space="preserve">Bolton, P., Lewis, J. and Gower, M. (2024) </w:t>
      </w:r>
      <w:r w:rsidRPr="00750FEA">
        <w:rPr>
          <w:rFonts w:cstheme="minorHAnsi"/>
          <w:i/>
          <w:iCs/>
        </w:rPr>
        <w:t>International students in UK higher education</w:t>
      </w:r>
      <w:r w:rsidRPr="00750FEA">
        <w:rPr>
          <w:rFonts w:cstheme="minorHAnsi"/>
        </w:rPr>
        <w:t xml:space="preserve">. (House of Commons Library Briefing Paper 7976). Available at: </w:t>
      </w:r>
      <w:hyperlink r:id="rId7" w:history="1">
        <w:r w:rsidRPr="00750FEA">
          <w:rPr>
            <w:rStyle w:val="Hyperlink"/>
            <w:rFonts w:cstheme="minorHAnsi"/>
          </w:rPr>
          <w:t>https://researchbriefings.files.parliament.uk/documents/CBP-7976/CBP-7976.pdf</w:t>
        </w:r>
      </w:hyperlink>
      <w:r w:rsidRPr="00750FEA">
        <w:rPr>
          <w:rFonts w:cstheme="minorHAnsi"/>
        </w:rPr>
        <w:t xml:space="preserve"> (Accessed: </w:t>
      </w:r>
      <w:r>
        <w:rPr>
          <w:rFonts w:cstheme="minorHAnsi"/>
        </w:rPr>
        <w:t>28 April</w:t>
      </w:r>
      <w:r w:rsidRPr="00750FEA">
        <w:rPr>
          <w:rFonts w:cstheme="minorHAnsi"/>
        </w:rPr>
        <w:t>, 2025).</w:t>
      </w:r>
    </w:p>
    <w:p w14:paraId="279E7906" w14:textId="77777777" w:rsidR="00F1415E" w:rsidRDefault="00F1415E"/>
    <w:p w14:paraId="1456E001" w14:textId="73A04A7D" w:rsidR="00BE243E" w:rsidRDefault="00BE243E">
      <w:r>
        <w:t xml:space="preserve">Braun, V. and Clarke, V. (2006) ‘Using thematic analysis in psychology’, </w:t>
      </w:r>
      <w:r w:rsidRPr="00BE243E">
        <w:rPr>
          <w:i/>
          <w:iCs/>
        </w:rPr>
        <w:t>Qualitative Research in Psychology</w:t>
      </w:r>
      <w:r>
        <w:t>, 3(2), pp.77-101.</w:t>
      </w:r>
    </w:p>
    <w:p w14:paraId="11B249A5" w14:textId="77777777" w:rsidR="00BE243E" w:rsidRDefault="00BE243E"/>
    <w:p w14:paraId="6A0DF5FC" w14:textId="6412A562" w:rsidR="007424E5" w:rsidRPr="007424E5" w:rsidRDefault="007424E5" w:rsidP="007424E5">
      <w:r w:rsidRPr="007424E5">
        <w:t xml:space="preserve">Cohen, L., Manion, L. and Morrison, K. (2018) </w:t>
      </w:r>
      <w:r w:rsidRPr="007424E5">
        <w:rPr>
          <w:i/>
          <w:iCs/>
        </w:rPr>
        <w:t>Research methods in education</w:t>
      </w:r>
      <w:r w:rsidRPr="007424E5">
        <w:t xml:space="preserve">. </w:t>
      </w:r>
      <w:r>
        <w:t>E</w:t>
      </w:r>
      <w:r w:rsidRPr="007424E5">
        <w:t>ighth edition. London New York: Routledge.</w:t>
      </w:r>
    </w:p>
    <w:p w14:paraId="60146CFD" w14:textId="77777777" w:rsidR="007424E5" w:rsidRDefault="007424E5"/>
    <w:p w14:paraId="49314A02" w14:textId="745E0EC9" w:rsidR="00E5370E" w:rsidRPr="00E5370E" w:rsidRDefault="00E5370E" w:rsidP="00E5370E">
      <w:r w:rsidRPr="00E5370E">
        <w:t xml:space="preserve">Coneyworth, L. </w:t>
      </w:r>
      <w:r w:rsidRPr="00E5370E">
        <w:rPr>
          <w:i/>
          <w:iCs/>
        </w:rPr>
        <w:t>et al.</w:t>
      </w:r>
      <w:r w:rsidRPr="00E5370E">
        <w:t xml:space="preserve"> (2020) ‘The overlooked cohort? – Improving the taught postgraduate student experience in higher education’, </w:t>
      </w:r>
      <w:r w:rsidRPr="00E5370E">
        <w:rPr>
          <w:i/>
          <w:iCs/>
        </w:rPr>
        <w:t>Innovations in Education and Teaching International</w:t>
      </w:r>
      <w:r w:rsidRPr="00E5370E">
        <w:t xml:space="preserve">, 57(3), pp. 262–273. Available at: </w:t>
      </w:r>
      <w:hyperlink r:id="rId8" w:history="1">
        <w:r w:rsidRPr="00E5370E">
          <w:rPr>
            <w:rStyle w:val="Hyperlink"/>
          </w:rPr>
          <w:t>https://doi.org/10.1080/14703297.2019.1617184</w:t>
        </w:r>
      </w:hyperlink>
    </w:p>
    <w:p w14:paraId="3FCDDAE9" w14:textId="77777777" w:rsidR="00E5370E" w:rsidRDefault="00E5370E"/>
    <w:p w14:paraId="5709B0CB" w14:textId="37F73B60" w:rsidR="003A1DB0" w:rsidRPr="003A1DB0" w:rsidRDefault="003A1DB0" w:rsidP="003A1DB0">
      <w:r w:rsidRPr="003A1DB0">
        <w:t>Evans, C. et al</w:t>
      </w:r>
      <w:r w:rsidRPr="003A1DB0">
        <w:rPr>
          <w:i/>
          <w:iCs/>
        </w:rPr>
        <w:t>.</w:t>
      </w:r>
      <w:r w:rsidRPr="003A1DB0">
        <w:t xml:space="preserve"> (2018) ‘Managing the transition from undergraduate to taught postgraduate study: perceptions of international students studying in the UK’, </w:t>
      </w:r>
      <w:r w:rsidRPr="003A1DB0">
        <w:rPr>
          <w:i/>
          <w:iCs/>
        </w:rPr>
        <w:t>Research in post-compulsory education</w:t>
      </w:r>
      <w:r w:rsidRPr="003A1DB0">
        <w:t>, 23(2), pp. 249–265. Available at: https://doi.org/10.1080/13596748.2018.1444386</w:t>
      </w:r>
    </w:p>
    <w:p w14:paraId="0E7A425E" w14:textId="77777777" w:rsidR="003A1DB0" w:rsidRDefault="003A1DB0"/>
    <w:p w14:paraId="68C6BC51" w14:textId="6975C626" w:rsidR="00B6685C" w:rsidRPr="00B6685C" w:rsidRDefault="00B6685C" w:rsidP="00B6685C">
      <w:r w:rsidRPr="00B6685C">
        <w:t xml:space="preserve">Gonzalez, L., Brown, M. and Slate, J. (2015) ‘Teachers Who Left the Teaching Profession: A Qualitative Understanding’, </w:t>
      </w:r>
      <w:r w:rsidRPr="00B6685C">
        <w:rPr>
          <w:i/>
          <w:iCs/>
        </w:rPr>
        <w:t>The Qualitative Report</w:t>
      </w:r>
      <w:r w:rsidRPr="00B6685C">
        <w:t xml:space="preserve"> [Preprint]. Available at: </w:t>
      </w:r>
      <w:hyperlink r:id="rId9" w:history="1">
        <w:r w:rsidRPr="00B6685C">
          <w:rPr>
            <w:rStyle w:val="Hyperlink"/>
          </w:rPr>
          <w:t>https://doi.org/10.46743/2160-3715/2008.1601</w:t>
        </w:r>
      </w:hyperlink>
    </w:p>
    <w:p w14:paraId="28F2D670" w14:textId="77777777" w:rsidR="00B6685C" w:rsidRDefault="00B6685C"/>
    <w:p w14:paraId="6B9ED32D" w14:textId="2C6BE86E" w:rsidR="005945A8" w:rsidRPr="005945A8" w:rsidRDefault="005945A8" w:rsidP="005945A8">
      <w:r w:rsidRPr="005945A8">
        <w:lastRenderedPageBreak/>
        <w:t xml:space="preserve">Hammersley, M. (2013) </w:t>
      </w:r>
      <w:r w:rsidRPr="005945A8">
        <w:rPr>
          <w:i/>
          <w:iCs/>
        </w:rPr>
        <w:t>What is Qualitative Research?</w:t>
      </w:r>
      <w:r w:rsidRPr="005945A8">
        <w:t xml:space="preserve"> </w:t>
      </w:r>
      <w:r>
        <w:t xml:space="preserve">London: </w:t>
      </w:r>
      <w:r w:rsidRPr="005945A8">
        <w:t xml:space="preserve">Bloomsbury Academic. Available at: </w:t>
      </w:r>
      <w:hyperlink r:id="rId10" w:history="1">
        <w:r w:rsidRPr="005945A8">
          <w:rPr>
            <w:rStyle w:val="Hyperlink"/>
          </w:rPr>
          <w:t>https://doi.org/10.5040/9781849666084</w:t>
        </w:r>
      </w:hyperlink>
    </w:p>
    <w:p w14:paraId="23B80402" w14:textId="77777777" w:rsidR="005945A8" w:rsidRDefault="005945A8"/>
    <w:p w14:paraId="04913FB8" w14:textId="3FA62266" w:rsidR="00283153" w:rsidRDefault="00283153">
      <w:r w:rsidRPr="00283153">
        <w:t xml:space="preserve">Hiller, J. (2016) </w:t>
      </w:r>
      <w:r>
        <w:t>‘</w:t>
      </w:r>
      <w:r w:rsidRPr="00283153">
        <w:t xml:space="preserve">Epistemological </w:t>
      </w:r>
      <w:r>
        <w:t>f</w:t>
      </w:r>
      <w:r w:rsidRPr="00283153">
        <w:t xml:space="preserve">oundations of </w:t>
      </w:r>
      <w:r>
        <w:t>o</w:t>
      </w:r>
      <w:r w:rsidRPr="00283153">
        <w:t xml:space="preserve">bjectivist and </w:t>
      </w:r>
      <w:r>
        <w:t>i</w:t>
      </w:r>
      <w:r w:rsidRPr="00283153">
        <w:t xml:space="preserve">nterpretivist </w:t>
      </w:r>
      <w:r>
        <w:t>r</w:t>
      </w:r>
      <w:r w:rsidRPr="00283153">
        <w:t>esearch</w:t>
      </w:r>
      <w:r>
        <w:t>’,</w:t>
      </w:r>
      <w:r w:rsidRPr="00283153">
        <w:t xml:space="preserve"> In Murphy, K.M. and Wheeler, B.L., Eds., </w:t>
      </w:r>
      <w:r w:rsidRPr="00283153">
        <w:rPr>
          <w:i/>
          <w:iCs/>
        </w:rPr>
        <w:t>Music Therapy Research</w:t>
      </w:r>
      <w:r w:rsidRPr="00283153">
        <w:t>, 3rd Edition, New Braunfels</w:t>
      </w:r>
      <w:r>
        <w:t xml:space="preserve">: </w:t>
      </w:r>
      <w:r w:rsidRPr="00283153">
        <w:t xml:space="preserve">Barcelona Publishers, </w:t>
      </w:r>
      <w:r>
        <w:t xml:space="preserve">pp. </w:t>
      </w:r>
      <w:r w:rsidRPr="00283153">
        <w:t>99-127</w:t>
      </w:r>
      <w:r>
        <w:t>.</w:t>
      </w:r>
    </w:p>
    <w:p w14:paraId="5049C7F3" w14:textId="77777777" w:rsidR="00F1415E" w:rsidRDefault="00F1415E"/>
    <w:p w14:paraId="6625B6A6" w14:textId="5E6A0E5B" w:rsidR="00F1415E" w:rsidRDefault="00F1415E" w:rsidP="00F1415E">
      <w:pPr>
        <w:rPr>
          <w:rFonts w:cstheme="minorHAnsi"/>
        </w:rPr>
      </w:pPr>
      <w:r w:rsidRPr="00750FEA">
        <w:rPr>
          <w:rFonts w:cstheme="minorHAnsi"/>
        </w:rPr>
        <w:t xml:space="preserve">House, G. (2020) </w:t>
      </w:r>
      <w:r w:rsidRPr="00750FEA">
        <w:rPr>
          <w:rFonts w:cstheme="minorHAnsi"/>
          <w:i/>
          <w:iCs/>
        </w:rPr>
        <w:t>Postgraduate Education in the UK</w:t>
      </w:r>
      <w:r w:rsidRPr="00750FEA">
        <w:rPr>
          <w:rFonts w:cstheme="minorHAnsi"/>
        </w:rPr>
        <w:t xml:space="preserve">. Available at: </w:t>
      </w:r>
      <w:hyperlink r:id="rId11" w:history="1">
        <w:r w:rsidRPr="00750FEA">
          <w:rPr>
            <w:rStyle w:val="Hyperlink"/>
            <w:rFonts w:cstheme="minorHAnsi"/>
          </w:rPr>
          <w:t>https://www.hepi.ac.u</w:t>
        </w:r>
        <w:r w:rsidRPr="00750FEA">
          <w:rPr>
            <w:rStyle w:val="Hyperlink"/>
            <w:rFonts w:cstheme="minorHAnsi"/>
          </w:rPr>
          <w:t>k</w:t>
        </w:r>
        <w:r w:rsidRPr="00750FEA">
          <w:rPr>
            <w:rStyle w:val="Hyperlink"/>
            <w:rFonts w:cstheme="minorHAnsi"/>
          </w:rPr>
          <w:t>/wp-content/uploads/2020/05/Postgraduate-Education-in-the-UK.pdf</w:t>
        </w:r>
      </w:hyperlink>
      <w:r w:rsidRPr="00750FEA">
        <w:rPr>
          <w:rFonts w:cstheme="minorHAnsi"/>
        </w:rPr>
        <w:t xml:space="preserve"> (Accessed: </w:t>
      </w:r>
      <w:r>
        <w:rPr>
          <w:rFonts w:cstheme="minorHAnsi"/>
        </w:rPr>
        <w:t>28 April</w:t>
      </w:r>
      <w:r w:rsidRPr="00750FEA">
        <w:rPr>
          <w:rFonts w:cstheme="minorHAnsi"/>
        </w:rPr>
        <w:t xml:space="preserve"> 2025).</w:t>
      </w:r>
    </w:p>
    <w:p w14:paraId="47997B8D" w14:textId="77777777" w:rsidR="00F1415E" w:rsidRDefault="00F1415E"/>
    <w:p w14:paraId="6328097E" w14:textId="0B088B43" w:rsidR="007424E5" w:rsidRDefault="007424E5">
      <w:r w:rsidRPr="007424E5">
        <w:t xml:space="preserve">Humphrey, C. (2013) ‘A Paradigmatic Map of Professional Education Research’, Social Work Education, 32(1), pp. 3–16. Available at: </w:t>
      </w:r>
      <w:hyperlink r:id="rId12" w:history="1">
        <w:r w:rsidRPr="00FA4F06">
          <w:rPr>
            <w:rStyle w:val="Hyperlink"/>
          </w:rPr>
          <w:t>https://doi.org/10.1080/02615479.2011.643863</w:t>
        </w:r>
      </w:hyperlink>
    </w:p>
    <w:p w14:paraId="26252D85" w14:textId="77777777" w:rsidR="007424E5" w:rsidRDefault="007424E5"/>
    <w:p w14:paraId="6A59308B" w14:textId="1A7CC534" w:rsidR="00A05E43" w:rsidRDefault="0093330D">
      <w:r w:rsidRPr="0093330D">
        <w:t xml:space="preserve">Kuhn, T.S. (1977) </w:t>
      </w:r>
      <w:r>
        <w:t>‘</w:t>
      </w:r>
      <w:r w:rsidRPr="0093330D">
        <w:t>Objectivity, Value Judgment, and Theory Choice</w:t>
      </w:r>
      <w:r>
        <w:t>’,</w:t>
      </w:r>
      <w:r w:rsidRPr="0093330D">
        <w:t xml:space="preserve"> In: Kuhn, T.S., Ed</w:t>
      </w:r>
      <w:r>
        <w:t>s</w:t>
      </w:r>
      <w:r w:rsidRPr="0093330D">
        <w:t xml:space="preserve">., </w:t>
      </w:r>
      <w:r w:rsidRPr="0093330D">
        <w:rPr>
          <w:i/>
          <w:iCs/>
        </w:rPr>
        <w:t>The Essential Tension—Selected Studies in Scientific Tradition and Change</w:t>
      </w:r>
      <w:r w:rsidRPr="0093330D">
        <w:t xml:space="preserve">, </w:t>
      </w:r>
      <w:r>
        <w:t xml:space="preserve">Chicago: </w:t>
      </w:r>
      <w:r w:rsidRPr="0093330D">
        <w:t>The University of Chicago Press</w:t>
      </w:r>
      <w:r>
        <w:t xml:space="preserve">, p. </w:t>
      </w:r>
      <w:r w:rsidRPr="0093330D">
        <w:t>320-339.</w:t>
      </w:r>
    </w:p>
    <w:p w14:paraId="0D8EB73E" w14:textId="77777777" w:rsidR="00FC2152" w:rsidRDefault="00FC2152"/>
    <w:p w14:paraId="501BAF71" w14:textId="7A2FAFBA" w:rsidR="008B45F9" w:rsidRDefault="008B45F9">
      <w:r w:rsidRPr="008B45F9">
        <w:t>Lumma, AL.</w:t>
      </w:r>
      <w:r>
        <w:t xml:space="preserve"> and</w:t>
      </w:r>
      <w:r w:rsidRPr="008B45F9">
        <w:t xml:space="preserve"> Weger, U.</w:t>
      </w:r>
      <w:r>
        <w:t xml:space="preserve"> (2023)</w:t>
      </w:r>
      <w:r w:rsidRPr="008B45F9">
        <w:t xml:space="preserve"> </w:t>
      </w:r>
      <w:r>
        <w:t>‘</w:t>
      </w:r>
      <w:r w:rsidRPr="008B45F9">
        <w:t xml:space="preserve">Looking from within: </w:t>
      </w:r>
      <w:r>
        <w:t>c</w:t>
      </w:r>
      <w:r w:rsidRPr="008B45F9">
        <w:t>omparing first-person approaches to studying experience</w:t>
      </w:r>
      <w:r>
        <w:t>’,</w:t>
      </w:r>
      <w:r w:rsidRPr="008B45F9">
        <w:t> </w:t>
      </w:r>
      <w:r w:rsidRPr="008B45F9">
        <w:rPr>
          <w:i/>
          <w:iCs/>
        </w:rPr>
        <w:t>Curr Psychol</w:t>
      </w:r>
      <w:r>
        <w:rPr>
          <w:i/>
          <w:iCs/>
        </w:rPr>
        <w:t>,</w:t>
      </w:r>
      <w:r w:rsidRPr="008B45F9">
        <w:t xml:space="preserve"> 42, 10437–10453. </w:t>
      </w:r>
      <w:r>
        <w:t xml:space="preserve">Available at: </w:t>
      </w:r>
      <w:hyperlink r:id="rId13" w:history="1">
        <w:r w:rsidRPr="00FA4F06">
          <w:rPr>
            <w:rStyle w:val="Hyperlink"/>
          </w:rPr>
          <w:t>https://doi.org/10.1007/s12144-021-02277-3</w:t>
        </w:r>
      </w:hyperlink>
    </w:p>
    <w:p w14:paraId="48A59FBB" w14:textId="77777777" w:rsidR="008B45F9" w:rsidRDefault="008B45F9"/>
    <w:p w14:paraId="21583B9F" w14:textId="42D4402D" w:rsidR="00A05E43" w:rsidRDefault="00A05E43">
      <w:r>
        <w:t xml:space="preserve">Macleod, G., Barnes, T. and Huttly, S.R. (2019) ‘Teaching at Master’s level: between a rock and a hard place’, </w:t>
      </w:r>
      <w:r w:rsidRPr="00A05E43">
        <w:rPr>
          <w:i/>
          <w:iCs/>
        </w:rPr>
        <w:t>Teaching in Higher Educat</w:t>
      </w:r>
      <w:r>
        <w:t>ion, 24(4), pp.</w:t>
      </w:r>
      <w:r w:rsidR="00F6688B">
        <w:t xml:space="preserve"> 493-509. Available at: </w:t>
      </w:r>
      <w:hyperlink r:id="rId14" w:history="1">
        <w:r w:rsidR="00F6688B" w:rsidRPr="00FA4F06">
          <w:rPr>
            <w:rStyle w:val="Hyperlink"/>
          </w:rPr>
          <w:t>https://doi.org/10.1080/13562517.2018.1491025</w:t>
        </w:r>
      </w:hyperlink>
    </w:p>
    <w:p w14:paraId="6ED15C8A" w14:textId="77777777" w:rsidR="00F6688B" w:rsidRDefault="00F6688B"/>
    <w:p w14:paraId="7635E5BB" w14:textId="5C61B315" w:rsidR="002E2DF6" w:rsidRPr="002E2DF6" w:rsidRDefault="002E2DF6" w:rsidP="002E2DF6">
      <w:r w:rsidRPr="002E2DF6">
        <w:t xml:space="preserve">Saunders, M., Lewis, P. and Thornhill, A. (2016) </w:t>
      </w:r>
      <w:r w:rsidRPr="002E2DF6">
        <w:rPr>
          <w:i/>
          <w:iCs/>
        </w:rPr>
        <w:t>Research methods for business students</w:t>
      </w:r>
      <w:r w:rsidRPr="002E2DF6">
        <w:t>. Seventh ed</w:t>
      </w:r>
      <w:r>
        <w:t>n</w:t>
      </w:r>
      <w:r w:rsidRPr="002E2DF6">
        <w:t>. Harlow: Pearson Education.</w:t>
      </w:r>
    </w:p>
    <w:p w14:paraId="3C3BF503" w14:textId="77777777" w:rsidR="008A47B4" w:rsidRDefault="008A47B4"/>
    <w:p w14:paraId="6F760B44" w14:textId="6C4D49DA" w:rsidR="00F1415E" w:rsidRDefault="00F1415E" w:rsidP="00F1415E">
      <w:r>
        <w:t xml:space="preserve">Universities UK (2023) </w:t>
      </w:r>
      <w:r w:rsidRPr="00F1415E">
        <w:rPr>
          <w:i/>
          <w:iCs/>
        </w:rPr>
        <w:t xml:space="preserve">Higher </w:t>
      </w:r>
      <w:r w:rsidRPr="00F1415E">
        <w:rPr>
          <w:i/>
          <w:iCs/>
        </w:rPr>
        <w:t>E</w:t>
      </w:r>
      <w:r w:rsidRPr="00F1415E">
        <w:rPr>
          <w:i/>
          <w:iCs/>
        </w:rPr>
        <w:t xml:space="preserve">ducation in </w:t>
      </w:r>
      <w:r w:rsidRPr="00F1415E">
        <w:rPr>
          <w:i/>
          <w:iCs/>
        </w:rPr>
        <w:t>F</w:t>
      </w:r>
      <w:r w:rsidRPr="00F1415E">
        <w:rPr>
          <w:i/>
          <w:iCs/>
        </w:rPr>
        <w:t xml:space="preserve">acts and </w:t>
      </w:r>
      <w:r w:rsidRPr="00F1415E">
        <w:rPr>
          <w:i/>
          <w:iCs/>
        </w:rPr>
        <w:t>F</w:t>
      </w:r>
      <w:r w:rsidRPr="00F1415E">
        <w:rPr>
          <w:i/>
          <w:iCs/>
        </w:rPr>
        <w:t>igures: 2023</w:t>
      </w:r>
      <w:r w:rsidRPr="00F1415E">
        <w:rPr>
          <w:i/>
          <w:iCs/>
        </w:rPr>
        <w:t xml:space="preserve"> - </w:t>
      </w:r>
      <w:r w:rsidRPr="00F1415E">
        <w:rPr>
          <w:i/>
          <w:iCs/>
        </w:rPr>
        <w:t>Finances</w:t>
      </w:r>
      <w:r>
        <w:t xml:space="preserve">. Available at: </w:t>
      </w:r>
      <w:hyperlink r:id="rId15" w:history="1">
        <w:r w:rsidRPr="006B0454">
          <w:rPr>
            <w:rStyle w:val="Hyperlink"/>
          </w:rPr>
          <w:t>https://www.universitiesuk.ac.uk/what-we-do/policy-and-</w:t>
        </w:r>
        <w:r w:rsidRPr="006B0454">
          <w:rPr>
            <w:rStyle w:val="Hyperlink"/>
          </w:rPr>
          <w:lastRenderedPageBreak/>
          <w:t>research/publications/features/higher-education-facts-and-figures-2023/finances</w:t>
        </w:r>
      </w:hyperlink>
      <w:r>
        <w:t xml:space="preserve"> (Accessed: 28 April 2025).</w:t>
      </w:r>
    </w:p>
    <w:p w14:paraId="507C80AB" w14:textId="77777777" w:rsidR="00F1415E" w:rsidRDefault="00F1415E" w:rsidP="00F1415E"/>
    <w:p w14:paraId="5D4CBD6F" w14:textId="15DDACFF" w:rsidR="008A47B4" w:rsidRDefault="008A47B4" w:rsidP="00F1415E">
      <w:r w:rsidRPr="008A47B4">
        <w:t>Young, T.J. et al</w:t>
      </w:r>
      <w:r w:rsidRPr="008A47B4">
        <w:rPr>
          <w:i/>
          <w:iCs/>
        </w:rPr>
        <w:t>.</w:t>
      </w:r>
      <w:r w:rsidRPr="008A47B4">
        <w:t xml:space="preserve"> (2013) ‘Success factors for international postgraduate students’ adjustment: exploring the roles of intercultural competence, language proficiency, social contact and social support’, </w:t>
      </w:r>
      <w:r w:rsidRPr="008A47B4">
        <w:rPr>
          <w:i/>
          <w:iCs/>
        </w:rPr>
        <w:t>European Journal of Higher Education</w:t>
      </w:r>
      <w:r w:rsidRPr="008A47B4">
        <w:t xml:space="preserve">, 3(2), pp. 151–171. Available at: </w:t>
      </w:r>
      <w:hyperlink r:id="rId16" w:history="1">
        <w:r w:rsidRPr="008A47B4">
          <w:rPr>
            <w:rStyle w:val="Hyperlink"/>
          </w:rPr>
          <w:t>https://doi.org/10.1080/21568235.2012.743746</w:t>
        </w:r>
      </w:hyperlink>
    </w:p>
    <w:p w14:paraId="32B313F1" w14:textId="77777777" w:rsidR="008A47B4" w:rsidRDefault="008A47B4" w:rsidP="00F1415E"/>
    <w:p w14:paraId="31726CD6" w14:textId="599A6048" w:rsidR="003A1DB0" w:rsidRDefault="003A1DB0" w:rsidP="003A1DB0">
      <w:r w:rsidRPr="003A1DB0">
        <w:t xml:space="preserve">Zhang, J., Fuller, K.M. and Elliot, D. (2024) ‘Likened to “A Boiled Egg”: Understanding Chinese Postgraduate Taught Students’ Transitional Experience in the UK’, </w:t>
      </w:r>
      <w:r w:rsidRPr="003A1DB0">
        <w:rPr>
          <w:i/>
          <w:iCs/>
        </w:rPr>
        <w:t>Journal of international students</w:t>
      </w:r>
      <w:r w:rsidRPr="003A1DB0">
        <w:t xml:space="preserve">, 14(3), pp. 42-. Available at: </w:t>
      </w:r>
      <w:hyperlink r:id="rId17" w:history="1">
        <w:r w:rsidRPr="003A1DB0">
          <w:rPr>
            <w:rStyle w:val="Hyperlink"/>
          </w:rPr>
          <w:t>https://doi.org/10.32674/jis.v14i3.6046</w:t>
        </w:r>
      </w:hyperlink>
    </w:p>
    <w:p w14:paraId="43FC5E1E" w14:textId="77777777" w:rsidR="003A1DB0" w:rsidRPr="003A1DB0" w:rsidRDefault="003A1DB0" w:rsidP="003A1DB0"/>
    <w:p w14:paraId="6E0018BA" w14:textId="77777777" w:rsidR="008A47B4" w:rsidRDefault="008A47B4" w:rsidP="00F1415E"/>
    <w:p w14:paraId="500A71D7" w14:textId="77777777" w:rsidR="00F1415E" w:rsidRDefault="00F1415E" w:rsidP="00F1415E"/>
    <w:sectPr w:rsidR="00F141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84DF5"/>
    <w:multiLevelType w:val="hybridMultilevel"/>
    <w:tmpl w:val="5C246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C348B9"/>
    <w:multiLevelType w:val="hybridMultilevel"/>
    <w:tmpl w:val="29343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0331FA"/>
    <w:multiLevelType w:val="hybridMultilevel"/>
    <w:tmpl w:val="C794F6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9742531">
    <w:abstractNumId w:val="0"/>
  </w:num>
  <w:num w:numId="2" w16cid:durableId="964580054">
    <w:abstractNumId w:val="1"/>
  </w:num>
  <w:num w:numId="3" w16cid:durableId="14815386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27D"/>
    <w:rsid w:val="00000C29"/>
    <w:rsid w:val="0002183C"/>
    <w:rsid w:val="00116E18"/>
    <w:rsid w:val="00161745"/>
    <w:rsid w:val="001D7DBD"/>
    <w:rsid w:val="001F5BBE"/>
    <w:rsid w:val="001F70EF"/>
    <w:rsid w:val="00224B29"/>
    <w:rsid w:val="00235836"/>
    <w:rsid w:val="00283153"/>
    <w:rsid w:val="0029526E"/>
    <w:rsid w:val="002E2DF6"/>
    <w:rsid w:val="00312E02"/>
    <w:rsid w:val="00334A19"/>
    <w:rsid w:val="00337DC1"/>
    <w:rsid w:val="0038022A"/>
    <w:rsid w:val="003A0AF2"/>
    <w:rsid w:val="003A1DB0"/>
    <w:rsid w:val="00431438"/>
    <w:rsid w:val="00461916"/>
    <w:rsid w:val="004822C1"/>
    <w:rsid w:val="004B3D02"/>
    <w:rsid w:val="004D5397"/>
    <w:rsid w:val="004E6CE6"/>
    <w:rsid w:val="005331F9"/>
    <w:rsid w:val="005412DC"/>
    <w:rsid w:val="005945A8"/>
    <w:rsid w:val="005C4C13"/>
    <w:rsid w:val="00611D04"/>
    <w:rsid w:val="00643E2F"/>
    <w:rsid w:val="00647164"/>
    <w:rsid w:val="007424E5"/>
    <w:rsid w:val="007573BE"/>
    <w:rsid w:val="0077146B"/>
    <w:rsid w:val="007755E2"/>
    <w:rsid w:val="00791180"/>
    <w:rsid w:val="008559F2"/>
    <w:rsid w:val="00856E7D"/>
    <w:rsid w:val="0087492F"/>
    <w:rsid w:val="00886508"/>
    <w:rsid w:val="008A47B4"/>
    <w:rsid w:val="008B45F9"/>
    <w:rsid w:val="0093330D"/>
    <w:rsid w:val="0094344F"/>
    <w:rsid w:val="0097162E"/>
    <w:rsid w:val="00A05E43"/>
    <w:rsid w:val="00A13F89"/>
    <w:rsid w:val="00B00C16"/>
    <w:rsid w:val="00B05E2F"/>
    <w:rsid w:val="00B47F14"/>
    <w:rsid w:val="00B6685C"/>
    <w:rsid w:val="00B80741"/>
    <w:rsid w:val="00BD2D1C"/>
    <w:rsid w:val="00BD33C7"/>
    <w:rsid w:val="00BD506C"/>
    <w:rsid w:val="00BE243E"/>
    <w:rsid w:val="00C13678"/>
    <w:rsid w:val="00C810B4"/>
    <w:rsid w:val="00CB29EE"/>
    <w:rsid w:val="00CD12B3"/>
    <w:rsid w:val="00D4427D"/>
    <w:rsid w:val="00D4463D"/>
    <w:rsid w:val="00D52F53"/>
    <w:rsid w:val="00D66C0E"/>
    <w:rsid w:val="00DA53AA"/>
    <w:rsid w:val="00DC04DF"/>
    <w:rsid w:val="00E5370E"/>
    <w:rsid w:val="00E56460"/>
    <w:rsid w:val="00E770B9"/>
    <w:rsid w:val="00F129F0"/>
    <w:rsid w:val="00F1415E"/>
    <w:rsid w:val="00F15986"/>
    <w:rsid w:val="00F224BE"/>
    <w:rsid w:val="00F43AAC"/>
    <w:rsid w:val="00F517B1"/>
    <w:rsid w:val="00F53675"/>
    <w:rsid w:val="00F6042D"/>
    <w:rsid w:val="00F6688B"/>
    <w:rsid w:val="00F726E2"/>
    <w:rsid w:val="00FB3879"/>
    <w:rsid w:val="00FC2152"/>
    <w:rsid w:val="00FE3A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41C88"/>
  <w15:chartTrackingRefBased/>
  <w15:docId w15:val="{9C296649-2C21-42EB-B631-49581480B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06C"/>
  </w:style>
  <w:style w:type="paragraph" w:styleId="Heading1">
    <w:name w:val="heading 1"/>
    <w:basedOn w:val="Normal"/>
    <w:next w:val="Normal"/>
    <w:link w:val="Heading1Char"/>
    <w:uiPriority w:val="9"/>
    <w:qFormat/>
    <w:rsid w:val="00D442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2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2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2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2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2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2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2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2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2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2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2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2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2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2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2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2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27D"/>
    <w:rPr>
      <w:rFonts w:eastAsiaTheme="majorEastAsia" w:cstheme="majorBidi"/>
      <w:color w:val="272727" w:themeColor="text1" w:themeTint="D8"/>
    </w:rPr>
  </w:style>
  <w:style w:type="paragraph" w:styleId="Title">
    <w:name w:val="Title"/>
    <w:basedOn w:val="Normal"/>
    <w:next w:val="Normal"/>
    <w:link w:val="TitleChar"/>
    <w:uiPriority w:val="10"/>
    <w:qFormat/>
    <w:rsid w:val="00D442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2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2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2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27D"/>
    <w:pPr>
      <w:spacing w:before="160"/>
      <w:jc w:val="center"/>
    </w:pPr>
    <w:rPr>
      <w:i/>
      <w:iCs/>
      <w:color w:val="404040" w:themeColor="text1" w:themeTint="BF"/>
    </w:rPr>
  </w:style>
  <w:style w:type="character" w:customStyle="1" w:styleId="QuoteChar">
    <w:name w:val="Quote Char"/>
    <w:basedOn w:val="DefaultParagraphFont"/>
    <w:link w:val="Quote"/>
    <w:uiPriority w:val="29"/>
    <w:rsid w:val="00D4427D"/>
    <w:rPr>
      <w:i/>
      <w:iCs/>
      <w:color w:val="404040" w:themeColor="text1" w:themeTint="BF"/>
    </w:rPr>
  </w:style>
  <w:style w:type="paragraph" w:styleId="ListParagraph">
    <w:name w:val="List Paragraph"/>
    <w:basedOn w:val="Normal"/>
    <w:uiPriority w:val="99"/>
    <w:qFormat/>
    <w:rsid w:val="00D4427D"/>
    <w:pPr>
      <w:ind w:left="720"/>
      <w:contextualSpacing/>
    </w:pPr>
  </w:style>
  <w:style w:type="character" w:styleId="IntenseEmphasis">
    <w:name w:val="Intense Emphasis"/>
    <w:basedOn w:val="DefaultParagraphFont"/>
    <w:uiPriority w:val="21"/>
    <w:qFormat/>
    <w:rsid w:val="00D4427D"/>
    <w:rPr>
      <w:i/>
      <w:iCs/>
      <w:color w:val="0F4761" w:themeColor="accent1" w:themeShade="BF"/>
    </w:rPr>
  </w:style>
  <w:style w:type="paragraph" w:styleId="IntenseQuote">
    <w:name w:val="Intense Quote"/>
    <w:basedOn w:val="Normal"/>
    <w:next w:val="Normal"/>
    <w:link w:val="IntenseQuoteChar"/>
    <w:uiPriority w:val="30"/>
    <w:qFormat/>
    <w:rsid w:val="00D442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27D"/>
    <w:rPr>
      <w:i/>
      <w:iCs/>
      <w:color w:val="0F4761" w:themeColor="accent1" w:themeShade="BF"/>
    </w:rPr>
  </w:style>
  <w:style w:type="character" w:styleId="IntenseReference">
    <w:name w:val="Intense Reference"/>
    <w:basedOn w:val="DefaultParagraphFont"/>
    <w:uiPriority w:val="32"/>
    <w:qFormat/>
    <w:rsid w:val="00D4427D"/>
    <w:rPr>
      <w:b/>
      <w:bCs/>
      <w:smallCaps/>
      <w:color w:val="0F4761" w:themeColor="accent1" w:themeShade="BF"/>
      <w:spacing w:val="5"/>
    </w:rPr>
  </w:style>
  <w:style w:type="character" w:styleId="Hyperlink">
    <w:name w:val="Hyperlink"/>
    <w:basedOn w:val="DefaultParagraphFont"/>
    <w:uiPriority w:val="99"/>
    <w:unhideWhenUsed/>
    <w:rsid w:val="00F1415E"/>
    <w:rPr>
      <w:color w:val="467886" w:themeColor="hyperlink"/>
      <w:u w:val="single"/>
    </w:rPr>
  </w:style>
  <w:style w:type="character" w:styleId="UnresolvedMention">
    <w:name w:val="Unresolved Mention"/>
    <w:basedOn w:val="DefaultParagraphFont"/>
    <w:uiPriority w:val="99"/>
    <w:semiHidden/>
    <w:unhideWhenUsed/>
    <w:rsid w:val="00F1415E"/>
    <w:rPr>
      <w:color w:val="605E5C"/>
      <w:shd w:val="clear" w:color="auto" w:fill="E1DFDD"/>
    </w:rPr>
  </w:style>
  <w:style w:type="character" w:styleId="FollowedHyperlink">
    <w:name w:val="FollowedHyperlink"/>
    <w:basedOn w:val="DefaultParagraphFont"/>
    <w:uiPriority w:val="99"/>
    <w:semiHidden/>
    <w:unhideWhenUsed/>
    <w:rsid w:val="00F1415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875826">
      <w:bodyDiv w:val="1"/>
      <w:marLeft w:val="0"/>
      <w:marRight w:val="0"/>
      <w:marTop w:val="0"/>
      <w:marBottom w:val="0"/>
      <w:divBdr>
        <w:top w:val="none" w:sz="0" w:space="0" w:color="auto"/>
        <w:left w:val="none" w:sz="0" w:space="0" w:color="auto"/>
        <w:bottom w:val="none" w:sz="0" w:space="0" w:color="auto"/>
        <w:right w:val="none" w:sz="0" w:space="0" w:color="auto"/>
      </w:divBdr>
      <w:divsChild>
        <w:div w:id="1712803085">
          <w:marLeft w:val="0"/>
          <w:marRight w:val="0"/>
          <w:marTop w:val="0"/>
          <w:marBottom w:val="0"/>
          <w:divBdr>
            <w:top w:val="none" w:sz="0" w:space="0" w:color="auto"/>
            <w:left w:val="none" w:sz="0" w:space="0" w:color="auto"/>
            <w:bottom w:val="none" w:sz="0" w:space="0" w:color="auto"/>
            <w:right w:val="none" w:sz="0" w:space="0" w:color="auto"/>
          </w:divBdr>
          <w:divsChild>
            <w:div w:id="137372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175678">
      <w:bodyDiv w:val="1"/>
      <w:marLeft w:val="0"/>
      <w:marRight w:val="0"/>
      <w:marTop w:val="0"/>
      <w:marBottom w:val="0"/>
      <w:divBdr>
        <w:top w:val="none" w:sz="0" w:space="0" w:color="auto"/>
        <w:left w:val="none" w:sz="0" w:space="0" w:color="auto"/>
        <w:bottom w:val="none" w:sz="0" w:space="0" w:color="auto"/>
        <w:right w:val="none" w:sz="0" w:space="0" w:color="auto"/>
      </w:divBdr>
      <w:divsChild>
        <w:div w:id="601762456">
          <w:marLeft w:val="0"/>
          <w:marRight w:val="0"/>
          <w:marTop w:val="0"/>
          <w:marBottom w:val="0"/>
          <w:divBdr>
            <w:top w:val="none" w:sz="0" w:space="0" w:color="auto"/>
            <w:left w:val="none" w:sz="0" w:space="0" w:color="auto"/>
            <w:bottom w:val="none" w:sz="0" w:space="0" w:color="auto"/>
            <w:right w:val="none" w:sz="0" w:space="0" w:color="auto"/>
          </w:divBdr>
          <w:divsChild>
            <w:div w:id="137057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566730">
      <w:bodyDiv w:val="1"/>
      <w:marLeft w:val="0"/>
      <w:marRight w:val="0"/>
      <w:marTop w:val="0"/>
      <w:marBottom w:val="0"/>
      <w:divBdr>
        <w:top w:val="none" w:sz="0" w:space="0" w:color="auto"/>
        <w:left w:val="none" w:sz="0" w:space="0" w:color="auto"/>
        <w:bottom w:val="none" w:sz="0" w:space="0" w:color="auto"/>
        <w:right w:val="none" w:sz="0" w:space="0" w:color="auto"/>
      </w:divBdr>
      <w:divsChild>
        <w:div w:id="910653692">
          <w:marLeft w:val="0"/>
          <w:marRight w:val="0"/>
          <w:marTop w:val="0"/>
          <w:marBottom w:val="0"/>
          <w:divBdr>
            <w:top w:val="none" w:sz="0" w:space="0" w:color="auto"/>
            <w:left w:val="none" w:sz="0" w:space="0" w:color="auto"/>
            <w:bottom w:val="none" w:sz="0" w:space="0" w:color="auto"/>
            <w:right w:val="none" w:sz="0" w:space="0" w:color="auto"/>
          </w:divBdr>
          <w:divsChild>
            <w:div w:id="43208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111268">
      <w:bodyDiv w:val="1"/>
      <w:marLeft w:val="0"/>
      <w:marRight w:val="0"/>
      <w:marTop w:val="0"/>
      <w:marBottom w:val="0"/>
      <w:divBdr>
        <w:top w:val="none" w:sz="0" w:space="0" w:color="auto"/>
        <w:left w:val="none" w:sz="0" w:space="0" w:color="auto"/>
        <w:bottom w:val="none" w:sz="0" w:space="0" w:color="auto"/>
        <w:right w:val="none" w:sz="0" w:space="0" w:color="auto"/>
      </w:divBdr>
      <w:divsChild>
        <w:div w:id="1005477695">
          <w:marLeft w:val="0"/>
          <w:marRight w:val="0"/>
          <w:marTop w:val="0"/>
          <w:marBottom w:val="0"/>
          <w:divBdr>
            <w:top w:val="none" w:sz="0" w:space="0" w:color="auto"/>
            <w:left w:val="none" w:sz="0" w:space="0" w:color="auto"/>
            <w:bottom w:val="none" w:sz="0" w:space="0" w:color="auto"/>
            <w:right w:val="none" w:sz="0" w:space="0" w:color="auto"/>
          </w:divBdr>
          <w:divsChild>
            <w:div w:id="16058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518337">
      <w:bodyDiv w:val="1"/>
      <w:marLeft w:val="0"/>
      <w:marRight w:val="0"/>
      <w:marTop w:val="0"/>
      <w:marBottom w:val="0"/>
      <w:divBdr>
        <w:top w:val="none" w:sz="0" w:space="0" w:color="auto"/>
        <w:left w:val="none" w:sz="0" w:space="0" w:color="auto"/>
        <w:bottom w:val="none" w:sz="0" w:space="0" w:color="auto"/>
        <w:right w:val="none" w:sz="0" w:space="0" w:color="auto"/>
      </w:divBdr>
      <w:divsChild>
        <w:div w:id="421991500">
          <w:marLeft w:val="0"/>
          <w:marRight w:val="0"/>
          <w:marTop w:val="0"/>
          <w:marBottom w:val="0"/>
          <w:divBdr>
            <w:top w:val="none" w:sz="0" w:space="0" w:color="auto"/>
            <w:left w:val="none" w:sz="0" w:space="0" w:color="auto"/>
            <w:bottom w:val="none" w:sz="0" w:space="0" w:color="auto"/>
            <w:right w:val="none" w:sz="0" w:space="0" w:color="auto"/>
          </w:divBdr>
          <w:divsChild>
            <w:div w:id="120363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83887">
      <w:bodyDiv w:val="1"/>
      <w:marLeft w:val="0"/>
      <w:marRight w:val="0"/>
      <w:marTop w:val="0"/>
      <w:marBottom w:val="0"/>
      <w:divBdr>
        <w:top w:val="none" w:sz="0" w:space="0" w:color="auto"/>
        <w:left w:val="none" w:sz="0" w:space="0" w:color="auto"/>
        <w:bottom w:val="none" w:sz="0" w:space="0" w:color="auto"/>
        <w:right w:val="none" w:sz="0" w:space="0" w:color="auto"/>
      </w:divBdr>
      <w:divsChild>
        <w:div w:id="949244254">
          <w:marLeft w:val="0"/>
          <w:marRight w:val="0"/>
          <w:marTop w:val="0"/>
          <w:marBottom w:val="0"/>
          <w:divBdr>
            <w:top w:val="none" w:sz="0" w:space="0" w:color="auto"/>
            <w:left w:val="none" w:sz="0" w:space="0" w:color="auto"/>
            <w:bottom w:val="none" w:sz="0" w:space="0" w:color="auto"/>
            <w:right w:val="none" w:sz="0" w:space="0" w:color="auto"/>
          </w:divBdr>
          <w:divsChild>
            <w:div w:id="63742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198956">
      <w:bodyDiv w:val="1"/>
      <w:marLeft w:val="0"/>
      <w:marRight w:val="0"/>
      <w:marTop w:val="0"/>
      <w:marBottom w:val="0"/>
      <w:divBdr>
        <w:top w:val="none" w:sz="0" w:space="0" w:color="auto"/>
        <w:left w:val="none" w:sz="0" w:space="0" w:color="auto"/>
        <w:bottom w:val="none" w:sz="0" w:space="0" w:color="auto"/>
        <w:right w:val="none" w:sz="0" w:space="0" w:color="auto"/>
      </w:divBdr>
      <w:divsChild>
        <w:div w:id="1298099576">
          <w:marLeft w:val="0"/>
          <w:marRight w:val="0"/>
          <w:marTop w:val="0"/>
          <w:marBottom w:val="0"/>
          <w:divBdr>
            <w:top w:val="none" w:sz="0" w:space="0" w:color="auto"/>
            <w:left w:val="none" w:sz="0" w:space="0" w:color="auto"/>
            <w:bottom w:val="none" w:sz="0" w:space="0" w:color="auto"/>
            <w:right w:val="none" w:sz="0" w:space="0" w:color="auto"/>
          </w:divBdr>
          <w:divsChild>
            <w:div w:id="205750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944919">
      <w:bodyDiv w:val="1"/>
      <w:marLeft w:val="0"/>
      <w:marRight w:val="0"/>
      <w:marTop w:val="0"/>
      <w:marBottom w:val="0"/>
      <w:divBdr>
        <w:top w:val="none" w:sz="0" w:space="0" w:color="auto"/>
        <w:left w:val="none" w:sz="0" w:space="0" w:color="auto"/>
        <w:bottom w:val="none" w:sz="0" w:space="0" w:color="auto"/>
        <w:right w:val="none" w:sz="0" w:space="0" w:color="auto"/>
      </w:divBdr>
      <w:divsChild>
        <w:div w:id="1602761002">
          <w:marLeft w:val="0"/>
          <w:marRight w:val="0"/>
          <w:marTop w:val="0"/>
          <w:marBottom w:val="0"/>
          <w:divBdr>
            <w:top w:val="none" w:sz="0" w:space="0" w:color="auto"/>
            <w:left w:val="none" w:sz="0" w:space="0" w:color="auto"/>
            <w:bottom w:val="none" w:sz="0" w:space="0" w:color="auto"/>
            <w:right w:val="none" w:sz="0" w:space="0" w:color="auto"/>
          </w:divBdr>
          <w:divsChild>
            <w:div w:id="128326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724361">
      <w:bodyDiv w:val="1"/>
      <w:marLeft w:val="0"/>
      <w:marRight w:val="0"/>
      <w:marTop w:val="0"/>
      <w:marBottom w:val="0"/>
      <w:divBdr>
        <w:top w:val="none" w:sz="0" w:space="0" w:color="auto"/>
        <w:left w:val="none" w:sz="0" w:space="0" w:color="auto"/>
        <w:bottom w:val="none" w:sz="0" w:space="0" w:color="auto"/>
        <w:right w:val="none" w:sz="0" w:space="0" w:color="auto"/>
      </w:divBdr>
      <w:divsChild>
        <w:div w:id="77138512">
          <w:marLeft w:val="0"/>
          <w:marRight w:val="0"/>
          <w:marTop w:val="0"/>
          <w:marBottom w:val="0"/>
          <w:divBdr>
            <w:top w:val="none" w:sz="0" w:space="0" w:color="auto"/>
            <w:left w:val="none" w:sz="0" w:space="0" w:color="auto"/>
            <w:bottom w:val="none" w:sz="0" w:space="0" w:color="auto"/>
            <w:right w:val="none" w:sz="0" w:space="0" w:color="auto"/>
          </w:divBdr>
          <w:divsChild>
            <w:div w:id="141605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011642">
      <w:bodyDiv w:val="1"/>
      <w:marLeft w:val="0"/>
      <w:marRight w:val="0"/>
      <w:marTop w:val="0"/>
      <w:marBottom w:val="0"/>
      <w:divBdr>
        <w:top w:val="none" w:sz="0" w:space="0" w:color="auto"/>
        <w:left w:val="none" w:sz="0" w:space="0" w:color="auto"/>
        <w:bottom w:val="none" w:sz="0" w:space="0" w:color="auto"/>
        <w:right w:val="none" w:sz="0" w:space="0" w:color="auto"/>
      </w:divBdr>
      <w:divsChild>
        <w:div w:id="1702514268">
          <w:marLeft w:val="0"/>
          <w:marRight w:val="0"/>
          <w:marTop w:val="0"/>
          <w:marBottom w:val="0"/>
          <w:divBdr>
            <w:top w:val="none" w:sz="0" w:space="0" w:color="auto"/>
            <w:left w:val="none" w:sz="0" w:space="0" w:color="auto"/>
            <w:bottom w:val="none" w:sz="0" w:space="0" w:color="auto"/>
            <w:right w:val="none" w:sz="0" w:space="0" w:color="auto"/>
          </w:divBdr>
          <w:divsChild>
            <w:div w:id="198404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138826">
      <w:bodyDiv w:val="1"/>
      <w:marLeft w:val="0"/>
      <w:marRight w:val="0"/>
      <w:marTop w:val="0"/>
      <w:marBottom w:val="0"/>
      <w:divBdr>
        <w:top w:val="none" w:sz="0" w:space="0" w:color="auto"/>
        <w:left w:val="none" w:sz="0" w:space="0" w:color="auto"/>
        <w:bottom w:val="none" w:sz="0" w:space="0" w:color="auto"/>
        <w:right w:val="none" w:sz="0" w:space="0" w:color="auto"/>
      </w:divBdr>
      <w:divsChild>
        <w:div w:id="345988635">
          <w:marLeft w:val="0"/>
          <w:marRight w:val="0"/>
          <w:marTop w:val="0"/>
          <w:marBottom w:val="0"/>
          <w:divBdr>
            <w:top w:val="none" w:sz="0" w:space="0" w:color="auto"/>
            <w:left w:val="none" w:sz="0" w:space="0" w:color="auto"/>
            <w:bottom w:val="none" w:sz="0" w:space="0" w:color="auto"/>
            <w:right w:val="none" w:sz="0" w:space="0" w:color="auto"/>
          </w:divBdr>
          <w:divsChild>
            <w:div w:id="83703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071613">
      <w:bodyDiv w:val="1"/>
      <w:marLeft w:val="0"/>
      <w:marRight w:val="0"/>
      <w:marTop w:val="0"/>
      <w:marBottom w:val="0"/>
      <w:divBdr>
        <w:top w:val="none" w:sz="0" w:space="0" w:color="auto"/>
        <w:left w:val="none" w:sz="0" w:space="0" w:color="auto"/>
        <w:bottom w:val="none" w:sz="0" w:space="0" w:color="auto"/>
        <w:right w:val="none" w:sz="0" w:space="0" w:color="auto"/>
      </w:divBdr>
      <w:divsChild>
        <w:div w:id="118232231">
          <w:marLeft w:val="0"/>
          <w:marRight w:val="0"/>
          <w:marTop w:val="0"/>
          <w:marBottom w:val="0"/>
          <w:divBdr>
            <w:top w:val="none" w:sz="0" w:space="0" w:color="auto"/>
            <w:left w:val="none" w:sz="0" w:space="0" w:color="auto"/>
            <w:bottom w:val="none" w:sz="0" w:space="0" w:color="auto"/>
            <w:right w:val="none" w:sz="0" w:space="0" w:color="auto"/>
          </w:divBdr>
          <w:divsChild>
            <w:div w:id="34578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43077">
      <w:bodyDiv w:val="1"/>
      <w:marLeft w:val="0"/>
      <w:marRight w:val="0"/>
      <w:marTop w:val="0"/>
      <w:marBottom w:val="0"/>
      <w:divBdr>
        <w:top w:val="none" w:sz="0" w:space="0" w:color="auto"/>
        <w:left w:val="none" w:sz="0" w:space="0" w:color="auto"/>
        <w:bottom w:val="none" w:sz="0" w:space="0" w:color="auto"/>
        <w:right w:val="none" w:sz="0" w:space="0" w:color="auto"/>
      </w:divBdr>
      <w:divsChild>
        <w:div w:id="1195343366">
          <w:marLeft w:val="0"/>
          <w:marRight w:val="0"/>
          <w:marTop w:val="0"/>
          <w:marBottom w:val="0"/>
          <w:divBdr>
            <w:top w:val="none" w:sz="0" w:space="0" w:color="auto"/>
            <w:left w:val="none" w:sz="0" w:space="0" w:color="auto"/>
            <w:bottom w:val="none" w:sz="0" w:space="0" w:color="auto"/>
            <w:right w:val="none" w:sz="0" w:space="0" w:color="auto"/>
          </w:divBdr>
          <w:divsChild>
            <w:div w:id="1042435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442011">
      <w:bodyDiv w:val="1"/>
      <w:marLeft w:val="0"/>
      <w:marRight w:val="0"/>
      <w:marTop w:val="0"/>
      <w:marBottom w:val="0"/>
      <w:divBdr>
        <w:top w:val="none" w:sz="0" w:space="0" w:color="auto"/>
        <w:left w:val="none" w:sz="0" w:space="0" w:color="auto"/>
        <w:bottom w:val="none" w:sz="0" w:space="0" w:color="auto"/>
        <w:right w:val="none" w:sz="0" w:space="0" w:color="auto"/>
      </w:divBdr>
      <w:divsChild>
        <w:div w:id="1021855281">
          <w:marLeft w:val="0"/>
          <w:marRight w:val="0"/>
          <w:marTop w:val="0"/>
          <w:marBottom w:val="0"/>
          <w:divBdr>
            <w:top w:val="none" w:sz="0" w:space="0" w:color="auto"/>
            <w:left w:val="none" w:sz="0" w:space="0" w:color="auto"/>
            <w:bottom w:val="none" w:sz="0" w:space="0" w:color="auto"/>
            <w:right w:val="none" w:sz="0" w:space="0" w:color="auto"/>
          </w:divBdr>
          <w:divsChild>
            <w:div w:id="66081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758812">
      <w:bodyDiv w:val="1"/>
      <w:marLeft w:val="0"/>
      <w:marRight w:val="0"/>
      <w:marTop w:val="0"/>
      <w:marBottom w:val="0"/>
      <w:divBdr>
        <w:top w:val="none" w:sz="0" w:space="0" w:color="auto"/>
        <w:left w:val="none" w:sz="0" w:space="0" w:color="auto"/>
        <w:bottom w:val="none" w:sz="0" w:space="0" w:color="auto"/>
        <w:right w:val="none" w:sz="0" w:space="0" w:color="auto"/>
      </w:divBdr>
      <w:divsChild>
        <w:div w:id="15548349">
          <w:marLeft w:val="0"/>
          <w:marRight w:val="0"/>
          <w:marTop w:val="0"/>
          <w:marBottom w:val="0"/>
          <w:divBdr>
            <w:top w:val="none" w:sz="0" w:space="0" w:color="auto"/>
            <w:left w:val="none" w:sz="0" w:space="0" w:color="auto"/>
            <w:bottom w:val="none" w:sz="0" w:space="0" w:color="auto"/>
            <w:right w:val="none" w:sz="0" w:space="0" w:color="auto"/>
          </w:divBdr>
          <w:divsChild>
            <w:div w:id="1666931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727196">
      <w:bodyDiv w:val="1"/>
      <w:marLeft w:val="0"/>
      <w:marRight w:val="0"/>
      <w:marTop w:val="0"/>
      <w:marBottom w:val="0"/>
      <w:divBdr>
        <w:top w:val="none" w:sz="0" w:space="0" w:color="auto"/>
        <w:left w:val="none" w:sz="0" w:space="0" w:color="auto"/>
        <w:bottom w:val="none" w:sz="0" w:space="0" w:color="auto"/>
        <w:right w:val="none" w:sz="0" w:space="0" w:color="auto"/>
      </w:divBdr>
      <w:divsChild>
        <w:div w:id="1207838098">
          <w:marLeft w:val="0"/>
          <w:marRight w:val="0"/>
          <w:marTop w:val="0"/>
          <w:marBottom w:val="0"/>
          <w:divBdr>
            <w:top w:val="none" w:sz="0" w:space="0" w:color="auto"/>
            <w:left w:val="none" w:sz="0" w:space="0" w:color="auto"/>
            <w:bottom w:val="none" w:sz="0" w:space="0" w:color="auto"/>
            <w:right w:val="none" w:sz="0" w:space="0" w:color="auto"/>
          </w:divBdr>
          <w:divsChild>
            <w:div w:id="87277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694208">
      <w:bodyDiv w:val="1"/>
      <w:marLeft w:val="0"/>
      <w:marRight w:val="0"/>
      <w:marTop w:val="0"/>
      <w:marBottom w:val="0"/>
      <w:divBdr>
        <w:top w:val="none" w:sz="0" w:space="0" w:color="auto"/>
        <w:left w:val="none" w:sz="0" w:space="0" w:color="auto"/>
        <w:bottom w:val="none" w:sz="0" w:space="0" w:color="auto"/>
        <w:right w:val="none" w:sz="0" w:space="0" w:color="auto"/>
      </w:divBdr>
      <w:divsChild>
        <w:div w:id="1494367703">
          <w:marLeft w:val="0"/>
          <w:marRight w:val="0"/>
          <w:marTop w:val="0"/>
          <w:marBottom w:val="0"/>
          <w:divBdr>
            <w:top w:val="none" w:sz="0" w:space="0" w:color="auto"/>
            <w:left w:val="none" w:sz="0" w:space="0" w:color="auto"/>
            <w:bottom w:val="none" w:sz="0" w:space="0" w:color="auto"/>
            <w:right w:val="none" w:sz="0" w:space="0" w:color="auto"/>
          </w:divBdr>
          <w:divsChild>
            <w:div w:id="155677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389181">
      <w:bodyDiv w:val="1"/>
      <w:marLeft w:val="0"/>
      <w:marRight w:val="0"/>
      <w:marTop w:val="0"/>
      <w:marBottom w:val="0"/>
      <w:divBdr>
        <w:top w:val="none" w:sz="0" w:space="0" w:color="auto"/>
        <w:left w:val="none" w:sz="0" w:space="0" w:color="auto"/>
        <w:bottom w:val="none" w:sz="0" w:space="0" w:color="auto"/>
        <w:right w:val="none" w:sz="0" w:space="0" w:color="auto"/>
      </w:divBdr>
      <w:divsChild>
        <w:div w:id="1611741755">
          <w:marLeft w:val="0"/>
          <w:marRight w:val="0"/>
          <w:marTop w:val="0"/>
          <w:marBottom w:val="0"/>
          <w:divBdr>
            <w:top w:val="none" w:sz="0" w:space="0" w:color="auto"/>
            <w:left w:val="none" w:sz="0" w:space="0" w:color="auto"/>
            <w:bottom w:val="none" w:sz="0" w:space="0" w:color="auto"/>
            <w:right w:val="none" w:sz="0" w:space="0" w:color="auto"/>
          </w:divBdr>
          <w:divsChild>
            <w:div w:id="8087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703297.2019.1617184" TargetMode="External"/><Relationship Id="rId13" Type="http://schemas.openxmlformats.org/officeDocument/2006/relationships/hyperlink" Target="https://doi.org/10.1007/s12144-021-02277-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briefings.files.parliament.uk/documents/CBP-7976/CBP-7976.pdf" TargetMode="External"/><Relationship Id="rId12" Type="http://schemas.openxmlformats.org/officeDocument/2006/relationships/hyperlink" Target="https://doi.org/10.1080/02615479.2011.643863" TargetMode="External"/><Relationship Id="rId17" Type="http://schemas.openxmlformats.org/officeDocument/2006/relationships/hyperlink" Target="https://doi.org/10.32674/jis.v14i3.6046" TargetMode="External"/><Relationship Id="rId2" Type="http://schemas.openxmlformats.org/officeDocument/2006/relationships/styles" Target="styles.xml"/><Relationship Id="rId16" Type="http://schemas.openxmlformats.org/officeDocument/2006/relationships/hyperlink" Target="https://doi.org/10.1080/21568235.2012.743746"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hepi.ac.uk/wp-content/uploads/2020/05/Postgraduate-Education-in-the-UK.pdf" TargetMode="External"/><Relationship Id="rId5" Type="http://schemas.openxmlformats.org/officeDocument/2006/relationships/image" Target="media/image1.png"/><Relationship Id="rId15" Type="http://schemas.openxmlformats.org/officeDocument/2006/relationships/hyperlink" Target="https://www.universitiesuk.ac.uk/what-we-do/policy-and-research/publications/features/higher-education-facts-and-figures-2023/finances" TargetMode="External"/><Relationship Id="rId10" Type="http://schemas.openxmlformats.org/officeDocument/2006/relationships/hyperlink" Target="https://doi.org/10.5040/978184966608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46743/2160-3715/2008.1601" TargetMode="External"/><Relationship Id="rId14" Type="http://schemas.openxmlformats.org/officeDocument/2006/relationships/hyperlink" Target="https://doi.org/10.1080/13562517.2018.1491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4256</Words>
  <Characters>24262</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Yiying Jiao</dc:creator>
  <cp:keywords/>
  <dc:description/>
  <cp:lastModifiedBy>Yiying Jiao</cp:lastModifiedBy>
  <cp:revision>9</cp:revision>
  <dcterms:created xsi:type="dcterms:W3CDTF">2025-02-16T14:20:00Z</dcterms:created>
  <dcterms:modified xsi:type="dcterms:W3CDTF">2025-04-28T22:58:00Z</dcterms:modified>
</cp:coreProperties>
</file>