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B0A70" w14:textId="77777777" w:rsidR="0078251D" w:rsidRDefault="0078251D" w:rsidP="006B6532">
      <w:pPr>
        <w:spacing w:before="100" w:beforeAutospacing="1" w:after="100" w:afterAutospacing="1"/>
        <w:jc w:val="center"/>
        <w:outlineLvl w:val="0"/>
        <w:rPr>
          <w:rFonts w:eastAsia="Times New Roman"/>
          <w:b/>
          <w:bCs/>
          <w:kern w:val="36"/>
          <w:lang w:eastAsia="en-GB"/>
        </w:rPr>
      </w:pPr>
    </w:p>
    <w:p w14:paraId="00BC16C0" w14:textId="77777777" w:rsidR="0078251D" w:rsidRDefault="00000000" w:rsidP="006B6532">
      <w:pPr>
        <w:spacing w:before="100" w:beforeAutospacing="1" w:after="100" w:afterAutospacing="1"/>
        <w:jc w:val="center"/>
        <w:outlineLvl w:val="0"/>
        <w:rPr>
          <w:rFonts w:eastAsia="Times New Roman"/>
          <w:b/>
          <w:bCs/>
          <w:kern w:val="36"/>
          <w:lang w:eastAsia="en-GB"/>
        </w:rPr>
      </w:pPr>
      <w:r>
        <w:rPr>
          <w:rFonts w:eastAsia="Times New Roman"/>
          <w:b/>
          <w:bCs/>
          <w:kern w:val="36"/>
          <w:lang w:eastAsia="en-GB"/>
        </w:rPr>
        <w:t>University of Wels Trinity Saint David</w:t>
      </w:r>
    </w:p>
    <w:p w14:paraId="79E84AAC" w14:textId="722C9BEC" w:rsidR="0078251D" w:rsidRPr="006B6532" w:rsidRDefault="006B6532" w:rsidP="006B6532">
      <w:pPr>
        <w:spacing w:before="100" w:beforeAutospacing="1" w:after="100" w:afterAutospacing="1"/>
        <w:jc w:val="center"/>
        <w:outlineLvl w:val="0"/>
        <w:rPr>
          <w:rFonts w:eastAsia="Times New Roman"/>
          <w:kern w:val="36"/>
          <w:lang w:eastAsia="en-GB"/>
        </w:rPr>
      </w:pPr>
      <w:hyperlink r:id="rId8" w:history="1">
        <w:r w:rsidRPr="006B6532">
          <w:rPr>
            <w:rFonts w:eastAsia="Times New Roman"/>
            <w:b/>
            <w:bCs/>
            <w:kern w:val="36"/>
            <w:lang w:eastAsia="en-GB"/>
          </w:rPr>
          <w:t>Introduction to Health and Social Care</w:t>
        </w:r>
        <w:r w:rsidRPr="006B6532">
          <w:rPr>
            <w:lang w:eastAsia="en-GB"/>
          </w:rPr>
          <w:t> </w:t>
        </w:r>
      </w:hyperlink>
    </w:p>
    <w:p w14:paraId="5F85A9CF"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25D057D2"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44C5E32A"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76A88DDC" w14:textId="4ACE51A9" w:rsidR="0078251D" w:rsidRDefault="006B6532">
      <w:pPr>
        <w:spacing w:before="100" w:beforeAutospacing="1" w:after="100" w:afterAutospacing="1"/>
        <w:jc w:val="center"/>
        <w:outlineLvl w:val="0"/>
        <w:rPr>
          <w:rFonts w:eastAsia="Times New Roman"/>
          <w:b/>
          <w:bCs/>
          <w:kern w:val="36"/>
          <w:szCs w:val="22"/>
          <w:lang w:eastAsia="en-GB"/>
        </w:rPr>
      </w:pPr>
      <w:r>
        <w:rPr>
          <w:rFonts w:eastAsia="Times New Roman"/>
          <w:b/>
          <w:bCs/>
          <w:kern w:val="36"/>
          <w:szCs w:val="22"/>
          <w:lang w:eastAsia="en-GB"/>
        </w:rPr>
        <w:t>Pharmacy Service in UK</w:t>
      </w:r>
    </w:p>
    <w:p w14:paraId="3B571554"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16D9FA48" w14:textId="0897BA7F" w:rsidR="0078251D" w:rsidRDefault="006B6532">
      <w:pPr>
        <w:spacing w:before="100" w:beforeAutospacing="1" w:after="100" w:afterAutospacing="1"/>
        <w:jc w:val="center"/>
        <w:outlineLvl w:val="0"/>
        <w:rPr>
          <w:rFonts w:eastAsia="Times New Roman"/>
          <w:b/>
          <w:bCs/>
          <w:kern w:val="36"/>
          <w:szCs w:val="22"/>
          <w:lang w:eastAsia="en-GB"/>
        </w:rPr>
      </w:pPr>
      <w:r>
        <w:rPr>
          <w:rFonts w:eastAsia="Times New Roman"/>
          <w:b/>
          <w:bCs/>
          <w:kern w:val="36"/>
          <w:szCs w:val="22"/>
          <w:lang w:eastAsia="en-GB"/>
        </w:rPr>
        <w:t>May</w:t>
      </w:r>
      <w:r w:rsidR="00000000">
        <w:rPr>
          <w:rFonts w:eastAsia="Times New Roman"/>
          <w:b/>
          <w:bCs/>
          <w:kern w:val="36"/>
          <w:szCs w:val="22"/>
          <w:lang w:eastAsia="en-GB"/>
        </w:rPr>
        <w:t xml:space="preserve"> 2026</w:t>
      </w:r>
    </w:p>
    <w:p w14:paraId="43634990"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5309F5FF"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402F2BED"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6CB4F956" w14:textId="77777777" w:rsidR="0078251D" w:rsidRDefault="0078251D">
      <w:pPr>
        <w:spacing w:before="100" w:beforeAutospacing="1" w:after="100" w:afterAutospacing="1"/>
        <w:jc w:val="center"/>
        <w:outlineLvl w:val="0"/>
        <w:rPr>
          <w:rFonts w:eastAsia="Times New Roman"/>
          <w:b/>
          <w:bCs/>
          <w:kern w:val="36"/>
          <w:szCs w:val="22"/>
          <w:lang w:eastAsia="en-GB"/>
        </w:rPr>
      </w:pPr>
    </w:p>
    <w:p w14:paraId="75CE5B10" w14:textId="77777777" w:rsidR="0078251D" w:rsidRDefault="00000000">
      <w:pPr>
        <w:spacing w:before="100" w:beforeAutospacing="1" w:after="100" w:afterAutospacing="1"/>
        <w:jc w:val="right"/>
        <w:outlineLvl w:val="0"/>
        <w:rPr>
          <w:rFonts w:eastAsia="Times New Roman"/>
          <w:b/>
          <w:bCs/>
          <w:kern w:val="36"/>
          <w:szCs w:val="22"/>
          <w:lang w:eastAsia="en-GB"/>
        </w:rPr>
      </w:pPr>
      <w:r>
        <w:rPr>
          <w:rFonts w:eastAsia="Times New Roman"/>
          <w:b/>
          <w:bCs/>
          <w:kern w:val="36"/>
          <w:szCs w:val="22"/>
          <w:lang w:eastAsia="en-GB"/>
        </w:rPr>
        <w:t>Andreea-Daniela Belu - 2521415</w:t>
      </w:r>
    </w:p>
    <w:p w14:paraId="08887AB7" w14:textId="77777777" w:rsidR="0078251D" w:rsidRDefault="0078251D">
      <w:pPr>
        <w:spacing w:before="100" w:beforeAutospacing="1" w:after="100" w:afterAutospacing="1"/>
        <w:jc w:val="right"/>
        <w:outlineLvl w:val="0"/>
        <w:rPr>
          <w:rFonts w:eastAsia="Times New Roman"/>
          <w:b/>
          <w:bCs/>
          <w:kern w:val="36"/>
          <w:szCs w:val="22"/>
          <w:lang w:eastAsia="en-GB"/>
        </w:rPr>
      </w:pPr>
    </w:p>
    <w:p w14:paraId="76D8625E" w14:textId="77777777" w:rsidR="0078251D" w:rsidRDefault="0078251D">
      <w:pPr>
        <w:spacing w:before="100" w:beforeAutospacing="1" w:after="100" w:afterAutospacing="1"/>
        <w:outlineLvl w:val="0"/>
        <w:rPr>
          <w:rFonts w:eastAsia="Times New Roman"/>
          <w:b/>
          <w:bCs/>
          <w:kern w:val="36"/>
          <w:szCs w:val="22"/>
          <w:lang w:eastAsia="en-GB"/>
        </w:rPr>
      </w:pPr>
    </w:p>
    <w:p w14:paraId="6642B093" w14:textId="77777777" w:rsidR="0078251D" w:rsidRDefault="0078251D">
      <w:pPr>
        <w:spacing w:before="100" w:beforeAutospacing="1" w:after="100" w:afterAutospacing="1"/>
        <w:outlineLvl w:val="0"/>
        <w:rPr>
          <w:rFonts w:eastAsia="Times New Roman"/>
          <w:b/>
          <w:bCs/>
          <w:kern w:val="36"/>
          <w:szCs w:val="22"/>
          <w:lang w:eastAsia="en-GB"/>
        </w:rPr>
      </w:pPr>
    </w:p>
    <w:p w14:paraId="277CDE21" w14:textId="77777777" w:rsidR="0078251D" w:rsidRDefault="0078251D">
      <w:pPr>
        <w:spacing w:before="100" w:beforeAutospacing="1" w:after="100" w:afterAutospacing="1"/>
        <w:outlineLvl w:val="0"/>
        <w:rPr>
          <w:rFonts w:eastAsia="Times New Roman"/>
          <w:b/>
          <w:bCs/>
          <w:kern w:val="36"/>
          <w:szCs w:val="22"/>
          <w:lang w:eastAsia="en-GB"/>
        </w:rPr>
      </w:pPr>
    </w:p>
    <w:p w14:paraId="7C6272F3" w14:textId="77777777" w:rsidR="0078251D" w:rsidRDefault="0078251D">
      <w:pPr>
        <w:spacing w:before="100" w:beforeAutospacing="1" w:after="100" w:afterAutospacing="1"/>
        <w:outlineLvl w:val="0"/>
        <w:rPr>
          <w:rFonts w:eastAsia="Times New Roman"/>
          <w:b/>
          <w:bCs/>
          <w:kern w:val="36"/>
          <w:szCs w:val="22"/>
          <w:lang w:eastAsia="en-GB"/>
        </w:rPr>
      </w:pPr>
    </w:p>
    <w:p w14:paraId="3475A4C3" w14:textId="669DAFE9" w:rsidR="0078251D" w:rsidRDefault="00000000" w:rsidP="006B6532">
      <w:pPr>
        <w:spacing w:before="100" w:beforeAutospacing="1" w:after="100" w:afterAutospacing="1"/>
        <w:outlineLvl w:val="0"/>
        <w:rPr>
          <w:i/>
          <w:iCs/>
          <w:color w:val="FFFFFF" w:themeColor="background1"/>
          <w:szCs w:val="22"/>
        </w:rPr>
      </w:pPr>
      <w:r>
        <w:rPr>
          <w:rFonts w:eastAsia="Times New Roman"/>
          <w:b/>
          <w:bCs/>
          <w:kern w:val="36"/>
          <w:szCs w:val="22"/>
          <w:lang w:eastAsia="en-GB"/>
        </w:rPr>
        <w:t>LCHS400</w:t>
      </w:r>
      <w:r w:rsidR="006B6532">
        <w:rPr>
          <w:rFonts w:eastAsia="Times New Roman"/>
          <w:b/>
          <w:bCs/>
          <w:kern w:val="36"/>
          <w:szCs w:val="22"/>
          <w:lang w:eastAsia="en-GB"/>
        </w:rPr>
        <w:t>3</w:t>
      </w:r>
      <w:r>
        <w:rPr>
          <w:rFonts w:eastAsia="Times New Roman"/>
          <w:b/>
          <w:bCs/>
          <w:kern w:val="36"/>
          <w:szCs w:val="22"/>
          <w:lang w:eastAsia="en-GB"/>
        </w:rPr>
        <w:t xml:space="preserve"> </w:t>
      </w:r>
      <w:r w:rsidR="006B6532">
        <w:rPr>
          <w:rFonts w:eastAsia="Times New Roman"/>
          <w:b/>
          <w:bCs/>
          <w:kern w:val="36"/>
          <w:szCs w:val="22"/>
          <w:lang w:eastAsia="en-GB"/>
        </w:rPr>
        <w:t>–</w:t>
      </w:r>
      <w:r>
        <w:rPr>
          <w:rFonts w:eastAsia="Times New Roman"/>
          <w:b/>
          <w:bCs/>
          <w:kern w:val="36"/>
          <w:szCs w:val="22"/>
          <w:lang w:eastAsia="en-GB"/>
        </w:rPr>
        <w:t xml:space="preserve"> </w:t>
      </w:r>
      <w:r w:rsidR="006B6532">
        <w:rPr>
          <w:rFonts w:eastAsia="Times New Roman"/>
          <w:b/>
          <w:bCs/>
          <w:kern w:val="36"/>
          <w:szCs w:val="22"/>
          <w:lang w:eastAsia="en-GB"/>
        </w:rPr>
        <w:t xml:space="preserve">DR Vivian </w:t>
      </w:r>
      <w:proofErr w:type="spellStart"/>
      <w:r w:rsidR="006B6532">
        <w:rPr>
          <w:rFonts w:eastAsia="Times New Roman"/>
          <w:b/>
          <w:bCs/>
          <w:kern w:val="36"/>
          <w:szCs w:val="22"/>
          <w:lang w:eastAsia="en-GB"/>
        </w:rPr>
        <w:t>Osuchukwu</w:t>
      </w:r>
      <w:proofErr w:type="spellEnd"/>
    </w:p>
    <w:p w14:paraId="203EA7A8" w14:textId="77777777" w:rsidR="0078251D" w:rsidRDefault="00000000">
      <w:pPr>
        <w:spacing w:after="160" w:line="480" w:lineRule="auto"/>
        <w:ind w:firstLine="720"/>
        <w:jc w:val="center"/>
        <w:rPr>
          <w:color w:val="FFFFFF" w:themeColor="background1"/>
          <w:szCs w:val="22"/>
        </w:rPr>
      </w:pPr>
      <w:r>
        <w:rPr>
          <w:i/>
          <w:iCs/>
          <w:color w:val="FFFFFF" w:themeColor="background1"/>
          <w:szCs w:val="22"/>
        </w:rPr>
        <w:br w:type="page"/>
      </w:r>
    </w:p>
    <w:p w14:paraId="1EB29134" w14:textId="77777777" w:rsidR="0078251D" w:rsidRDefault="00000000">
      <w:pPr>
        <w:spacing w:line="276" w:lineRule="auto"/>
        <w:rPr>
          <w:color w:val="FFFFFF" w:themeColor="background1"/>
        </w:rPr>
        <w:sectPr w:rsidR="0078251D">
          <w:type w:val="continuous"/>
          <w:pgSz w:w="11906" w:h="16838"/>
          <w:pgMar w:top="22" w:right="1440" w:bottom="1440" w:left="1440" w:header="142" w:footer="708" w:gutter="0"/>
          <w:cols w:space="708"/>
          <w:docGrid w:linePitch="360"/>
        </w:sectPr>
      </w:pPr>
      <w:r>
        <w:rPr>
          <w:noProof/>
          <w:color w:val="FFFFFF" w:themeColor="background1"/>
          <w:lang w:val="en-US"/>
          <w14:ligatures w14:val="standardContextual"/>
        </w:rPr>
        <w:lastRenderedPageBreak/>
        <mc:AlternateContent>
          <mc:Choice Requires="wps">
            <w:drawing>
              <wp:anchor distT="0" distB="0" distL="114300" distR="114300" simplePos="0" relativeHeight="251666432" behindDoc="1" locked="0" layoutInCell="1" allowOverlap="1" wp14:anchorId="73C4F745" wp14:editId="664F060E">
                <wp:simplePos x="0" y="0"/>
                <wp:positionH relativeFrom="page">
                  <wp:align>left</wp:align>
                </wp:positionH>
                <wp:positionV relativeFrom="paragraph">
                  <wp:posOffset>10160</wp:posOffset>
                </wp:positionV>
                <wp:extent cx="7515225" cy="809625"/>
                <wp:effectExtent l="0" t="0" r="28575" b="28575"/>
                <wp:wrapNone/>
                <wp:docPr id="1485847696" name="Rectangle 1"/>
                <wp:cNvGraphicFramePr/>
                <a:graphic xmlns:a="http://schemas.openxmlformats.org/drawingml/2006/main">
                  <a:graphicData uri="http://schemas.microsoft.com/office/word/2010/wordprocessingShape">
                    <wps:wsp>
                      <wps:cNvSpPr/>
                      <wps:spPr>
                        <a:xfrm>
                          <a:off x="0" y="0"/>
                          <a:ext cx="7515225" cy="80962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1" o:spid="_x0000_s1026" o:spt="1" style="position:absolute;left:0pt;margin-top:0.8pt;height:63.75pt;width:591.75pt;mso-position-horizontal:left;mso-position-horizontal-relative:page;z-index:-251650048;v-text-anchor:middle;mso-width-relative:page;mso-height-relative:page;" fillcolor="#0070C0" filled="t" stroked="t" coordsize="21600,21600" o:gfxdata="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LAcN5XYAAAABwEAAA8AAAAAAAAAAQAg&#10;AAAAIgAAAGRycy9kb3ducmV2LnhtbFBLAQIUABQAAAAIAIdO4kBzilMpgAIAACEFAAAOAAAAAAAA&#10;AAEAIAAAACcBAABkcnMvZTJvRG9jLnhtbFBLBQYAAAAABgAGAFkBAAAZBgAAAAA=&#10;">
                <v:fill on="t" focussize="0,0"/>
                <v:stroke weight="1pt" color="#042433 [3204]" miterlimit="8" joinstyle="miter"/>
                <v:imagedata o:title=""/>
                <o:lock v:ext="edit" aspectratio="f"/>
              </v:rect>
            </w:pict>
          </mc:Fallback>
        </mc:AlternateContent>
      </w:r>
    </w:p>
    <w:p w14:paraId="43794212" w14:textId="77777777" w:rsidR="0078251D" w:rsidRDefault="00000000">
      <w:pPr>
        <w:spacing w:before="120" w:after="20" w:line="276" w:lineRule="auto"/>
        <w:jc w:val="center"/>
        <w:rPr>
          <w:color w:val="FFFFFF" w:themeColor="background1"/>
          <w:sz w:val="32"/>
          <w:szCs w:val="32"/>
        </w:rPr>
      </w:pPr>
      <w:r>
        <w:rPr>
          <w:b/>
          <w:bCs/>
          <w:color w:val="FFFFFF" w:themeColor="background1"/>
          <w:sz w:val="32"/>
          <w:szCs w:val="32"/>
        </w:rPr>
        <w:t>PHARMACY SERVICES IN HEALTH AND SOCIAL CARE</w:t>
      </w:r>
    </w:p>
    <w:p w14:paraId="1DE87FA3" w14:textId="77777777" w:rsidR="0078251D" w:rsidRDefault="00000000">
      <w:pPr>
        <w:spacing w:line="276" w:lineRule="auto"/>
        <w:jc w:val="center"/>
        <w:rPr>
          <w:i/>
          <w:iCs/>
          <w:color w:val="FFFFFF" w:themeColor="background1"/>
          <w:szCs w:val="22"/>
        </w:rPr>
      </w:pPr>
      <w:r>
        <w:rPr>
          <w:i/>
          <w:iCs/>
          <w:color w:val="FFFFFF" w:themeColor="background1"/>
          <w:szCs w:val="22"/>
        </w:rPr>
        <w:t>Supporting Safe, Accessible and Effective Use of Medicines</w:t>
      </w:r>
    </w:p>
    <w:p w14:paraId="7B75548C" w14:textId="77777777" w:rsidR="0078251D" w:rsidRDefault="00000000">
      <w:pPr>
        <w:spacing w:line="276" w:lineRule="auto"/>
        <w:jc w:val="center"/>
        <w:rPr>
          <w:i/>
          <w:iCs/>
          <w:color w:val="FFFFFF" w:themeColor="background1"/>
          <w:szCs w:val="22"/>
        </w:rPr>
      </w:pPr>
      <w:r>
        <w:rPr>
          <w:noProof/>
          <w14:ligatures w14:val="standardContextual"/>
        </w:rPr>
        <mc:AlternateContent>
          <mc:Choice Requires="wps">
            <w:drawing>
              <wp:anchor distT="0" distB="0" distL="114300" distR="114300" simplePos="0" relativeHeight="251660288" behindDoc="0" locked="0" layoutInCell="1" allowOverlap="1" wp14:anchorId="00A827D3" wp14:editId="4E0C69DF">
                <wp:simplePos x="0" y="0"/>
                <wp:positionH relativeFrom="column">
                  <wp:posOffset>3086100</wp:posOffset>
                </wp:positionH>
                <wp:positionV relativeFrom="paragraph">
                  <wp:posOffset>173355</wp:posOffset>
                </wp:positionV>
                <wp:extent cx="3246120" cy="3223260"/>
                <wp:effectExtent l="0" t="0" r="11430" b="15240"/>
                <wp:wrapNone/>
                <wp:docPr id="763527358" name="Text Box 4"/>
                <wp:cNvGraphicFramePr/>
                <a:graphic xmlns:a="http://schemas.openxmlformats.org/drawingml/2006/main">
                  <a:graphicData uri="http://schemas.microsoft.com/office/word/2010/wordprocessingShape">
                    <wps:wsp>
                      <wps:cNvSpPr txBox="1"/>
                      <wps:spPr>
                        <a:xfrm>
                          <a:off x="0" y="0"/>
                          <a:ext cx="3246120" cy="3223260"/>
                        </a:xfrm>
                        <a:prstGeom prst="rect">
                          <a:avLst/>
                        </a:prstGeom>
                        <a:solidFill>
                          <a:schemeClr val="tx2">
                            <a:lumMod val="75000"/>
                            <a:lumOff val="25000"/>
                          </a:schemeClr>
                        </a:solidFill>
                        <a:ln w="6350">
                          <a:solidFill>
                            <a:srgbClr val="0070C0"/>
                          </a:solidFill>
                        </a:ln>
                      </wps:spPr>
                      <wps:txbx>
                        <w:txbxContent>
                          <w:p w14:paraId="7CAD07AA" w14:textId="77777777" w:rsidR="0078251D" w:rsidRDefault="00000000">
                            <w:pPr>
                              <w:spacing w:line="276" w:lineRule="auto"/>
                              <w:rPr>
                                <w:b/>
                                <w:bCs/>
                                <w:color w:val="FFFFFF" w:themeColor="background1"/>
                                <w:u w:val="single"/>
                              </w:rPr>
                            </w:pPr>
                            <w:r>
                              <w:rPr>
                                <w:b/>
                                <w:bCs/>
                                <w:color w:val="FFFFFF" w:themeColor="background1"/>
                                <w:u w:val="single"/>
                              </w:rPr>
                              <w:t>How Pharmacy Services Function Today</w:t>
                            </w:r>
                          </w:p>
                          <w:p w14:paraId="150C0244" w14:textId="77777777" w:rsidR="0078251D" w:rsidRDefault="0078251D">
                            <w:pPr>
                              <w:spacing w:line="276" w:lineRule="auto"/>
                              <w:rPr>
                                <w:b/>
                                <w:bCs/>
                                <w:color w:val="FFFFFF" w:themeColor="background1"/>
                                <w:u w:val="single"/>
                              </w:rPr>
                            </w:pPr>
                          </w:p>
                          <w:p w14:paraId="08BFA7C6" w14:textId="77777777" w:rsidR="0078251D" w:rsidRDefault="00000000">
                            <w:pPr>
                              <w:spacing w:after="240" w:line="276" w:lineRule="auto"/>
                              <w:rPr>
                                <w:color w:val="FFFFFF" w:themeColor="background1"/>
                              </w:rPr>
                            </w:pPr>
                            <w:r>
                              <w:rPr>
                                <w:color w:val="FFFFFF" w:themeColor="background1"/>
                              </w:rPr>
                              <w:t xml:space="preserve">Pharmacy services in the UK have their roots in the apothecaries of the 17th century, who were the first practitioners to both prescribe and dispense medicines to the public. The professionalisation of pharmacy was greatly advanced after the Pharmacy Act of 1852, which created the Pharmaceutical Society of Great Britain and formalised the regulation of the profession </w:t>
                            </w:r>
                            <w:r>
                              <w:rPr>
                                <w:color w:val="FFFFFF" w:themeColor="background1"/>
                              </w:rPr>
                              <w:fldChar w:fldCharType="begin" w:fldLock="1"/>
                            </w:r>
                            <w:r>
                              <w:rPr>
                                <w:color w:val="FFFFFF" w:themeColor="background1"/>
                              </w:rPr>
                              <w:instrText>ADDIN CSL_CITATION {"citationItems":[{"id":"ITEM-1","itemData":{"ISBN":"9780853695974","author":[{"dropping-particle":"","family":"Anderson","given":"Stuart","non-dropping-particle":"","parse-names":false,"suffix":""}],"id":"ITEM-1","issued":{"date-parts":[["2005"]]},"publisher":"Pharmaceutical Press PP  - London ; Chicago","title":"Making Medicines : A Brief History of Pharmacy and Pharmaceuticals","type":"book"},"uris":["http://www.mendeley.com/documents/?uuid=72034a3d-b42b-4193-aaa7-d02dbcd49b51"]}],"mendeley":{"formattedCitation":"(Anderson, 2005)","plainTextFormattedCitation":"(Anderson, 2005)","previouslyFormattedCitation":"(Anderson, 2005)"},"properties":{"noteIndex":0},"schema":"https://github.com/citation-style-language/schema/raw/master/csl-citation.json"}</w:instrText>
                            </w:r>
                            <w:r>
                              <w:rPr>
                                <w:color w:val="FFFFFF" w:themeColor="background1"/>
                              </w:rPr>
                              <w:fldChar w:fldCharType="separate"/>
                            </w:r>
                            <w:r>
                              <w:rPr>
                                <w:color w:val="FFFFFF" w:themeColor="background1"/>
                              </w:rPr>
                              <w:t>(Anderson, 2005)</w:t>
                            </w:r>
                            <w:r>
                              <w:rPr>
                                <w:color w:val="FFFFFF" w:themeColor="background1"/>
                              </w:rPr>
                              <w:fldChar w:fldCharType="end"/>
                            </w:r>
                            <w:r>
                              <w:rPr>
                                <w:color w:val="FFFFFF" w:themeColor="background1"/>
                              </w:rPr>
                              <w:t xml:space="preserve">. The introduction of the NHS in 1948 was a turning point, as community pharmacy became publicly funded health professionals, at the centre of primary care. The role of the pharmacist in clinical and public health has been further broadened since then, with the implementation of the Community Pharmacy Contractual Framework in 2005 </w:t>
                            </w:r>
                            <w:r>
                              <w:rPr>
                                <w:color w:val="FFFFFF" w:themeColor="background1"/>
                              </w:rPr>
                              <w:fldChar w:fldCharType="begin" w:fldLock="1"/>
                            </w:r>
                            <w:r>
                              <w:rPr>
                                <w:color w:val="FFFFFF" w:themeColor="background1"/>
                              </w:rPr>
                              <w:instrText>ADDIN CSL_CITATION {"citationItems":[{"id":"ITEM-1","itemData":{"author":[{"dropping-particle":"","family":"Moriarty","given":"Saoirse","non-dropping-particle":"","parse-names":false,"suffix":""},{"dropping-particle":"","family":"Bradford","given":"Maggie","non-dropping-particle":"","parse-names":false,"suffix":""},{"dropping-particle":"","family":"Stockwell","given":"Stephanie","non-dropping-particle":"","parse-names":false,"suffix":""},{"dropping-particle":"","family":"Wu","given":"Frances","non-dropping-particle":"","parse-names":false,"suffix":""},{"dropping-particle":"","family":"Adams","given":"Avery","non-dropping-particle":"","parse-names":false,"suffix":""},{"dropping-particle":"","family":"Richard-Sheridan","given":"Manon","non-dropping-particle":"","parse-names":false,"suffix":""},{"dropping-particle":"","family":"Toole","given":"Hampton","non-dropping-particle":"","parse-names":false,"suffix":""},{"dropping-particle":"","family":"Mills","given":"Lizzie","non-dropping-particle":"","parse-names":false,"suffix":""},{"dropping-particle":"","family":"Newbould","given":"Jennifer","non-dropping-particle":"","parse-names":false,"suffix":""},{"dropping-particle":"","family":"Romanelli","given":"Robert J","non-dropping-particle":"","parse-names":false,"suffix":""}],"id":"ITEM-1","issued":{"date-parts":[["2025"]]},"title":"A qualitative evaluation of clinical services under the Community Pharmacy Contractual Framework","type":"article-journal"},"uris":["http://www.mendeley.com/documents/?uuid=4f751bb0-2cab-4dab-9cad-64c8e7db3398"]}],"mendeley":{"formattedCitation":"(Moriarty &lt;i&gt;et al.&lt;/i&gt;, 2025)","plainTextFormattedCitation":"(Moriarty et al., 2025)","previouslyFormattedCitation":"(Moriarty &lt;i&gt;et al.&lt;/i&gt;, 2025)"},"properties":{"noteIndex":0},"schema":"https://github.com/citation-style-language/schema/raw/master/csl-citation.json"}</w:instrText>
                            </w:r>
                            <w:r>
                              <w:rPr>
                                <w:color w:val="FFFFFF" w:themeColor="background1"/>
                              </w:rPr>
                              <w:fldChar w:fldCharType="separate"/>
                            </w:r>
                            <w:r>
                              <w:rPr>
                                <w:color w:val="FFFFFF" w:themeColor="background1"/>
                              </w:rPr>
                              <w:t>(Moriarty et al., 2025)</w:t>
                            </w:r>
                            <w:r>
                              <w:rPr>
                                <w:color w:val="FFFFFF" w:themeColor="background1"/>
                              </w:rPr>
                              <w:fldChar w:fldCharType="end"/>
                            </w:r>
                            <w:r>
                              <w:rPr>
                                <w:color w:val="FFFFFF" w:themeColor="background1"/>
                              </w:rPr>
                              <w:t>.</w:t>
                            </w:r>
                          </w:p>
                          <w:p w14:paraId="3B940BD4" w14:textId="77777777" w:rsidR="0078251D" w:rsidRDefault="0078251D">
                            <w:pPr>
                              <w:spacing w:after="240" w:line="276" w:lineRule="auto"/>
                              <w:rPr>
                                <w:color w:val="FFFF00"/>
                              </w:rPr>
                            </w:pPr>
                          </w:p>
                          <w:p w14:paraId="3996A6FF" w14:textId="77777777" w:rsidR="0078251D" w:rsidRDefault="0078251D"/>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0A827D3" id="_x0000_t202" coordsize="21600,21600" o:spt="202" path="m,l,21600r21600,l21600,xe">
                <v:stroke joinstyle="miter"/>
                <v:path gradientshapeok="t" o:connecttype="rect"/>
              </v:shapetype>
              <v:shape id="Text Box 4" o:spid="_x0000_s1026" type="#_x0000_t202" style="position:absolute;left:0;text-align:left;margin-left:243pt;margin-top:13.65pt;width:255.6pt;height:253.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" fillcolor="#215e99 [2431]" strokecolor="#0070c0" strokeweight=".5pt">
                <v:textbox>
                  <w:txbxContent>
                    <w:p w14:paraId="7CAD07AA" w14:textId="77777777" w:rsidR="0078251D" w:rsidRDefault="00000000">
                      <w:pPr>
                        <w:spacing w:line="276" w:lineRule="auto"/>
                        <w:rPr>
                          <w:b/>
                          <w:bCs/>
                          <w:color w:val="FFFFFF" w:themeColor="background1"/>
                          <w:u w:val="single"/>
                        </w:rPr>
                      </w:pPr>
                      <w:r>
                        <w:rPr>
                          <w:b/>
                          <w:bCs/>
                          <w:color w:val="FFFFFF" w:themeColor="background1"/>
                          <w:u w:val="single"/>
                        </w:rPr>
                        <w:t>How Pharmacy Services Function Today</w:t>
                      </w:r>
                    </w:p>
                    <w:p w14:paraId="150C0244" w14:textId="77777777" w:rsidR="0078251D" w:rsidRDefault="0078251D">
                      <w:pPr>
                        <w:spacing w:line="276" w:lineRule="auto"/>
                        <w:rPr>
                          <w:b/>
                          <w:bCs/>
                          <w:color w:val="FFFFFF" w:themeColor="background1"/>
                          <w:u w:val="single"/>
                        </w:rPr>
                      </w:pPr>
                    </w:p>
                    <w:p w14:paraId="08BFA7C6" w14:textId="77777777" w:rsidR="0078251D" w:rsidRDefault="00000000">
                      <w:pPr>
                        <w:spacing w:after="240" w:line="276" w:lineRule="auto"/>
                        <w:rPr>
                          <w:color w:val="FFFFFF" w:themeColor="background1"/>
                        </w:rPr>
                      </w:pPr>
                      <w:r>
                        <w:rPr>
                          <w:color w:val="FFFFFF" w:themeColor="background1"/>
                        </w:rPr>
                        <w:t xml:space="preserve">Pharmacy services in the UK have their roots in the apothecaries of the 17th century, who were the first practitioners to both prescribe and dispense medicines to the public. The professionalisation of pharmacy was greatly advanced after the Pharmacy Act of 1852, which created the Pharmaceutical Society of Great Britain and formalised the regulation of the profession </w:t>
                      </w:r>
                      <w:r>
                        <w:rPr>
                          <w:color w:val="FFFFFF" w:themeColor="background1"/>
                        </w:rPr>
                        <w:fldChar w:fldCharType="begin" w:fldLock="1"/>
                      </w:r>
                      <w:r>
                        <w:rPr>
                          <w:color w:val="FFFFFF" w:themeColor="background1"/>
                        </w:rPr>
                        <w:instrText>ADDIN CSL_CITATION {"citationItems":[{"id":"ITEM-1","itemData":{"ISBN":"9780853695974","author":[{"dropping-particle":"","family":"Anderson","given":"Stuart","non-dropping-particle":"","parse-names":false,"suffix":""}],"id":"ITEM-1","issued":{"date-parts":[["2005"]]},"publisher":"Pharmaceutical Press PP  - London ; Chicago","title":"Making Medicines : A Brief History of Pharmacy and Pharmaceuticals","type":"book"},"uris":["http://www.mendeley.com/documents/?uuid=72034a3d-b42b-4193-aaa7-d02dbcd49b51"]}],"mendeley":{"formattedCitation":"(Anderson, 2005)","plainTextFormattedCitation":"(Anderson, 2005)","previouslyFormattedCitation":"(Anderson, 2005)"},"properties":{"noteIndex":0},"schema":"https://github.com/citation-style-language/schema/raw/master/csl-citation.json"}</w:instrText>
                      </w:r>
                      <w:r>
                        <w:rPr>
                          <w:color w:val="FFFFFF" w:themeColor="background1"/>
                        </w:rPr>
                        <w:fldChar w:fldCharType="separate"/>
                      </w:r>
                      <w:r>
                        <w:rPr>
                          <w:color w:val="FFFFFF" w:themeColor="background1"/>
                        </w:rPr>
                        <w:t>(Anderson, 2005)</w:t>
                      </w:r>
                      <w:r>
                        <w:rPr>
                          <w:color w:val="FFFFFF" w:themeColor="background1"/>
                        </w:rPr>
                        <w:fldChar w:fldCharType="end"/>
                      </w:r>
                      <w:r>
                        <w:rPr>
                          <w:color w:val="FFFFFF" w:themeColor="background1"/>
                        </w:rPr>
                        <w:t xml:space="preserve">. The introduction of the NHS in 1948 was a turning point, as community pharmacy became publicly funded health professionals, at the centre of primary care. The role of the pharmacist in clinical and public health has been further broadened since then, with the implementation of the Community Pharmacy Contractual Framework in 2005 </w:t>
                      </w:r>
                      <w:r>
                        <w:rPr>
                          <w:color w:val="FFFFFF" w:themeColor="background1"/>
                        </w:rPr>
                        <w:fldChar w:fldCharType="begin" w:fldLock="1"/>
                      </w:r>
                      <w:r>
                        <w:rPr>
                          <w:color w:val="FFFFFF" w:themeColor="background1"/>
                        </w:rPr>
                        <w:instrText>ADDIN CSL_CITATION {"citationItems":[{"id":"ITEM-1","itemData":{"author":[{"dropping-particle":"","family":"Moriarty","given":"Saoirse","non-dropping-particle":"","parse-names":false,"suffix":""},{"dropping-particle":"","family":"Bradford","given":"Maggie","non-dropping-particle":"","parse-names":false,"suffix":""},{"dropping-particle":"","family":"Stockwell","given":"Stephanie","non-dropping-particle":"","parse-names":false,"suffix":""},{"dropping-particle":"","family":"Wu","given":"Frances","non-dropping-particle":"","parse-names":false,"suffix":""},{"dropping-particle":"","family":"Adams","given":"Avery","non-dropping-particle":"","parse-names":false,"suffix":""},{"dropping-particle":"","family":"Richard-Sheridan","given":"Manon","non-dropping-particle":"","parse-names":false,"suffix":""},{"dropping-particle":"","family":"Toole","given":"Hampton","non-dropping-particle":"","parse-names":false,"suffix":""},{"dropping-particle":"","family":"Mills","given":"Lizzie","non-dropping-particle":"","parse-names":false,"suffix":""},{"dropping-particle":"","family":"Newbould","given":"Jennifer","non-dropping-particle":"","parse-names":false,"suffix":""},{"dropping-particle":"","family":"Romanelli","given":"Robert J","non-dropping-particle":"","parse-names":false,"suffix":""}],"id":"ITEM-1","issued":{"date-parts":[["2025"]]},"title":"A qualitative evaluation of clinical services under the Community Pharmacy Contractual Framework","type":"article-journal"},"uris":["http://www.mendeley.com/documents/?uuid=4f751bb0-2cab-4dab-9cad-64c8e7db3398"]}],"mendeley":{"formattedCitation":"(Moriarty &lt;i&gt;et al.&lt;/i&gt;, 2025)","plainTextFormattedCitation":"(Moriarty et al., 2025)","previouslyFormattedCitation":"(Moriarty &lt;i&gt;et al.&lt;/i&gt;, 2025)"},"properties":{"noteIndex":0},"schema":"https://github.com/citation-style-language/schema/raw/master/csl-citation.json"}</w:instrText>
                      </w:r>
                      <w:r>
                        <w:rPr>
                          <w:color w:val="FFFFFF" w:themeColor="background1"/>
                        </w:rPr>
                        <w:fldChar w:fldCharType="separate"/>
                      </w:r>
                      <w:r>
                        <w:rPr>
                          <w:color w:val="FFFFFF" w:themeColor="background1"/>
                        </w:rPr>
                        <w:t>(Moriarty et al., 2025)</w:t>
                      </w:r>
                      <w:r>
                        <w:rPr>
                          <w:color w:val="FFFFFF" w:themeColor="background1"/>
                        </w:rPr>
                        <w:fldChar w:fldCharType="end"/>
                      </w:r>
                      <w:r>
                        <w:rPr>
                          <w:color w:val="FFFFFF" w:themeColor="background1"/>
                        </w:rPr>
                        <w:t>.</w:t>
                      </w:r>
                    </w:p>
                    <w:p w14:paraId="3B940BD4" w14:textId="77777777" w:rsidR="0078251D" w:rsidRDefault="0078251D">
                      <w:pPr>
                        <w:spacing w:after="240" w:line="276" w:lineRule="auto"/>
                        <w:rPr>
                          <w:color w:val="FFFF00"/>
                        </w:rPr>
                      </w:pPr>
                    </w:p>
                    <w:p w14:paraId="3996A6FF" w14:textId="77777777" w:rsidR="0078251D" w:rsidRDefault="0078251D"/>
                  </w:txbxContent>
                </v:textbox>
              </v:shape>
            </w:pict>
          </mc:Fallback>
        </mc:AlternateContent>
      </w:r>
    </w:p>
    <w:p w14:paraId="5F3971DF" w14:textId="77777777" w:rsidR="0078251D" w:rsidRDefault="0078251D">
      <w:pPr>
        <w:spacing w:line="276" w:lineRule="auto"/>
        <w:rPr>
          <w:color w:val="FFFFFF" w:themeColor="background1"/>
        </w:rPr>
        <w:sectPr w:rsidR="0078251D">
          <w:type w:val="continuous"/>
          <w:pgSz w:w="11906" w:h="16838"/>
          <w:pgMar w:top="1440" w:right="1440" w:bottom="1440" w:left="1440" w:header="708" w:footer="708" w:gutter="0"/>
          <w:cols w:space="708"/>
          <w:docGrid w:linePitch="360"/>
        </w:sectPr>
      </w:pPr>
    </w:p>
    <w:p w14:paraId="39D27152" w14:textId="77777777" w:rsidR="0078251D" w:rsidRDefault="0078251D">
      <w:pPr>
        <w:spacing w:line="276" w:lineRule="auto"/>
        <w:rPr>
          <w:color w:val="FFFFFF" w:themeColor="background1"/>
        </w:rPr>
      </w:pPr>
    </w:p>
    <w:p w14:paraId="5952338D" w14:textId="77777777" w:rsidR="0078251D" w:rsidRDefault="00000000">
      <w:pPr>
        <w:spacing w:after="240" w:line="276" w:lineRule="auto"/>
        <w:rPr>
          <w:color w:val="FFFFFF" w:themeColor="background1"/>
        </w:rPr>
      </w:pPr>
      <w:r>
        <w:rPr>
          <w:noProof/>
          <w14:ligatures w14:val="standardContextual"/>
        </w:rPr>
        <mc:AlternateContent>
          <mc:Choice Requires="wps">
            <w:drawing>
              <wp:anchor distT="0" distB="0" distL="114300" distR="114300" simplePos="0" relativeHeight="251659264" behindDoc="0" locked="0" layoutInCell="1" allowOverlap="1" wp14:anchorId="4D466DE6" wp14:editId="21F2E65A">
                <wp:simplePos x="0" y="0"/>
                <wp:positionH relativeFrom="column">
                  <wp:posOffset>635</wp:posOffset>
                </wp:positionH>
                <wp:positionV relativeFrom="paragraph">
                  <wp:posOffset>2339975</wp:posOffset>
                </wp:positionV>
                <wp:extent cx="914400" cy="3345180"/>
                <wp:effectExtent l="0" t="0" r="23495" b="26670"/>
                <wp:wrapNone/>
                <wp:docPr id="1703463370" name="Text Box 4"/>
                <wp:cNvGraphicFramePr/>
                <a:graphic xmlns:a="http://schemas.openxmlformats.org/drawingml/2006/main">
                  <a:graphicData uri="http://schemas.microsoft.com/office/word/2010/wordprocessingShape">
                    <wps:wsp>
                      <wps:cNvSpPr txBox="1"/>
                      <wps:spPr>
                        <a:xfrm>
                          <a:off x="0" y="0"/>
                          <a:ext cx="914400" cy="3345180"/>
                        </a:xfrm>
                        <a:prstGeom prst="rect">
                          <a:avLst/>
                        </a:prstGeom>
                        <a:solidFill>
                          <a:srgbClr val="0070C0"/>
                        </a:solidFill>
                        <a:ln w="6350">
                          <a:solidFill>
                            <a:srgbClr val="0070C0"/>
                          </a:solidFill>
                        </a:ln>
                      </wps:spPr>
                      <wps:txbx>
                        <w:txbxContent>
                          <w:p w14:paraId="5A94A37C" w14:textId="77777777" w:rsidR="0078251D" w:rsidRDefault="00000000">
                            <w:pPr>
                              <w:spacing w:before="240" w:after="240" w:line="276" w:lineRule="auto"/>
                              <w:rPr>
                                <w:b/>
                                <w:bCs/>
                                <w:color w:val="FFFFFF" w:themeColor="background1"/>
                                <w:u w:val="single"/>
                              </w:rPr>
                            </w:pPr>
                            <w:r>
                              <w:rPr>
                                <w:b/>
                                <w:bCs/>
                                <w:color w:val="FFFFFF" w:themeColor="background1"/>
                                <w:u w:val="single"/>
                              </w:rPr>
                              <w:t>What Are Pharmacy Services?</w:t>
                            </w:r>
                          </w:p>
                          <w:p w14:paraId="1350A19E" w14:textId="77777777" w:rsidR="0078251D" w:rsidRDefault="00000000">
                            <w:pPr>
                              <w:spacing w:after="240" w:line="276" w:lineRule="auto"/>
                              <w:rPr>
                                <w:color w:val="FFFFFF" w:themeColor="background1"/>
                              </w:rPr>
                            </w:pPr>
                            <w:r>
                              <w:rPr>
                                <w:color w:val="FFFFFF" w:themeColor="background1"/>
                              </w:rPr>
                              <w:t xml:space="preserve">Pharmacy services are an integral part of the United Kingdom's health and social care system, offering community-based healthcare to millions of people every year. Pharmacies provide first point of contact health care without an appointment, unlike hospitals or general practice surgeries, and are one of the most accessible points of contact in the National Health Service (NHS). Pharmacists are highly trained clinical professionals who dispense prescribed medicines, provide health advice, administer vaccinations and manage minor ailments, which helps to alleviate the strain on overstretched GP services and emergency departments </w:t>
                            </w:r>
                            <w:r>
                              <w:rPr>
                                <w:color w:val="FFFFFF" w:themeColor="background1"/>
                              </w:rPr>
                              <w:fldChar w:fldCharType="begin" w:fldLock="1"/>
                            </w:r>
                            <w:r>
                              <w:rPr>
                                <w:color w:val="FFFFFF" w:themeColor="background1"/>
                              </w:rPr>
                              <w:instrText>ADDIN CSL_CITATION {"citationItems":[{"id":"ITEM-1","itemData":{"ISSN":"1885-642X","author":[{"dropping-particle":"","family":"Anderson","given":"Claire","non-dropping-particle":"","parse-names":false,"suffix":""},{"dropping-particle":"","family":"Sharma","given":"Ravi","non-dropping-particle":"","parse-names":false,"suffix":""}],"container-title":"Pharmacy Practice (Granada)","id":"ITEM-1","issue":"1","issued":{"date-parts":[["2020"]]},"publisher":"SciELO Espana","title":"Primary health care policy and vision for community pharmacy and pharmacists in England","type":"article-journal","volume":"18"},"uris":["http://www.mendeley.com/documents/?uuid=3e506d3f-a9db-4296-8f0b-7099b066947e"]}],"mendeley":{"formattedCitation":"(Anderson and Sharma, 2020)","plainTextFormattedCitation":"(Anderson and Sharma, 2020)","previouslyFormattedCitation":"(Anderson and Sharma, 2020)"},"properties":{"noteIndex":0},"schema":"https://github.com/citation-style-language/schema/raw/master/csl-citation.json"}</w:instrText>
                            </w:r>
                            <w:r>
                              <w:rPr>
                                <w:color w:val="FFFFFF" w:themeColor="background1"/>
                              </w:rPr>
                              <w:fldChar w:fldCharType="separate"/>
                            </w:r>
                            <w:r>
                              <w:rPr>
                                <w:color w:val="FFFFFF" w:themeColor="background1"/>
                              </w:rPr>
                              <w:t>(Anderson and Sharma, 2020)</w:t>
                            </w:r>
                            <w:r>
                              <w:rPr>
                                <w:color w:val="FFFFFF" w:themeColor="background1"/>
                              </w:rPr>
                              <w:fldChar w:fldCharType="end"/>
                            </w:r>
                            <w:r>
                              <w:rPr>
                                <w:color w:val="FFFFFF" w:themeColor="background1"/>
                              </w:rPr>
                              <w:t>.</w:t>
                            </w:r>
                          </w:p>
                          <w:p w14:paraId="1754EE83" w14:textId="77777777" w:rsidR="0078251D" w:rsidRDefault="0078251D"/>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w14:anchorId="4D466DE6" id="_x0000_s1027" type="#_x0000_t202" style="position:absolute;left:0;text-align:left;margin-left:.05pt;margin-top:184.25pt;width:1in;height:263.4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" fillcolor="#0070c0" strokecolor="#0070c0" strokeweight=".5pt">
                <v:textbox>
                  <w:txbxContent>
                    <w:p w14:paraId="5A94A37C" w14:textId="77777777" w:rsidR="0078251D" w:rsidRDefault="00000000">
                      <w:pPr>
                        <w:spacing w:before="240" w:after="240" w:line="276" w:lineRule="auto"/>
                        <w:rPr>
                          <w:b/>
                          <w:bCs/>
                          <w:color w:val="FFFFFF" w:themeColor="background1"/>
                          <w:u w:val="single"/>
                        </w:rPr>
                      </w:pPr>
                      <w:r>
                        <w:rPr>
                          <w:b/>
                          <w:bCs/>
                          <w:color w:val="FFFFFF" w:themeColor="background1"/>
                          <w:u w:val="single"/>
                        </w:rPr>
                        <w:t>What Are Pharmacy Services?</w:t>
                      </w:r>
                    </w:p>
                    <w:p w14:paraId="1350A19E" w14:textId="77777777" w:rsidR="0078251D" w:rsidRDefault="00000000">
                      <w:pPr>
                        <w:spacing w:after="240" w:line="276" w:lineRule="auto"/>
                        <w:rPr>
                          <w:color w:val="FFFFFF" w:themeColor="background1"/>
                        </w:rPr>
                      </w:pPr>
                      <w:r>
                        <w:rPr>
                          <w:color w:val="FFFFFF" w:themeColor="background1"/>
                        </w:rPr>
                        <w:t xml:space="preserve">Pharmacy services are an integral part of the United Kingdom's health and social care system, offering community-based healthcare to millions of people every year. Pharmacies provide first point of contact health care without an appointment, unlike hospitals or general practice surgeries, and are one of the most accessible points of contact in the National Health Service (NHS). Pharmacists are highly trained clinical professionals who dispense prescribed medicines, provide health advice, administer vaccinations and manage minor ailments, which helps to alleviate the strain on overstretched GP services and emergency departments </w:t>
                      </w:r>
                      <w:r>
                        <w:rPr>
                          <w:color w:val="FFFFFF" w:themeColor="background1"/>
                        </w:rPr>
                        <w:fldChar w:fldCharType="begin" w:fldLock="1"/>
                      </w:r>
                      <w:r>
                        <w:rPr>
                          <w:color w:val="FFFFFF" w:themeColor="background1"/>
                        </w:rPr>
                        <w:instrText>ADDIN CSL_CITATION {"citationItems":[{"id":"ITEM-1","itemData":{"ISSN":"1885-642X","author":[{"dropping-particle":"","family":"Anderson","given":"Claire","non-dropping-particle":"","parse-names":false,"suffix":""},{"dropping-particle":"","family":"Sharma","given":"Ravi","non-dropping-particle":"","parse-names":false,"suffix":""}],"container-title":"Pharmacy Practice (Granada)","id":"ITEM-1","issue":"1","issued":{"date-parts":[["2020"]]},"publisher":"SciELO Espana","title":"Primary health care policy and vision for community pharmacy and pharmacists in England","type":"article-journal","volume":"18"},"uris":["http://www.mendeley.com/documents/?uuid=3e506d3f-a9db-4296-8f0b-7099b066947e"]}],"mendeley":{"formattedCitation":"(Anderson and Sharma, 2020)","plainTextFormattedCitation":"(Anderson and Sharma, 2020)","previouslyFormattedCitation":"(Anderson and Sharma, 2020)"},"properties":{"noteIndex":0},"schema":"https://github.com/citation-style-language/schema/raw/master/csl-citation.json"}</w:instrText>
                      </w:r>
                      <w:r>
                        <w:rPr>
                          <w:color w:val="FFFFFF" w:themeColor="background1"/>
                        </w:rPr>
                        <w:fldChar w:fldCharType="separate"/>
                      </w:r>
                      <w:r>
                        <w:rPr>
                          <w:color w:val="FFFFFF" w:themeColor="background1"/>
                        </w:rPr>
                        <w:t>(Anderson and Sharma, 2020)</w:t>
                      </w:r>
                      <w:r>
                        <w:rPr>
                          <w:color w:val="FFFFFF" w:themeColor="background1"/>
                        </w:rPr>
                        <w:fldChar w:fldCharType="end"/>
                      </w:r>
                      <w:r>
                        <w:rPr>
                          <w:color w:val="FFFFFF" w:themeColor="background1"/>
                        </w:rPr>
                        <w:t>.</w:t>
                      </w:r>
                    </w:p>
                    <w:p w14:paraId="1754EE83" w14:textId="77777777" w:rsidR="0078251D" w:rsidRDefault="0078251D"/>
                  </w:txbxContent>
                </v:textbox>
              </v:shape>
            </w:pict>
          </mc:Fallback>
        </mc:AlternateContent>
      </w:r>
      <w:r>
        <w:rPr>
          <w:noProof/>
          <w:color w:val="FFFFFF" w:themeColor="background1"/>
          <w:lang w:val="en-US"/>
          <w14:ligatures w14:val="standardContextual"/>
        </w:rPr>
        <w:drawing>
          <wp:inline distT="0" distB="0" distL="0" distR="0" wp14:anchorId="7E7BBD58" wp14:editId="6C1BD114">
            <wp:extent cx="3361055" cy="2301875"/>
            <wp:effectExtent l="0" t="0" r="0" b="3175"/>
            <wp:docPr id="1818068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68423"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1055" cy="2301875"/>
                    </a:xfrm>
                    <a:prstGeom prst="rect">
                      <a:avLst/>
                    </a:prstGeom>
                  </pic:spPr>
                </pic:pic>
              </a:graphicData>
            </a:graphic>
          </wp:inline>
        </w:drawing>
      </w:r>
    </w:p>
    <w:p w14:paraId="41907D1E" w14:textId="77777777" w:rsidR="0078251D" w:rsidRDefault="0078251D">
      <w:pPr>
        <w:spacing w:after="240" w:line="276" w:lineRule="auto"/>
      </w:pPr>
    </w:p>
    <w:p w14:paraId="5F1CBA05" w14:textId="77777777" w:rsidR="0078251D" w:rsidRDefault="0078251D">
      <w:pPr>
        <w:spacing w:after="240" w:line="276" w:lineRule="auto"/>
      </w:pPr>
    </w:p>
    <w:p w14:paraId="6C192EA6" w14:textId="77777777" w:rsidR="0078251D" w:rsidRDefault="0078251D">
      <w:pPr>
        <w:spacing w:after="240" w:line="276" w:lineRule="auto"/>
      </w:pPr>
    </w:p>
    <w:p w14:paraId="1D1F9888" w14:textId="77777777" w:rsidR="0078251D" w:rsidRDefault="0078251D">
      <w:pPr>
        <w:spacing w:after="240" w:line="276" w:lineRule="auto"/>
      </w:pPr>
    </w:p>
    <w:p w14:paraId="602B678E" w14:textId="77777777" w:rsidR="0078251D" w:rsidRDefault="0078251D">
      <w:pPr>
        <w:spacing w:after="240" w:line="276" w:lineRule="auto"/>
      </w:pPr>
    </w:p>
    <w:p w14:paraId="7C309DBB" w14:textId="77777777" w:rsidR="0078251D" w:rsidRDefault="0078251D">
      <w:pPr>
        <w:spacing w:after="240" w:line="276" w:lineRule="auto"/>
      </w:pPr>
    </w:p>
    <w:p w14:paraId="70200565" w14:textId="77777777" w:rsidR="0078251D" w:rsidRDefault="0078251D">
      <w:pPr>
        <w:spacing w:after="240" w:line="276" w:lineRule="auto"/>
        <w:rPr>
          <w:b/>
          <w:bCs/>
        </w:rPr>
      </w:pPr>
    </w:p>
    <w:p w14:paraId="177BD447" w14:textId="77777777" w:rsidR="0078251D" w:rsidRDefault="0078251D">
      <w:pPr>
        <w:spacing w:after="240" w:line="276" w:lineRule="auto"/>
        <w:rPr>
          <w:b/>
          <w:bCs/>
        </w:rPr>
      </w:pPr>
    </w:p>
    <w:p w14:paraId="048B6085" w14:textId="77777777" w:rsidR="0078251D" w:rsidRDefault="0078251D">
      <w:pPr>
        <w:spacing w:after="240" w:line="276" w:lineRule="auto"/>
        <w:rPr>
          <w:b/>
          <w:bCs/>
        </w:rPr>
      </w:pPr>
    </w:p>
    <w:p w14:paraId="72026EAF" w14:textId="77777777" w:rsidR="0078251D" w:rsidRDefault="0078251D">
      <w:pPr>
        <w:spacing w:after="240" w:line="276" w:lineRule="auto"/>
        <w:rPr>
          <w:b/>
          <w:bCs/>
        </w:rPr>
      </w:pPr>
    </w:p>
    <w:p w14:paraId="625D1B65" w14:textId="77777777" w:rsidR="0078251D" w:rsidRDefault="0078251D">
      <w:pPr>
        <w:spacing w:after="240" w:line="276" w:lineRule="auto"/>
        <w:rPr>
          <w:b/>
          <w:bCs/>
        </w:rPr>
      </w:pPr>
    </w:p>
    <w:p w14:paraId="28F0DA38" w14:textId="77777777" w:rsidR="0078251D" w:rsidRDefault="00000000">
      <w:pPr>
        <w:spacing w:after="240" w:line="276" w:lineRule="auto"/>
        <w:rPr>
          <w:b/>
          <w:bCs/>
          <w:u w:val="single"/>
        </w:rPr>
      </w:pPr>
      <w:r>
        <w:rPr>
          <w:b/>
          <w:bCs/>
          <w:u w:val="single"/>
        </w:rPr>
        <w:t>A Brief History of Pharmacy Services</w:t>
      </w:r>
    </w:p>
    <w:p w14:paraId="3AF058BB" w14:textId="77777777" w:rsidR="0078251D" w:rsidRDefault="00000000">
      <w:pPr>
        <w:spacing w:after="240" w:line="276" w:lineRule="auto"/>
      </w:pPr>
      <w:r>
        <w:rPr>
          <w:noProof/>
          <w:lang w:val="en-US"/>
          <w14:ligatures w14:val="standardContextual"/>
        </w:rPr>
        <w:drawing>
          <wp:inline distT="0" distB="0" distL="0" distR="0" wp14:anchorId="0230CCB4" wp14:editId="2529C02D">
            <wp:extent cx="3361055" cy="1680845"/>
            <wp:effectExtent l="0" t="0" r="0" b="0"/>
            <wp:docPr id="1089724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24832"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1055" cy="1680845"/>
                    </a:xfrm>
                    <a:prstGeom prst="rect">
                      <a:avLst/>
                    </a:prstGeom>
                  </pic:spPr>
                </pic:pic>
              </a:graphicData>
            </a:graphic>
          </wp:inline>
        </w:drawing>
      </w:r>
    </w:p>
    <w:p w14:paraId="3188D53A" w14:textId="77777777" w:rsidR="0078251D" w:rsidRDefault="0078251D">
      <w:pPr>
        <w:spacing w:before="240" w:line="276" w:lineRule="auto"/>
      </w:pPr>
    </w:p>
    <w:p w14:paraId="6968DCFF" w14:textId="77777777" w:rsidR="0078251D" w:rsidRDefault="0078251D">
      <w:pPr>
        <w:spacing w:before="240" w:line="276" w:lineRule="auto"/>
      </w:pPr>
    </w:p>
    <w:p w14:paraId="76F3150D" w14:textId="77777777" w:rsidR="0078251D" w:rsidRDefault="0078251D">
      <w:pPr>
        <w:spacing w:before="240" w:line="276" w:lineRule="auto"/>
      </w:pPr>
    </w:p>
    <w:p w14:paraId="667B7B92" w14:textId="77777777" w:rsidR="0078251D" w:rsidRDefault="0078251D">
      <w:pPr>
        <w:spacing w:before="240" w:line="276" w:lineRule="auto"/>
      </w:pPr>
    </w:p>
    <w:p w14:paraId="2A4086F4" w14:textId="77777777" w:rsidR="0078251D" w:rsidRDefault="0078251D">
      <w:pPr>
        <w:spacing w:before="240" w:line="276" w:lineRule="auto"/>
      </w:pPr>
    </w:p>
    <w:p w14:paraId="0885FC3C" w14:textId="77777777" w:rsidR="0078251D" w:rsidRDefault="0078251D">
      <w:pPr>
        <w:spacing w:before="240" w:line="276" w:lineRule="auto"/>
      </w:pPr>
    </w:p>
    <w:p w14:paraId="172A491D" w14:textId="77777777" w:rsidR="0078251D" w:rsidRDefault="0078251D">
      <w:pPr>
        <w:spacing w:before="240" w:line="276" w:lineRule="auto"/>
      </w:pPr>
    </w:p>
    <w:p w14:paraId="4C43A3AB" w14:textId="77777777" w:rsidR="0078251D" w:rsidRDefault="0078251D">
      <w:pPr>
        <w:spacing w:before="240" w:line="276" w:lineRule="auto"/>
      </w:pPr>
    </w:p>
    <w:p w14:paraId="59EAB18F" w14:textId="77777777" w:rsidR="0078251D" w:rsidRDefault="0078251D">
      <w:pPr>
        <w:spacing w:before="240" w:line="276" w:lineRule="auto"/>
      </w:pPr>
    </w:p>
    <w:p w14:paraId="1BAA9E02" w14:textId="77777777" w:rsidR="0078251D" w:rsidRDefault="0078251D">
      <w:pPr>
        <w:spacing w:before="240" w:line="276" w:lineRule="auto"/>
      </w:pPr>
    </w:p>
    <w:p w14:paraId="7B7C6B25" w14:textId="77777777" w:rsidR="0078251D" w:rsidRDefault="00000000">
      <w:pPr>
        <w:spacing w:before="240" w:line="276" w:lineRule="auto"/>
      </w:pPr>
      <w:r>
        <w:rPr>
          <w:noProof/>
          <w:lang w:val="en-US"/>
          <w14:ligatures w14:val="standardContextual"/>
        </w:rPr>
        <w:drawing>
          <wp:inline distT="0" distB="0" distL="0" distR="0" wp14:anchorId="4DBE4D53" wp14:editId="18A944DE">
            <wp:extent cx="3361055" cy="2141855"/>
            <wp:effectExtent l="0" t="0" r="0" b="0"/>
            <wp:docPr id="237467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67113"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1055" cy="2141855"/>
                    </a:xfrm>
                    <a:prstGeom prst="rect">
                      <a:avLst/>
                    </a:prstGeom>
                  </pic:spPr>
                </pic:pic>
              </a:graphicData>
            </a:graphic>
          </wp:inline>
        </w:drawing>
      </w:r>
    </w:p>
    <w:p w14:paraId="6F276206" w14:textId="77777777" w:rsidR="0078251D" w:rsidRDefault="00000000">
      <w:pPr>
        <w:spacing w:after="160" w:line="276" w:lineRule="auto"/>
        <w:ind w:firstLine="720"/>
        <w:jc w:val="center"/>
        <w:rPr>
          <w:b/>
          <w:bCs/>
        </w:rPr>
      </w:pPr>
      <w:r>
        <w:rPr>
          <w:noProof/>
          <w14:ligatures w14:val="standardContextual"/>
        </w:rPr>
        <mc:AlternateContent>
          <mc:Choice Requires="wps">
            <w:drawing>
              <wp:anchor distT="0" distB="0" distL="114300" distR="114300" simplePos="0" relativeHeight="251661312" behindDoc="0" locked="0" layoutInCell="1" allowOverlap="1" wp14:anchorId="30C3B8B7" wp14:editId="5F920392">
                <wp:simplePos x="0" y="0"/>
                <wp:positionH relativeFrom="column">
                  <wp:posOffset>-50165</wp:posOffset>
                </wp:positionH>
                <wp:positionV relativeFrom="paragraph">
                  <wp:posOffset>69850</wp:posOffset>
                </wp:positionV>
                <wp:extent cx="3329305" cy="3459480"/>
                <wp:effectExtent l="0" t="0" r="23495" b="26670"/>
                <wp:wrapNone/>
                <wp:docPr id="1528795730" name="Text Box 4"/>
                <wp:cNvGraphicFramePr/>
                <a:graphic xmlns:a="http://schemas.openxmlformats.org/drawingml/2006/main">
                  <a:graphicData uri="http://schemas.microsoft.com/office/word/2010/wordprocessingShape">
                    <wps:wsp>
                      <wps:cNvSpPr txBox="1"/>
                      <wps:spPr>
                        <a:xfrm>
                          <a:off x="0" y="0"/>
                          <a:ext cx="3329305" cy="3459480"/>
                        </a:xfrm>
                        <a:prstGeom prst="rect">
                          <a:avLst/>
                        </a:prstGeom>
                        <a:solidFill>
                          <a:srgbClr val="0881C4"/>
                        </a:solidFill>
                        <a:ln w="6350">
                          <a:solidFill>
                            <a:srgbClr val="0070C0"/>
                          </a:solidFill>
                        </a:ln>
                      </wps:spPr>
                      <wps:txbx>
                        <w:txbxContent>
                          <w:p w14:paraId="5A74F57A" w14:textId="77777777" w:rsidR="0078251D" w:rsidRDefault="00000000">
                            <w:pPr>
                              <w:spacing w:before="240" w:after="240" w:line="276" w:lineRule="auto"/>
                              <w:rPr>
                                <w:color w:val="FFFFFF" w:themeColor="background1"/>
                              </w:rPr>
                            </w:pPr>
                            <w:r>
                              <w:rPr>
                                <w:color w:val="FFFFFF" w:themeColor="background1"/>
                              </w:rPr>
                              <w:t xml:space="preserve">Modern pharmacy services in the UK are provided under a tiered contractual structure, with essential, advanced and enhanced services. Essential services are those of dispensing, repeat dispensing and disposal of unwanted medicines. Advanced services include structured medication reviews, hypertension case-finding and the NHS Community Pharmacist Consultation Service (CPCS) which allows GPs and NHS 111 to refer patients directly to a pharmacist for a clinical consultation on the same day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England","given":"","non-dropping-particle":"","parse-names":false,"suffix":""}],"id":"ITEM-1","issued":{"date-parts":[["2023"]]},"publisher":"NHS England","title":"Community Pharmacy Contractual Framework","type":"report"},"uris":["http://www.mendeley.com/documents/?uuid=9e23d278-526c-49af-9093-382380bcb1af"]}],"mendeley":{"formattedCitation":"(NHS England, 2023a)","plainTextFormattedCitation":"(NHS England, 2023a)","previouslyFormattedCitation":"(NHS England, 2023a)"},"properties":{"noteIndex":0},"schema":"https://github.com/citation-style-language/schema/raw/master/csl-citation.json"}</w:instrText>
                            </w:r>
                            <w:r>
                              <w:rPr>
                                <w:color w:val="FFFFFF" w:themeColor="background1"/>
                              </w:rPr>
                              <w:fldChar w:fldCharType="separate"/>
                            </w:r>
                            <w:r>
                              <w:rPr>
                                <w:color w:val="FFFFFF" w:themeColor="background1"/>
                              </w:rPr>
                              <w:t>(NHS England, 2023a)</w:t>
                            </w:r>
                            <w:r>
                              <w:rPr>
                                <w:color w:val="FFFFFF" w:themeColor="background1"/>
                              </w:rPr>
                              <w:fldChar w:fldCharType="end"/>
                            </w:r>
                            <w:r>
                              <w:rPr>
                                <w:color w:val="FFFFFF" w:themeColor="background1"/>
                              </w:rPr>
                              <w:t xml:space="preserve">. In January 2024, the Pharmacy First initiative was introduced, which further expanded pharmacists' prescribing powers to allow them to prescribe seven common conditions, such as urinary tract infections, shingles and sinusitis, without a GP referral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England","given":"","non-dropping-particle":"","parse-names":false,"suffix":""}],"id":"ITEM-1","issue":"March 2021","issued":{"date-parts":[["2024"]]},"title":"Pharmacy First: Written evidence submitted by the Company Chemists ’ Association ( CCA ) ( PHA0045 )","type":"report"},"uris":["http://www.mendeley.com/documents/?uuid=9bca2776-8b20-4142-ac44-5759f0651bb0"]}],"mendeley":{"formattedCitation":"(NHS England, 2024)","plainTextFormattedCitation":"(NHS England, 2024)","previouslyFormattedCitation":"(NHS England, 2024)"},"properties":{"noteIndex":0},"schema":"https://github.com/citation-style-language/schema/raw/master/csl-citation.json"}</w:instrText>
                            </w:r>
                            <w:r>
                              <w:rPr>
                                <w:color w:val="FFFFFF" w:themeColor="background1"/>
                              </w:rPr>
                              <w:fldChar w:fldCharType="separate"/>
                            </w:r>
                            <w:r>
                              <w:rPr>
                                <w:color w:val="FFFFFF" w:themeColor="background1"/>
                              </w:rPr>
                              <w:t>(NHS England, 2024)</w:t>
                            </w:r>
                            <w:r>
                              <w:rPr>
                                <w:color w:val="FFFFFF" w:themeColor="background1"/>
                              </w:rPr>
                              <w:fldChar w:fldCharType="end"/>
                            </w:r>
                            <w:r>
                              <w:rPr>
                                <w:color w:val="FFFFFF" w:themeColor="background1"/>
                              </w:rPr>
                              <w:t>.</w:t>
                            </w:r>
                          </w:p>
                          <w:p w14:paraId="53FA1DFD" w14:textId="77777777" w:rsidR="0078251D" w:rsidRDefault="00000000">
                            <w:pPr>
                              <w:spacing w:after="240" w:line="276" w:lineRule="auto"/>
                              <w:rPr>
                                <w:color w:val="FFFF00"/>
                              </w:rPr>
                            </w:pPr>
                            <w:r>
                              <w:rPr>
                                <w:color w:val="FFFF00"/>
                              </w:rPr>
                              <w:t>.</w:t>
                            </w:r>
                          </w:p>
                          <w:p w14:paraId="3D5D567E" w14:textId="77777777" w:rsidR="0078251D" w:rsidRDefault="0078251D"/>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0C3B8B7" id="_x0000_s1028" type="#_x0000_t202" style="position:absolute;left:0;text-align:left;margin-left:-3.95pt;margin-top:5.5pt;width:262.15pt;height:272.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" fillcolor="#0881c4" strokecolor="#0070c0" strokeweight=".5pt">
                <v:textbox>
                  <w:txbxContent>
                    <w:p w14:paraId="5A74F57A" w14:textId="77777777" w:rsidR="0078251D" w:rsidRDefault="00000000">
                      <w:pPr>
                        <w:spacing w:before="240" w:after="240" w:line="276" w:lineRule="auto"/>
                        <w:rPr>
                          <w:color w:val="FFFFFF" w:themeColor="background1"/>
                        </w:rPr>
                      </w:pPr>
                      <w:r>
                        <w:rPr>
                          <w:color w:val="FFFFFF" w:themeColor="background1"/>
                        </w:rPr>
                        <w:t xml:space="preserve">Modern pharmacy services in the UK are provided under a tiered contractual structure, with essential, advanced and enhanced services. Essential services are those of dispensing, repeat dispensing and disposal of unwanted medicines. Advanced services include structured medication reviews, hypertension case-finding and the NHS Community Pharmacist Consultation Service (CPCS) which allows GPs and NHS 111 to refer patients directly to a pharmacist for a clinical consultation on the same day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England","given":"","non-dropping-particle":"","parse-names":false,"suffix":""}],"id":"ITEM-1","issued":{"date-parts":[["2023"]]},"publisher":"NHS England","title":"Community Pharmacy Contractual Framework","type":"report"},"uris":["http://www.mendeley.com/documents/?uuid=9e23d278-526c-49af-9093-382380bcb1af"]}],"mendeley":{"formattedCitation":"(NHS England, 2023a)","plainTextFormattedCitation":"(NHS England, 2023a)","previouslyFormattedCitation":"(NHS England, 2023a)"},"properties":{"noteIndex":0},"schema":"https://github.com/citation-style-language/schema/raw/master/csl-citation.json"}</w:instrText>
                      </w:r>
                      <w:r>
                        <w:rPr>
                          <w:color w:val="FFFFFF" w:themeColor="background1"/>
                        </w:rPr>
                        <w:fldChar w:fldCharType="separate"/>
                      </w:r>
                      <w:r>
                        <w:rPr>
                          <w:color w:val="FFFFFF" w:themeColor="background1"/>
                        </w:rPr>
                        <w:t>(NHS England, 2023a)</w:t>
                      </w:r>
                      <w:r>
                        <w:rPr>
                          <w:color w:val="FFFFFF" w:themeColor="background1"/>
                        </w:rPr>
                        <w:fldChar w:fldCharType="end"/>
                      </w:r>
                      <w:r>
                        <w:rPr>
                          <w:color w:val="FFFFFF" w:themeColor="background1"/>
                        </w:rPr>
                        <w:t xml:space="preserve">. In January 2024, the Pharmacy First initiative was introduced, which further expanded pharmacists' prescribing powers to allow them to prescribe seven common conditions, such as urinary tract infections, shingles and sinusitis, without a GP referral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England","given":"","non-dropping-particle":"","parse-names":false,"suffix":""}],"id":"ITEM-1","issue":"March 2021","issued":{"date-parts":[["2024"]]},"title":"Pharmacy First: Written evidence submitted by the Company Chemists ’ Association ( CCA ) ( PHA0045 )","type":"report"},"uris":["http://www.mendeley.com/documents/?uuid=9bca2776-8b20-4142-ac44-5759f0651bb0"]}],"mendeley":{"formattedCitation":"(NHS England, 2024)","plainTextFormattedCitation":"(NHS England, 2024)","previouslyFormattedCitation":"(NHS England, 2024)"},"properties":{"noteIndex":0},"schema":"https://github.com/citation-style-language/schema/raw/master/csl-citation.json"}</w:instrText>
                      </w:r>
                      <w:r>
                        <w:rPr>
                          <w:color w:val="FFFFFF" w:themeColor="background1"/>
                        </w:rPr>
                        <w:fldChar w:fldCharType="separate"/>
                      </w:r>
                      <w:r>
                        <w:rPr>
                          <w:color w:val="FFFFFF" w:themeColor="background1"/>
                        </w:rPr>
                        <w:t>(NHS England, 2024)</w:t>
                      </w:r>
                      <w:r>
                        <w:rPr>
                          <w:color w:val="FFFFFF" w:themeColor="background1"/>
                        </w:rPr>
                        <w:fldChar w:fldCharType="end"/>
                      </w:r>
                      <w:r>
                        <w:rPr>
                          <w:color w:val="FFFFFF" w:themeColor="background1"/>
                        </w:rPr>
                        <w:t>.</w:t>
                      </w:r>
                    </w:p>
                    <w:p w14:paraId="53FA1DFD" w14:textId="77777777" w:rsidR="0078251D" w:rsidRDefault="00000000">
                      <w:pPr>
                        <w:spacing w:after="240" w:line="276" w:lineRule="auto"/>
                        <w:rPr>
                          <w:color w:val="FFFF00"/>
                        </w:rPr>
                      </w:pPr>
                      <w:r>
                        <w:rPr>
                          <w:color w:val="FFFF00"/>
                        </w:rPr>
                        <w:t>.</w:t>
                      </w:r>
                    </w:p>
                    <w:p w14:paraId="3D5D567E" w14:textId="77777777" w:rsidR="0078251D" w:rsidRDefault="0078251D"/>
                  </w:txbxContent>
                </v:textbox>
              </v:shape>
            </w:pict>
          </mc:Fallback>
        </mc:AlternateContent>
      </w:r>
      <w:r>
        <w:rPr>
          <w:b/>
          <w:bCs/>
        </w:rPr>
        <w:br w:type="page"/>
      </w:r>
      <w:r>
        <w:rPr>
          <w:b/>
          <w:bCs/>
          <w:u w:val="single"/>
        </w:rPr>
        <w:lastRenderedPageBreak/>
        <w:t xml:space="preserve">Challenges </w:t>
      </w:r>
    </w:p>
    <w:p w14:paraId="54E87C7C" w14:textId="77777777" w:rsidR="0078251D" w:rsidRDefault="00000000">
      <w:pPr>
        <w:spacing w:after="240" w:line="276" w:lineRule="auto"/>
      </w:pPr>
      <w:r>
        <w:rPr>
          <w:noProof/>
          <w14:ligatures w14:val="standardContextual"/>
        </w:rPr>
        <mc:AlternateContent>
          <mc:Choice Requires="wps">
            <w:drawing>
              <wp:anchor distT="0" distB="0" distL="114300" distR="114300" simplePos="0" relativeHeight="251662336" behindDoc="0" locked="0" layoutInCell="1" allowOverlap="1" wp14:anchorId="7F9FCFA0" wp14:editId="30ED3A4B">
                <wp:simplePos x="0" y="0"/>
                <wp:positionH relativeFrom="column">
                  <wp:posOffset>80010</wp:posOffset>
                </wp:positionH>
                <wp:positionV relativeFrom="paragraph">
                  <wp:posOffset>1922780</wp:posOffset>
                </wp:positionV>
                <wp:extent cx="3368040" cy="5981700"/>
                <wp:effectExtent l="0" t="0" r="22860" b="19050"/>
                <wp:wrapNone/>
                <wp:docPr id="244628490" name="Text Box 4"/>
                <wp:cNvGraphicFramePr/>
                <a:graphic xmlns:a="http://schemas.openxmlformats.org/drawingml/2006/main">
                  <a:graphicData uri="http://schemas.microsoft.com/office/word/2010/wordprocessingShape">
                    <wps:wsp>
                      <wps:cNvSpPr txBox="1"/>
                      <wps:spPr>
                        <a:xfrm>
                          <a:off x="0" y="0"/>
                          <a:ext cx="3368040" cy="5981700"/>
                        </a:xfrm>
                        <a:prstGeom prst="rect">
                          <a:avLst/>
                        </a:prstGeom>
                        <a:solidFill>
                          <a:srgbClr val="166CEA"/>
                        </a:solidFill>
                        <a:ln w="6350">
                          <a:solidFill>
                            <a:srgbClr val="0070C0"/>
                          </a:solidFill>
                        </a:ln>
                      </wps:spPr>
                      <wps:txbx>
                        <w:txbxContent>
                          <w:p w14:paraId="68C15568" w14:textId="77777777" w:rsidR="0078251D" w:rsidRDefault="00000000">
                            <w:pPr>
                              <w:spacing w:after="240" w:line="276" w:lineRule="auto"/>
                              <w:rPr>
                                <w:color w:val="FFFFFF" w:themeColor="background1"/>
                              </w:rPr>
                            </w:pPr>
                            <w:r>
                              <w:rPr>
                                <w:color w:val="FFFFFF" w:themeColor="background1"/>
                              </w:rPr>
                              <w:t xml:space="preserve">There are two major and interrelated issues that are currently confronting community pharmacies in the UK that are likely to have a significant impact on the sustainability of the UK's most accessible frontline service, the NHS. First, the sector is facing a serious and growing workforce crisis, despite a much broader scope of practice. According to the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England","given":"","non-dropping-particle":"","parse-names":false,"suffix":""}],"id":"ITEM-1","issue":"March 2021","issued":{"date-parts":[["2024"]]},"title":"Pharmacy First: Written evidence submitted by the Company Chemists ’ Association ( CCA ) ( PHA0045 )","type":"report"},"uris":["http://www.mendeley.com/documents/?uuid=9bca2776-8b20-4142-ac44-5759f0651bb0"]}],"mendeley":{"formattedCitation":"(NHS England, 2024)","manualFormatting":"NHS England (2024)","plainTextFormattedCitation":"(NHS England, 2024)","previouslyFormattedCitation":"(NHS England, 2024)"},"properties":{"noteIndex":0},"schema":"https://github.com/citation-style-language/schema/raw/master/csl-citation.json"}</w:instrText>
                            </w:r>
                            <w:r>
                              <w:rPr>
                                <w:color w:val="FFFFFF" w:themeColor="background1"/>
                              </w:rPr>
                              <w:fldChar w:fldCharType="separate"/>
                            </w:r>
                            <w:r>
                              <w:rPr>
                                <w:color w:val="FFFFFF" w:themeColor="background1"/>
                              </w:rPr>
                              <w:t>NHS England (2024)</w:t>
                            </w:r>
                            <w:r>
                              <w:rPr>
                                <w:color w:val="FFFFFF" w:themeColor="background1"/>
                              </w:rPr>
                              <w:fldChar w:fldCharType="end"/>
                            </w:r>
                            <w:r>
                              <w:rPr>
                                <w:color w:val="FFFFFF" w:themeColor="background1"/>
                              </w:rPr>
                              <w:t xml:space="preserve">, there are currently around 31% of unfilled positions in the pharmacy technician profession, and the vacancy rate for pharmacists has also hit a record high. These chronic staffing shortages have a direct impact on patient safety, the incidence of dispensing errors, the risk of burnout among the remaining staff, and a major contributor to the closure of pharmacies, especially in socioeconomically deprived areas where convenient, walk-in healthcare is most needed </w:t>
                            </w:r>
                            <w:r>
                              <w:rPr>
                                <w:color w:val="FFFFFF" w:themeColor="background1"/>
                              </w:rPr>
                              <w:fldChar w:fldCharType="begin" w:fldLock="1"/>
                            </w:r>
                            <w:r>
                              <w:rPr>
                                <w:color w:val="FFFFFF" w:themeColor="background1"/>
                              </w:rPr>
                              <w:instrText>ADDIN CSL_CITATION {"citationItems":[{"id":"ITEM-1","itemData":{"DOI":"10.1080/20523211.2024.2395551","ISSN":"20523211","abstract":"Background: Health systems worldwide are under pressure. Integration seems a possible solution to improve healthcare systems efficiency. This research aims to gather stakeholders’ opinions on integrating community pharmacy and the primary healthcare system and secondly to explore and prioritise interventions for an initial integration plan. Method: Using a constructivist qualitative research approach, a two-phase qualitative study was conducted in the Basque Country, Spain. Thematic analysis using NVivo® was undertaken on data gathered during focus groups and semi-structured interviews (phase 1). During phase 2, a nominal group prioritised potential integration interventions identified in phase 1. Results: The study amalgamated findings from four focus groups and nine interviews, revealing six themes. Stakeholders had a diverse understanding of integration, associating the term mainly with collaboration, communication or cooperation. Community pharmacies were positively perceived; however, their commercial and privately owned nature was of concern. Remuneration methods for pharmacists were controversial, with a suggested shift to service-based remuneration. Information availability and barriers such as interprofessional communication gaps were highlighted. The nominal group prioritised, according to importance and feasibility, bidirectional communication development, coordination in using interprofessional protocols and community pharmacist participation in primary healthcare centre meetings as interventions for integrating community pharmacies and primary healthcare centres. Conclusion: Based on the opinions of stakeholders, three interventions are proposed to initiate the integration process of community pharmacy and primary care. The implementation of these interventions will need to be negotiated with the relevant authorities and evaluated.","author":[{"dropping-particle":"","family":"Urionagüena","given":"Amaia","non-dropping-particle":"","parse-names":false,"suffix":""},{"dropping-particle":"","family":"Piquer-Martinez","given":"Celia","non-dropping-particle":"","parse-names":false,"suffix":""},{"dropping-particle":"","family":"Benrimoj","given":"Shalom Isaac","non-dropping-particle":"","parse-names":false,"suffix":""},{"dropping-particle":"","family":"Calvo","given":"Begoña","non-dropping-particle":"","parse-names":false,"suffix":""},{"dropping-particle":"","family":"Garcia-Cardenas","given":"Victoria","non-dropping-particle":"","parse-names":false,"suffix":""},{"dropping-particle":"","family":"Martinez-Martinez","given":"Fernando","non-dropping-particle":"","parse-names":false,"suffix":""},{"dropping-particle":"","family":"Gastelurrutia","given":"Miguel Angel","non-dropping-particle":"","parse-names":false,"suffix":""}],"container-title":"Journal of Pharmaceutical Policy and Practice ","id":"ITEM-1","issue":"1","issued":{"date-parts":[["2024"]]},"page":"1-16","title":"Community pharmacy &amp; primary care integration: qualitative study on stakeholders’ opinions and interventions","type":"article-journal","volume":"17"},"uris":["http://www.mendeley.com/documents/?uuid=cfdb90fb-a443-45e4-82be-c65eb56d6d3b"]}],"mendeley":{"formattedCitation":"(Urionagüena &lt;i&gt;et al.&lt;/i&gt;, 2024)","plainTextFormattedCitation":"(Urionagüena et al., 2024)","previouslyFormattedCitation":"(Urionagüena &lt;i&gt;et al.&lt;/i&gt;, 2024)"},"properties":{"noteIndex":0},"schema":"https://github.com/citation-style-language/schema/raw/master/csl-citation.json"}</w:instrText>
                            </w:r>
                            <w:r>
                              <w:rPr>
                                <w:color w:val="FFFFFF" w:themeColor="background1"/>
                              </w:rPr>
                              <w:fldChar w:fldCharType="separate"/>
                            </w:r>
                            <w:r>
                              <w:rPr>
                                <w:color w:val="FFFFFF" w:themeColor="background1"/>
                              </w:rPr>
                              <w:t>(</w:t>
                            </w:r>
                            <w:proofErr w:type="spellStart"/>
                            <w:r>
                              <w:rPr>
                                <w:color w:val="FFFFFF" w:themeColor="background1"/>
                              </w:rPr>
                              <w:t>Urionagüena</w:t>
                            </w:r>
                            <w:proofErr w:type="spellEnd"/>
                            <w:r>
                              <w:rPr>
                                <w:color w:val="FFFFFF" w:themeColor="background1"/>
                              </w:rPr>
                              <w:t xml:space="preserve"> </w:t>
                            </w:r>
                            <w:r>
                              <w:rPr>
                                <w:i/>
                                <w:color w:val="FFFFFF" w:themeColor="background1"/>
                              </w:rPr>
                              <w:t>et al.</w:t>
                            </w:r>
                            <w:r>
                              <w:rPr>
                                <w:color w:val="FFFFFF" w:themeColor="background1"/>
                              </w:rPr>
                              <w:t>, 2024)</w:t>
                            </w:r>
                            <w:r>
                              <w:rPr>
                                <w:color w:val="FFFFFF" w:themeColor="background1"/>
                              </w:rPr>
                              <w:fldChar w:fldCharType="end"/>
                            </w:r>
                            <w:r>
                              <w:rPr>
                                <w:color w:val="FFFFFF" w:themeColor="background1"/>
                              </w:rPr>
                              <w:t xml:space="preserve">. Second, and exacerbating this workforce shortage, since 2015, community pharmacies have seen a real terms funding cut of over 30%, leading to financial instability throughout the community pharmacy sector </w:t>
                            </w:r>
                            <w:r>
                              <w:rPr>
                                <w:color w:val="FFFFFF" w:themeColor="background1"/>
                              </w:rPr>
                              <w:fldChar w:fldCharType="begin" w:fldLock="1"/>
                            </w:r>
                            <w:r>
                              <w:rPr>
                                <w:color w:val="FFFFFF" w:themeColor="background1"/>
                              </w:rPr>
                              <w:instrText>ADDIN CSL_CITATION {"citationItems":[{"id":"ITEM-1","itemData":{"ISSN":"21914761","author":[{"dropping-particle":"","family":"Baird","given":"Kevin","non-dropping-particle":"","parse-names":false,"suffix":""},{"dropping-particle":"","family":"Nuhu","given":"Nuraddeen","non-dropping-particle":"","parse-names":false,"suffix":""},{"dropping-particle":"","family":"Jiao","given":"Lu","non-dropping-particle":"","parse-names":false,"suffix":""}],"container-title":"Journal of Management Control","id":"ITEM-1","issue":"2","issued":{"date-parts":[["2024"]]},"page":"303-332","publisher":"Springer","title":"The effect of Porter’s competitive forces on competitive advantage and organisational performance and the moderating role of management accounting practices","type":"article-journal","volume":"35"},"uris":["http://www.mendeley.com/documents/?uuid=43d78524-7f4a-49eb-aab4-05b1a4f9b7d6"]}],"mendeley":{"formattedCitation":"(Baird, Nuhu and Jiao, 2024)","plainTextFormattedCitation":"(Baird, Nuhu and Jiao, 2024)","previouslyFormattedCitation":"(Baird, Nuhu and Jiao, 2024)"},"properties":{"noteIndex":0},"schema":"https://github.com/citation-style-language/schema/raw/master/csl-citation.json"}</w:instrText>
                            </w:r>
                            <w:r>
                              <w:rPr>
                                <w:color w:val="FFFFFF" w:themeColor="background1"/>
                              </w:rPr>
                              <w:fldChar w:fldCharType="separate"/>
                            </w:r>
                            <w:r>
                              <w:rPr>
                                <w:color w:val="FFFFFF" w:themeColor="background1"/>
                              </w:rPr>
                              <w:t>(Baird, Nuhu and Jiao, 2024)</w:t>
                            </w:r>
                            <w:r>
                              <w:rPr>
                                <w:color w:val="FFFFFF" w:themeColor="background1"/>
                              </w:rPr>
                              <w:fldChar w:fldCharType="end"/>
                            </w:r>
                            <w:r>
                              <w:rPr>
                                <w:color w:val="FFFFFF" w:themeColor="background1"/>
                              </w:rPr>
                              <w:t xml:space="preserve">. Since 2017, over 1,000 independent pharmacies have been shut down, especially in rural and economically disadvantaged areas. This shrinking of the pharmacy network exacerbates existing health inequalities and systematically limits access to key medicines and clinical guidance for those who are least likely to be able to access it elsewhere. Most importantly, </w:t>
                            </w:r>
                            <w:r>
                              <w:rPr>
                                <w:color w:val="FFFFFF" w:themeColor="background1"/>
                              </w:rPr>
                              <w:fldChar w:fldCharType="begin" w:fldLock="1"/>
                            </w:r>
                            <w:r>
                              <w:rPr>
                                <w:color w:val="FFFFFF" w:themeColor="background1"/>
                              </w:rPr>
                              <w:instrText>ADDIN CSL_CITATION {"citationItems":[{"id":"ITEM-1","itemData":{"author":[{"dropping-particle":"","family":"Lewis","given":"Ruth","non-dropping-particle":"","parse-names":false,"suffix":""},{"dropping-particle":"","family":"Williams","given":"Wilf","non-dropping-particle":"","parse-names":false,"suffix":""}],"container-title":"Nuffield Trust: The King’s Fund","id":"ITEM-1","issued":{"date-parts":[["2023"]]},"title":"Community pharmacy clinical services","type":"article-journal"},"uris":["http://www.mendeley.com/documents/?uuid=cc73300a-98d0-4fab-a474-d0401d51f53f"]}],"mendeley":{"formattedCitation":"(Lewis and Williams, 2023)","manualFormatting":"Lewis and Williams (2023)","plainTextFormattedCitation":"(Lewis and Williams, 2023)","previouslyFormattedCitation":"(Lewis and Williams, 2023)"},"properties":{"noteIndex":0},"schema":"https://github.com/citation-style-language/schema/raw/master/csl-citation.json"}</w:instrText>
                            </w:r>
                            <w:r>
                              <w:rPr>
                                <w:color w:val="FFFFFF" w:themeColor="background1"/>
                              </w:rPr>
                              <w:fldChar w:fldCharType="separate"/>
                            </w:r>
                            <w:r>
                              <w:rPr>
                                <w:color w:val="FFFFFF" w:themeColor="background1"/>
                              </w:rPr>
                              <w:t>Lewis and Williams (2023)</w:t>
                            </w:r>
                            <w:r>
                              <w:rPr>
                                <w:color w:val="FFFFFF" w:themeColor="background1"/>
                              </w:rPr>
                              <w:fldChar w:fldCharType="end"/>
                            </w:r>
                            <w:r>
                              <w:rPr>
                                <w:color w:val="FFFFFF" w:themeColor="background1"/>
                              </w:rPr>
                              <w:t xml:space="preserve"> states that if.</w:t>
                            </w:r>
                          </w:p>
                          <w:p w14:paraId="5BF675B5" w14:textId="77777777" w:rsidR="0078251D" w:rsidRDefault="0078251D">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F9FCFA0" id="_x0000_s1029" type="#_x0000_t202" style="position:absolute;left:0;text-align:left;margin-left:6.3pt;margin-top:151.4pt;width:265.2pt;height:47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" fillcolor="#166cea" strokecolor="#0070c0" strokeweight=".5pt">
                <v:textbox>
                  <w:txbxContent>
                    <w:p w14:paraId="68C15568" w14:textId="77777777" w:rsidR="0078251D" w:rsidRDefault="00000000">
                      <w:pPr>
                        <w:spacing w:after="240" w:line="276" w:lineRule="auto"/>
                        <w:rPr>
                          <w:color w:val="FFFFFF" w:themeColor="background1"/>
                        </w:rPr>
                      </w:pPr>
                      <w:r>
                        <w:rPr>
                          <w:color w:val="FFFFFF" w:themeColor="background1"/>
                        </w:rPr>
                        <w:t xml:space="preserve">There are two major and interrelated issues that are currently confronting community pharmacies in the UK that are likely to have a significant impact on the sustainability of the UK's most accessible frontline service, the NHS. First, the sector is facing a serious and growing workforce crisis, despite a much broader scope of practice. According to the </w:t>
                      </w:r>
                      <w:r>
                        <w:rPr>
                          <w:color w:val="FFFFFF" w:themeColor="background1"/>
                        </w:rPr>
                        <w:fldChar w:fldCharType="begin" w:fldLock="1"/>
                      </w:r>
                      <w:r>
                        <w:rPr>
                          <w:color w:val="FFFFFF" w:themeColor="background1"/>
                        </w:rPr>
                        <w:instrText>ADDIN CSL_CITATION {"citationItems":[{"id":"ITEM-1","itemData":{"author":[{"dropping-particle":"","family":"NHS England","given":"","non-dropping-particle":"","parse-names":false,"suffix":""}],"id":"ITEM-1","issue":"March 2021","issued":{"date-parts":[["2024"]]},"title":"Pharmacy First: Written evidence submitted by the Company Chemists ’ Association ( CCA ) ( PHA0045 )","type":"report"},"uris":["http://www.mendeley.com/documents/?uuid=9bca2776-8b20-4142-ac44-5759f0651bb0"]}],"mendeley":{"formattedCitation":"(NHS England, 2024)","manualFormatting":"NHS England (2024)","plainTextFormattedCitation":"(NHS England, 2024)","previouslyFormattedCitation":"(NHS England, 2024)"},"properties":{"noteIndex":0},"schema":"https://github.com/citation-style-language/schema/raw/master/csl-citation.json"}</w:instrText>
                      </w:r>
                      <w:r>
                        <w:rPr>
                          <w:color w:val="FFFFFF" w:themeColor="background1"/>
                        </w:rPr>
                        <w:fldChar w:fldCharType="separate"/>
                      </w:r>
                      <w:r>
                        <w:rPr>
                          <w:color w:val="FFFFFF" w:themeColor="background1"/>
                        </w:rPr>
                        <w:t>NHS England (2024)</w:t>
                      </w:r>
                      <w:r>
                        <w:rPr>
                          <w:color w:val="FFFFFF" w:themeColor="background1"/>
                        </w:rPr>
                        <w:fldChar w:fldCharType="end"/>
                      </w:r>
                      <w:r>
                        <w:rPr>
                          <w:color w:val="FFFFFF" w:themeColor="background1"/>
                        </w:rPr>
                        <w:t xml:space="preserve">, there are currently around 31% of unfilled positions in the pharmacy technician profession, and the vacancy rate for pharmacists has also hit a record high. These chronic staffing shortages have a direct impact on patient safety, the incidence of dispensing errors, the risk of burnout among the remaining staff, and a major contributor to the closure of pharmacies, especially in socioeconomically deprived areas where convenient, walk-in healthcare is most needed </w:t>
                      </w:r>
                      <w:r>
                        <w:rPr>
                          <w:color w:val="FFFFFF" w:themeColor="background1"/>
                        </w:rPr>
                        <w:fldChar w:fldCharType="begin" w:fldLock="1"/>
                      </w:r>
                      <w:r>
                        <w:rPr>
                          <w:color w:val="FFFFFF" w:themeColor="background1"/>
                        </w:rPr>
                        <w:instrText>ADDIN CSL_CITATION {"citationItems":[{"id":"ITEM-1","itemData":{"DOI":"10.1080/20523211.2024.2395551","ISSN":"20523211","abstract":"Background: Health systems worldwide are under pressure. Integration seems a possible solution to improve healthcare systems efficiency. This research aims to gather stakeholders’ opinions on integrating community pharmacy and the primary healthcare system and secondly to explore and prioritise interventions for an initial integration plan. Method: Using a constructivist qualitative research approach, a two-phase qualitative study was conducted in the Basque Country, Spain. Thematic analysis using NVivo® was undertaken on data gathered during focus groups and semi-structured interviews (phase 1). During phase 2, a nominal group prioritised potential integration interventions identified in phase 1. Results: The study amalgamated findings from four focus groups and nine interviews, revealing six themes. Stakeholders had a diverse understanding of integration, associating the term mainly with collaboration, communication or cooperation. Community pharmacies were positively perceived; however, their commercial and privately owned nature was of concern. Remuneration methods for pharmacists were controversial, with a suggested shift to service-based remuneration. Information availability and barriers such as interprofessional communication gaps were highlighted. The nominal group prioritised, according to importance and feasibility, bidirectional communication development, coordination in using interprofessional protocols and community pharmacist participation in primary healthcare centre meetings as interventions for integrating community pharmacies and primary healthcare centres. Conclusion: Based on the opinions of stakeholders, three interventions are proposed to initiate the integration process of community pharmacy and primary care. The implementation of these interventions will need to be negotiated with the relevant authorities and evaluated.","author":[{"dropping-particle":"","family":"Urionagüena","given":"Amaia","non-dropping-particle":"","parse-names":false,"suffix":""},{"dropping-particle":"","family":"Piquer-Martinez","given":"Celia","non-dropping-particle":"","parse-names":false,"suffix":""},{"dropping-particle":"","family":"Benrimoj","given":"Shalom Isaac","non-dropping-particle":"","parse-names":false,"suffix":""},{"dropping-particle":"","family":"Calvo","given":"Begoña","non-dropping-particle":"","parse-names":false,"suffix":""},{"dropping-particle":"","family":"Garcia-Cardenas","given":"Victoria","non-dropping-particle":"","parse-names":false,"suffix":""},{"dropping-particle":"","family":"Martinez-Martinez","given":"Fernando","non-dropping-particle":"","parse-names":false,"suffix":""},{"dropping-particle":"","family":"Gastelurrutia","given":"Miguel Angel","non-dropping-particle":"","parse-names":false,"suffix":""}],"container-title":"Journal of Pharmaceutical Policy and Practice ","id":"ITEM-1","issue":"1","issued":{"date-parts":[["2024"]]},"page":"1-16","title":"Community pharmacy &amp; primary care integration: qualitative study on stakeholders’ opinions and interventions","type":"article-journal","volume":"17"},"uris":["http://www.mendeley.com/documents/?uuid=cfdb90fb-a443-45e4-82be-c65eb56d6d3b"]}],"mendeley":{"formattedCitation":"(Urionagüena &lt;i&gt;et al.&lt;/i&gt;, 2024)","plainTextFormattedCitation":"(Urionagüena et al., 2024)","previouslyFormattedCitation":"(Urionagüena &lt;i&gt;et al.&lt;/i&gt;, 2024)"},"properties":{"noteIndex":0},"schema":"https://github.com/citation-style-language/schema/raw/master/csl-citation.json"}</w:instrText>
                      </w:r>
                      <w:r>
                        <w:rPr>
                          <w:color w:val="FFFFFF" w:themeColor="background1"/>
                        </w:rPr>
                        <w:fldChar w:fldCharType="separate"/>
                      </w:r>
                      <w:r>
                        <w:rPr>
                          <w:color w:val="FFFFFF" w:themeColor="background1"/>
                        </w:rPr>
                        <w:t>(</w:t>
                      </w:r>
                      <w:proofErr w:type="spellStart"/>
                      <w:r>
                        <w:rPr>
                          <w:color w:val="FFFFFF" w:themeColor="background1"/>
                        </w:rPr>
                        <w:t>Urionagüena</w:t>
                      </w:r>
                      <w:proofErr w:type="spellEnd"/>
                      <w:r>
                        <w:rPr>
                          <w:color w:val="FFFFFF" w:themeColor="background1"/>
                        </w:rPr>
                        <w:t xml:space="preserve"> </w:t>
                      </w:r>
                      <w:r>
                        <w:rPr>
                          <w:i/>
                          <w:color w:val="FFFFFF" w:themeColor="background1"/>
                        </w:rPr>
                        <w:t>et al.</w:t>
                      </w:r>
                      <w:r>
                        <w:rPr>
                          <w:color w:val="FFFFFF" w:themeColor="background1"/>
                        </w:rPr>
                        <w:t>, 2024)</w:t>
                      </w:r>
                      <w:r>
                        <w:rPr>
                          <w:color w:val="FFFFFF" w:themeColor="background1"/>
                        </w:rPr>
                        <w:fldChar w:fldCharType="end"/>
                      </w:r>
                      <w:r>
                        <w:rPr>
                          <w:color w:val="FFFFFF" w:themeColor="background1"/>
                        </w:rPr>
                        <w:t xml:space="preserve">. Second, and exacerbating this workforce shortage, since 2015, community pharmacies have seen a real terms funding cut of over 30%, leading to financial instability throughout the community pharmacy sector </w:t>
                      </w:r>
                      <w:r>
                        <w:rPr>
                          <w:color w:val="FFFFFF" w:themeColor="background1"/>
                        </w:rPr>
                        <w:fldChar w:fldCharType="begin" w:fldLock="1"/>
                      </w:r>
                      <w:r>
                        <w:rPr>
                          <w:color w:val="FFFFFF" w:themeColor="background1"/>
                        </w:rPr>
                        <w:instrText>ADDIN CSL_CITATION {"citationItems":[{"id":"ITEM-1","itemData":{"ISSN":"21914761","author":[{"dropping-particle":"","family":"Baird","given":"Kevin","non-dropping-particle":"","parse-names":false,"suffix":""},{"dropping-particle":"","family":"Nuhu","given":"Nuraddeen","non-dropping-particle":"","parse-names":false,"suffix":""},{"dropping-particle":"","family":"Jiao","given":"Lu","non-dropping-particle":"","parse-names":false,"suffix":""}],"container-title":"Journal of Management Control","id":"ITEM-1","issue":"2","issued":{"date-parts":[["2024"]]},"page":"303-332","publisher":"Springer","title":"The effect of Porter’s competitive forces on competitive advantage and organisational performance and the moderating role of management accounting practices","type":"article-journal","volume":"35"},"uris":["http://www.mendeley.com/documents/?uuid=43d78524-7f4a-49eb-aab4-05b1a4f9b7d6"]}],"mendeley":{"formattedCitation":"(Baird, Nuhu and Jiao, 2024)","plainTextFormattedCitation":"(Baird, Nuhu and Jiao, 2024)","previouslyFormattedCitation":"(Baird, Nuhu and Jiao, 2024)"},"properties":{"noteIndex":0},"schema":"https://github.com/citation-style-language/schema/raw/master/csl-citation.json"}</w:instrText>
                      </w:r>
                      <w:r>
                        <w:rPr>
                          <w:color w:val="FFFFFF" w:themeColor="background1"/>
                        </w:rPr>
                        <w:fldChar w:fldCharType="separate"/>
                      </w:r>
                      <w:r>
                        <w:rPr>
                          <w:color w:val="FFFFFF" w:themeColor="background1"/>
                        </w:rPr>
                        <w:t>(Baird, Nuhu and Jiao, 2024)</w:t>
                      </w:r>
                      <w:r>
                        <w:rPr>
                          <w:color w:val="FFFFFF" w:themeColor="background1"/>
                        </w:rPr>
                        <w:fldChar w:fldCharType="end"/>
                      </w:r>
                      <w:r>
                        <w:rPr>
                          <w:color w:val="FFFFFF" w:themeColor="background1"/>
                        </w:rPr>
                        <w:t xml:space="preserve">. Since 2017, over 1,000 independent pharmacies have been shut down, especially in rural and economically disadvantaged areas. This shrinking of the pharmacy network exacerbates existing health inequalities and systematically limits access to key medicines and clinical guidance for those who are least likely to be able to access it elsewhere. Most importantly, </w:t>
                      </w:r>
                      <w:r>
                        <w:rPr>
                          <w:color w:val="FFFFFF" w:themeColor="background1"/>
                        </w:rPr>
                        <w:fldChar w:fldCharType="begin" w:fldLock="1"/>
                      </w:r>
                      <w:r>
                        <w:rPr>
                          <w:color w:val="FFFFFF" w:themeColor="background1"/>
                        </w:rPr>
                        <w:instrText>ADDIN CSL_CITATION {"citationItems":[{"id":"ITEM-1","itemData":{"author":[{"dropping-particle":"","family":"Lewis","given":"Ruth","non-dropping-particle":"","parse-names":false,"suffix":""},{"dropping-particle":"","family":"Williams","given":"Wilf","non-dropping-particle":"","parse-names":false,"suffix":""}],"container-title":"Nuffield Trust: The King’s Fund","id":"ITEM-1","issued":{"date-parts":[["2023"]]},"title":"Community pharmacy clinical services","type":"article-journal"},"uris":["http://www.mendeley.com/documents/?uuid=cc73300a-98d0-4fab-a474-d0401d51f53f"]}],"mendeley":{"formattedCitation":"(Lewis and Williams, 2023)","manualFormatting":"Lewis and Williams (2023)","plainTextFormattedCitation":"(Lewis and Williams, 2023)","previouslyFormattedCitation":"(Lewis and Williams, 2023)"},"properties":{"noteIndex":0},"schema":"https://github.com/citation-style-language/schema/raw/master/csl-citation.json"}</w:instrText>
                      </w:r>
                      <w:r>
                        <w:rPr>
                          <w:color w:val="FFFFFF" w:themeColor="background1"/>
                        </w:rPr>
                        <w:fldChar w:fldCharType="separate"/>
                      </w:r>
                      <w:r>
                        <w:rPr>
                          <w:color w:val="FFFFFF" w:themeColor="background1"/>
                        </w:rPr>
                        <w:t>Lewis and Williams (2023)</w:t>
                      </w:r>
                      <w:r>
                        <w:rPr>
                          <w:color w:val="FFFFFF" w:themeColor="background1"/>
                        </w:rPr>
                        <w:fldChar w:fldCharType="end"/>
                      </w:r>
                      <w:r>
                        <w:rPr>
                          <w:color w:val="FFFFFF" w:themeColor="background1"/>
                        </w:rPr>
                        <w:t xml:space="preserve"> states that if.</w:t>
                      </w:r>
                    </w:p>
                    <w:p w14:paraId="5BF675B5" w14:textId="77777777" w:rsidR="0078251D" w:rsidRDefault="0078251D">
                      <w:pPr>
                        <w:rPr>
                          <w:color w:val="FFFFFF" w:themeColor="background1"/>
                        </w:rPr>
                      </w:pPr>
                    </w:p>
                  </w:txbxContent>
                </v:textbox>
              </v:shape>
            </w:pict>
          </mc:Fallback>
        </mc:AlternateContent>
      </w:r>
      <w:r>
        <w:rPr>
          <w:b/>
          <w:bCs/>
          <w:noProof/>
          <w:lang w:val="en-US"/>
          <w14:ligatures w14:val="standardContextual"/>
        </w:rPr>
        <w:drawing>
          <wp:inline distT="0" distB="0" distL="0" distR="0" wp14:anchorId="17E20AD1" wp14:editId="55C5B6E9">
            <wp:extent cx="3361055" cy="1844040"/>
            <wp:effectExtent l="0" t="0" r="0" b="3810"/>
            <wp:docPr id="912041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41544" name="Picture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1055" cy="1844040"/>
                    </a:xfrm>
                    <a:prstGeom prst="rect">
                      <a:avLst/>
                    </a:prstGeom>
                  </pic:spPr>
                </pic:pic>
              </a:graphicData>
            </a:graphic>
          </wp:inline>
        </w:drawing>
      </w:r>
    </w:p>
    <w:p w14:paraId="75FC8812" w14:textId="77777777" w:rsidR="0078251D" w:rsidRDefault="0078251D">
      <w:pPr>
        <w:spacing w:after="240" w:line="276" w:lineRule="auto"/>
      </w:pPr>
    </w:p>
    <w:p w14:paraId="73FD115F" w14:textId="77777777" w:rsidR="0078251D" w:rsidRDefault="0078251D">
      <w:pPr>
        <w:spacing w:after="240" w:line="276" w:lineRule="auto"/>
      </w:pPr>
    </w:p>
    <w:p w14:paraId="4E906D03" w14:textId="77777777" w:rsidR="0078251D" w:rsidRDefault="0078251D">
      <w:pPr>
        <w:spacing w:after="240" w:line="276" w:lineRule="auto"/>
      </w:pPr>
    </w:p>
    <w:p w14:paraId="15B2DD8A" w14:textId="77777777" w:rsidR="0078251D" w:rsidRDefault="0078251D">
      <w:pPr>
        <w:spacing w:after="240" w:line="276" w:lineRule="auto"/>
      </w:pPr>
    </w:p>
    <w:p w14:paraId="09E9BB9F" w14:textId="77777777" w:rsidR="0078251D" w:rsidRDefault="0078251D">
      <w:pPr>
        <w:spacing w:after="240" w:line="276" w:lineRule="auto"/>
      </w:pPr>
    </w:p>
    <w:p w14:paraId="66CF76FC" w14:textId="77777777" w:rsidR="0078251D" w:rsidRDefault="0078251D">
      <w:pPr>
        <w:spacing w:after="240" w:line="276" w:lineRule="auto"/>
      </w:pPr>
    </w:p>
    <w:p w14:paraId="4014928A" w14:textId="77777777" w:rsidR="0078251D" w:rsidRDefault="0078251D">
      <w:pPr>
        <w:spacing w:after="240" w:line="276" w:lineRule="auto"/>
      </w:pPr>
    </w:p>
    <w:p w14:paraId="70468EAC" w14:textId="77777777" w:rsidR="0078251D" w:rsidRDefault="0078251D">
      <w:pPr>
        <w:spacing w:after="240" w:line="276" w:lineRule="auto"/>
      </w:pPr>
    </w:p>
    <w:p w14:paraId="5DDC54D1" w14:textId="77777777" w:rsidR="0078251D" w:rsidRDefault="0078251D">
      <w:pPr>
        <w:spacing w:after="240" w:line="276" w:lineRule="auto"/>
      </w:pPr>
    </w:p>
    <w:p w14:paraId="68AECB56" w14:textId="77777777" w:rsidR="0078251D" w:rsidRDefault="0078251D">
      <w:pPr>
        <w:spacing w:after="240" w:line="276" w:lineRule="auto"/>
      </w:pPr>
    </w:p>
    <w:p w14:paraId="14BB9449" w14:textId="77777777" w:rsidR="0078251D" w:rsidRDefault="0078251D">
      <w:pPr>
        <w:spacing w:after="240" w:line="276" w:lineRule="auto"/>
      </w:pPr>
    </w:p>
    <w:p w14:paraId="7B347986" w14:textId="77777777" w:rsidR="0078251D" w:rsidRDefault="0078251D">
      <w:pPr>
        <w:spacing w:after="240" w:line="276" w:lineRule="auto"/>
      </w:pPr>
    </w:p>
    <w:p w14:paraId="2727150C" w14:textId="77777777" w:rsidR="0078251D" w:rsidRDefault="0078251D">
      <w:pPr>
        <w:spacing w:after="240" w:line="276" w:lineRule="auto"/>
      </w:pPr>
    </w:p>
    <w:p w14:paraId="215F4182" w14:textId="77777777" w:rsidR="0078251D" w:rsidRDefault="0078251D">
      <w:pPr>
        <w:spacing w:after="240" w:line="276" w:lineRule="auto"/>
      </w:pPr>
    </w:p>
    <w:p w14:paraId="5E60CB07" w14:textId="77777777" w:rsidR="0078251D" w:rsidRDefault="0078251D">
      <w:pPr>
        <w:spacing w:after="240" w:line="276" w:lineRule="auto"/>
      </w:pPr>
    </w:p>
    <w:p w14:paraId="4259AB3A" w14:textId="77777777" w:rsidR="0078251D" w:rsidRDefault="0078251D">
      <w:pPr>
        <w:spacing w:after="240" w:line="276" w:lineRule="auto"/>
      </w:pPr>
    </w:p>
    <w:p w14:paraId="050AA831" w14:textId="77777777" w:rsidR="0078251D" w:rsidRDefault="0078251D">
      <w:pPr>
        <w:spacing w:after="240" w:line="276" w:lineRule="auto"/>
      </w:pPr>
    </w:p>
    <w:p w14:paraId="04E3044B" w14:textId="77777777" w:rsidR="0078251D" w:rsidRDefault="0078251D">
      <w:pPr>
        <w:spacing w:after="240" w:line="276" w:lineRule="auto"/>
      </w:pPr>
    </w:p>
    <w:p w14:paraId="14287655" w14:textId="77777777" w:rsidR="0078251D" w:rsidRDefault="00000000">
      <w:pPr>
        <w:spacing w:after="240" w:line="276" w:lineRule="auto"/>
        <w:rPr>
          <w:b/>
          <w:bCs/>
        </w:rPr>
      </w:pPr>
      <w:r>
        <w:rPr>
          <w:noProof/>
          <w14:ligatures w14:val="standardContextual"/>
        </w:rPr>
        <mc:AlternateContent>
          <mc:Choice Requires="wps">
            <w:drawing>
              <wp:anchor distT="0" distB="0" distL="114300" distR="114300" simplePos="0" relativeHeight="251663360" behindDoc="0" locked="0" layoutInCell="1" allowOverlap="1" wp14:anchorId="1D06F152" wp14:editId="2E64A71D">
                <wp:simplePos x="0" y="0"/>
                <wp:positionH relativeFrom="column">
                  <wp:posOffset>-137160</wp:posOffset>
                </wp:positionH>
                <wp:positionV relativeFrom="paragraph">
                  <wp:posOffset>221615</wp:posOffset>
                </wp:positionV>
                <wp:extent cx="3368040" cy="1493520"/>
                <wp:effectExtent l="0" t="0" r="22860" b="11430"/>
                <wp:wrapNone/>
                <wp:docPr id="596497240" name="Text Box 4"/>
                <wp:cNvGraphicFramePr/>
                <a:graphic xmlns:a="http://schemas.openxmlformats.org/drawingml/2006/main">
                  <a:graphicData uri="http://schemas.microsoft.com/office/word/2010/wordprocessingShape">
                    <wps:wsp>
                      <wps:cNvSpPr txBox="1"/>
                      <wps:spPr>
                        <a:xfrm>
                          <a:off x="0" y="0"/>
                          <a:ext cx="3368040" cy="1493520"/>
                        </a:xfrm>
                        <a:prstGeom prst="rect">
                          <a:avLst/>
                        </a:prstGeom>
                        <a:solidFill>
                          <a:srgbClr val="166CEA"/>
                        </a:solidFill>
                        <a:ln w="6350">
                          <a:solidFill>
                            <a:srgbClr val="0070C0"/>
                          </a:solidFill>
                        </a:ln>
                      </wps:spPr>
                      <wps:txbx>
                        <w:txbxContent>
                          <w:p w14:paraId="5F86FC97" w14:textId="77777777" w:rsidR="0078251D" w:rsidRDefault="00000000">
                            <w:pPr>
                              <w:spacing w:after="240" w:line="276" w:lineRule="auto"/>
                              <w:rPr>
                                <w:b/>
                                <w:bCs/>
                                <w:color w:val="FFFFFF" w:themeColor="background1"/>
                              </w:rPr>
                            </w:pPr>
                            <w:r>
                              <w:rPr>
                                <w:color w:val="FFFFFF" w:themeColor="background1"/>
                              </w:rPr>
                              <w:t>this dual crisis of understaffing and underfunding is not addressed urgently, it could lead to the emergence of a nationwide network of 'pharmacy deserts' in England, which would have a devastating impact on a service that millions of vulnerable people rely on every day for their health and wellbeing.</w:t>
                            </w:r>
                          </w:p>
                          <w:p w14:paraId="58951B13" w14:textId="77777777" w:rsidR="0078251D" w:rsidRDefault="0078251D">
                            <w:pPr>
                              <w:rPr>
                                <w:color w:val="FFFF0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D06F152" id="_x0000_s1030" type="#_x0000_t202" style="position:absolute;left:0;text-align:left;margin-left:-10.8pt;margin-top:17.45pt;width:265.2pt;height:117.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" fillcolor="#166cea" strokecolor="#0070c0" strokeweight=".5pt">
                <v:textbox>
                  <w:txbxContent>
                    <w:p w14:paraId="5F86FC97" w14:textId="77777777" w:rsidR="0078251D" w:rsidRDefault="00000000">
                      <w:pPr>
                        <w:spacing w:after="240" w:line="276" w:lineRule="auto"/>
                        <w:rPr>
                          <w:b/>
                          <w:bCs/>
                          <w:color w:val="FFFFFF" w:themeColor="background1"/>
                        </w:rPr>
                      </w:pPr>
                      <w:r>
                        <w:rPr>
                          <w:color w:val="FFFFFF" w:themeColor="background1"/>
                        </w:rPr>
                        <w:t>this dual crisis of understaffing and underfunding is not addressed urgently, it could lead to the emergence of a nationwide network of 'pharmacy deserts' in England, which would have a devastating impact on a service that millions of vulnerable people rely on every day for their health and wellbeing.</w:t>
                      </w:r>
                    </w:p>
                    <w:p w14:paraId="58951B13" w14:textId="77777777" w:rsidR="0078251D" w:rsidRDefault="0078251D">
                      <w:pPr>
                        <w:rPr>
                          <w:color w:val="FFFF00"/>
                        </w:rPr>
                      </w:pPr>
                    </w:p>
                  </w:txbxContent>
                </v:textbox>
              </v:shape>
            </w:pict>
          </mc:Fallback>
        </mc:AlternateContent>
      </w:r>
    </w:p>
    <w:p w14:paraId="6F50607C" w14:textId="77777777" w:rsidR="0078251D" w:rsidRDefault="0078251D">
      <w:pPr>
        <w:spacing w:after="240" w:line="276" w:lineRule="auto"/>
        <w:rPr>
          <w:b/>
          <w:bCs/>
          <w:u w:val="single"/>
        </w:rPr>
      </w:pPr>
    </w:p>
    <w:p w14:paraId="79926B6E" w14:textId="77777777" w:rsidR="0078251D" w:rsidRDefault="0078251D">
      <w:pPr>
        <w:spacing w:after="240" w:line="276" w:lineRule="auto"/>
        <w:rPr>
          <w:b/>
          <w:bCs/>
          <w:u w:val="single"/>
        </w:rPr>
      </w:pPr>
    </w:p>
    <w:p w14:paraId="01305ADE" w14:textId="77777777" w:rsidR="0078251D" w:rsidRDefault="0078251D">
      <w:pPr>
        <w:spacing w:after="240" w:line="276" w:lineRule="auto"/>
        <w:rPr>
          <w:b/>
          <w:bCs/>
          <w:u w:val="single"/>
        </w:rPr>
      </w:pPr>
    </w:p>
    <w:p w14:paraId="371AAC86" w14:textId="77777777" w:rsidR="0078251D" w:rsidRDefault="0078251D">
      <w:pPr>
        <w:spacing w:after="240" w:line="276" w:lineRule="auto"/>
        <w:rPr>
          <w:b/>
          <w:bCs/>
          <w:u w:val="single"/>
        </w:rPr>
      </w:pPr>
    </w:p>
    <w:p w14:paraId="15595B2A" w14:textId="77777777" w:rsidR="0078251D" w:rsidRDefault="00000000">
      <w:pPr>
        <w:spacing w:after="240" w:line="276" w:lineRule="auto"/>
        <w:rPr>
          <w:b/>
          <w:bCs/>
          <w:u w:val="single"/>
        </w:rPr>
      </w:pPr>
      <w:r>
        <w:rPr>
          <w:noProof/>
          <w14:ligatures w14:val="standardContextual"/>
        </w:rPr>
        <mc:AlternateContent>
          <mc:Choice Requires="wps">
            <w:drawing>
              <wp:anchor distT="0" distB="0" distL="114300" distR="114300" simplePos="0" relativeHeight="251664384" behindDoc="0" locked="0" layoutInCell="1" allowOverlap="1" wp14:anchorId="666BD295" wp14:editId="517A902B">
                <wp:simplePos x="0" y="0"/>
                <wp:positionH relativeFrom="margin">
                  <wp:posOffset>3681730</wp:posOffset>
                </wp:positionH>
                <wp:positionV relativeFrom="paragraph">
                  <wp:posOffset>172720</wp:posOffset>
                </wp:positionV>
                <wp:extent cx="3368040" cy="3185160"/>
                <wp:effectExtent l="0" t="0" r="22860" b="15240"/>
                <wp:wrapNone/>
                <wp:docPr id="1865027776" name="Text Box 4"/>
                <wp:cNvGraphicFramePr/>
                <a:graphic xmlns:a="http://schemas.openxmlformats.org/drawingml/2006/main">
                  <a:graphicData uri="http://schemas.microsoft.com/office/word/2010/wordprocessingShape">
                    <wps:wsp>
                      <wps:cNvSpPr txBox="1"/>
                      <wps:spPr>
                        <a:xfrm>
                          <a:off x="0" y="0"/>
                          <a:ext cx="3368040" cy="3185160"/>
                        </a:xfrm>
                        <a:prstGeom prst="rect">
                          <a:avLst/>
                        </a:prstGeom>
                        <a:solidFill>
                          <a:srgbClr val="2496DC"/>
                        </a:solidFill>
                        <a:ln w="6350">
                          <a:solidFill>
                            <a:srgbClr val="0070C0"/>
                          </a:solidFill>
                        </a:ln>
                      </wps:spPr>
                      <wps:txbx>
                        <w:txbxContent>
                          <w:p w14:paraId="0C66BAE5" w14:textId="77777777" w:rsidR="0078251D" w:rsidRDefault="00000000">
                            <w:pPr>
                              <w:spacing w:after="240" w:line="276" w:lineRule="auto"/>
                              <w:rPr>
                                <w:color w:val="FFFFFF" w:themeColor="background1"/>
                                <w:u w:val="single"/>
                              </w:rPr>
                            </w:pPr>
                            <w:r>
                              <w:rPr>
                                <w:color w:val="FFFFFF" w:themeColor="background1"/>
                                <w:u w:val="single"/>
                              </w:rPr>
                              <w:t xml:space="preserve">Strengths </w:t>
                            </w:r>
                          </w:p>
                          <w:p w14:paraId="5C1CA44D" w14:textId="77777777" w:rsidR="0078251D" w:rsidRDefault="00000000">
                            <w:pPr>
                              <w:spacing w:after="240" w:line="276" w:lineRule="auto"/>
                              <w:rPr>
                                <w:color w:val="FFFFFF" w:themeColor="background1"/>
                              </w:rPr>
                            </w:pPr>
                            <w:r>
                              <w:rPr>
                                <w:color w:val="FFFFFF" w:themeColor="background1"/>
                              </w:rPr>
                              <w:t xml:space="preserve">However, there are significant strengths in community pharmacy. Pharmacists are trusted, highly qualified clinical professionals who are part of the community, available without an appointment and uniquely placed to provide frontline care. The Pharmacy First initiative (NHS England, 2024) is a good example of the growing clinical role of the pharmacy sector, where pharmacists can now treat common conditions that would have been referred to a GP. Pharmacy also offers excellent value for money in the NHS, a consultation in community pharmacy is significantly cheaper than a GP or ED attendance, and is one of the most cost-effective primary care models available </w:t>
                            </w:r>
                            <w:r>
                              <w:rPr>
                                <w:color w:val="FFFFFF" w:themeColor="background1"/>
                              </w:rPr>
                              <w:fldChar w:fldCharType="begin" w:fldLock="1"/>
                            </w:r>
                            <w:r>
                              <w:rPr>
                                <w:color w:val="FFFFFF" w:themeColor="background1"/>
                              </w:rPr>
                              <w:instrText>ADDIN CSL_CITATION {"citationItems":[{"id":"ITEM-1","itemData":{"author":[{"dropping-particle":"","family":"Lewis","given":"Ruth","non-dropping-particle":"","parse-names":false,"suffix":""},{"dropping-particle":"","family":"Williams","given":"Wilf","non-dropping-particle":"","parse-names":false,"suffix":""}],"container-title":"Nuffield Trust: The King’s Fund","id":"ITEM-1","issued":{"date-parts":[["2023"]]},"title":"Community pharmacy clinical services","type":"article-journal"},"uris":["http://www.mendeley.com/documents/?uuid=cc73300a-98d0-4fab-a474-d0401d51f53f"]}],"mendeley":{"formattedCitation":"(Lewis and Williams, 2023)","plainTextFormattedCitation":"(Lewis and Williams, 2023)","previouslyFormattedCitation":"(Lewis and Williams, 2023)"},"properties":{"noteIndex":0},"schema":"https://github.com/citation-style-language/schema/raw/master/csl-citation.json"}</w:instrText>
                            </w:r>
                            <w:r>
                              <w:rPr>
                                <w:color w:val="FFFFFF" w:themeColor="background1"/>
                              </w:rPr>
                              <w:fldChar w:fldCharType="separate"/>
                            </w:r>
                            <w:r>
                              <w:rPr>
                                <w:color w:val="FFFFFF" w:themeColor="background1"/>
                              </w:rPr>
                              <w:t>(Lewis and Williams, 2023)</w:t>
                            </w:r>
                            <w:r>
                              <w:rPr>
                                <w:color w:val="FFFFFF" w:themeColor="background1"/>
                              </w:rPr>
                              <w:fldChar w:fldCharType="end"/>
                            </w:r>
                          </w:p>
                          <w:p w14:paraId="51D81841" w14:textId="77777777" w:rsidR="0078251D" w:rsidRDefault="0078251D">
                            <w:pPr>
                              <w:rPr>
                                <w:color w:val="FFFF0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66BD295" id="_x0000_s1031" type="#_x0000_t202" style="position:absolute;left:0;text-align:left;margin-left:289.9pt;margin-top:13.6pt;width:265.2pt;height:250.8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" fillcolor="#2496dc" strokecolor="#0070c0" strokeweight=".5pt">
                <v:textbox>
                  <w:txbxContent>
                    <w:p w14:paraId="0C66BAE5" w14:textId="77777777" w:rsidR="0078251D" w:rsidRDefault="00000000">
                      <w:pPr>
                        <w:spacing w:after="240" w:line="276" w:lineRule="auto"/>
                        <w:rPr>
                          <w:color w:val="FFFFFF" w:themeColor="background1"/>
                          <w:u w:val="single"/>
                        </w:rPr>
                      </w:pPr>
                      <w:r>
                        <w:rPr>
                          <w:color w:val="FFFFFF" w:themeColor="background1"/>
                          <w:u w:val="single"/>
                        </w:rPr>
                        <w:t xml:space="preserve">Strengths </w:t>
                      </w:r>
                    </w:p>
                    <w:p w14:paraId="5C1CA44D" w14:textId="77777777" w:rsidR="0078251D" w:rsidRDefault="00000000">
                      <w:pPr>
                        <w:spacing w:after="240" w:line="276" w:lineRule="auto"/>
                        <w:rPr>
                          <w:color w:val="FFFFFF" w:themeColor="background1"/>
                        </w:rPr>
                      </w:pPr>
                      <w:r>
                        <w:rPr>
                          <w:color w:val="FFFFFF" w:themeColor="background1"/>
                        </w:rPr>
                        <w:t xml:space="preserve">However, there are significant strengths in community pharmacy. Pharmacists are trusted, highly qualified clinical professionals who are part of the community, available without an appointment and uniquely placed to provide frontline care. The Pharmacy First initiative (NHS England, 2024) is a good example of the growing clinical role of the pharmacy sector, where pharmacists can now treat common conditions that would have been referred to a GP. Pharmacy also offers excellent value for money in the NHS, a consultation in community pharmacy is significantly cheaper than a GP or ED attendance, and is one of the most cost-effective primary care models available </w:t>
                      </w:r>
                      <w:r>
                        <w:rPr>
                          <w:color w:val="FFFFFF" w:themeColor="background1"/>
                        </w:rPr>
                        <w:fldChar w:fldCharType="begin" w:fldLock="1"/>
                      </w:r>
                      <w:r>
                        <w:rPr>
                          <w:color w:val="FFFFFF" w:themeColor="background1"/>
                        </w:rPr>
                        <w:instrText>ADDIN CSL_CITATION {"citationItems":[{"id":"ITEM-1","itemData":{"author":[{"dropping-particle":"","family":"Lewis","given":"Ruth","non-dropping-particle":"","parse-names":false,"suffix":""},{"dropping-particle":"","family":"Williams","given":"Wilf","non-dropping-particle":"","parse-names":false,"suffix":""}],"container-title":"Nuffield Trust: The King’s Fund","id":"ITEM-1","issued":{"date-parts":[["2023"]]},"title":"Community pharmacy clinical services","type":"article-journal"},"uris":["http://www.mendeley.com/documents/?uuid=cc73300a-98d0-4fab-a474-d0401d51f53f"]}],"mendeley":{"formattedCitation":"(Lewis and Williams, 2023)","plainTextFormattedCitation":"(Lewis and Williams, 2023)","previouslyFormattedCitation":"(Lewis and Williams, 2023)"},"properties":{"noteIndex":0},"schema":"https://github.com/citation-style-language/schema/raw/master/csl-citation.json"}</w:instrText>
                      </w:r>
                      <w:r>
                        <w:rPr>
                          <w:color w:val="FFFFFF" w:themeColor="background1"/>
                        </w:rPr>
                        <w:fldChar w:fldCharType="separate"/>
                      </w:r>
                      <w:r>
                        <w:rPr>
                          <w:color w:val="FFFFFF" w:themeColor="background1"/>
                        </w:rPr>
                        <w:t>(Lewis and Williams, 2023)</w:t>
                      </w:r>
                      <w:r>
                        <w:rPr>
                          <w:color w:val="FFFFFF" w:themeColor="background1"/>
                        </w:rPr>
                        <w:fldChar w:fldCharType="end"/>
                      </w:r>
                    </w:p>
                    <w:p w14:paraId="51D81841" w14:textId="77777777" w:rsidR="0078251D" w:rsidRDefault="0078251D">
                      <w:pPr>
                        <w:rPr>
                          <w:color w:val="FFFF00"/>
                        </w:rPr>
                      </w:pPr>
                    </w:p>
                  </w:txbxContent>
                </v:textbox>
                <w10:wrap anchorx="margin"/>
              </v:shape>
            </w:pict>
          </mc:Fallback>
        </mc:AlternateContent>
      </w:r>
    </w:p>
    <w:p w14:paraId="200B07F7" w14:textId="77777777" w:rsidR="0078251D" w:rsidRDefault="0078251D">
      <w:pPr>
        <w:spacing w:after="240" w:line="276" w:lineRule="auto"/>
        <w:rPr>
          <w:b/>
          <w:bCs/>
          <w:u w:val="single"/>
        </w:rPr>
      </w:pPr>
    </w:p>
    <w:p w14:paraId="623D60ED" w14:textId="77777777" w:rsidR="0078251D" w:rsidRDefault="0078251D">
      <w:pPr>
        <w:spacing w:after="240" w:line="276" w:lineRule="auto"/>
        <w:rPr>
          <w:b/>
          <w:bCs/>
          <w:u w:val="single"/>
        </w:rPr>
      </w:pPr>
    </w:p>
    <w:p w14:paraId="67BC47E6" w14:textId="77777777" w:rsidR="0078251D" w:rsidRDefault="0078251D">
      <w:pPr>
        <w:spacing w:after="240" w:line="276" w:lineRule="auto"/>
        <w:rPr>
          <w:b/>
          <w:bCs/>
          <w:u w:val="single"/>
        </w:rPr>
      </w:pPr>
    </w:p>
    <w:p w14:paraId="3D1F40A9" w14:textId="77777777" w:rsidR="0078251D" w:rsidRDefault="0078251D">
      <w:pPr>
        <w:spacing w:after="240" w:line="276" w:lineRule="auto"/>
        <w:rPr>
          <w:b/>
          <w:bCs/>
          <w:u w:val="single"/>
        </w:rPr>
      </w:pPr>
    </w:p>
    <w:p w14:paraId="730061C4" w14:textId="77777777" w:rsidR="0078251D" w:rsidRDefault="0078251D">
      <w:pPr>
        <w:spacing w:after="240" w:line="276" w:lineRule="auto"/>
        <w:rPr>
          <w:b/>
          <w:bCs/>
          <w:u w:val="single"/>
        </w:rPr>
      </w:pPr>
    </w:p>
    <w:p w14:paraId="70B39C41" w14:textId="77777777" w:rsidR="0078251D" w:rsidRDefault="0078251D">
      <w:pPr>
        <w:spacing w:after="240" w:line="276" w:lineRule="auto"/>
        <w:rPr>
          <w:b/>
          <w:bCs/>
          <w:u w:val="single"/>
        </w:rPr>
      </w:pPr>
    </w:p>
    <w:p w14:paraId="357E53CA" w14:textId="77777777" w:rsidR="0078251D" w:rsidRDefault="0078251D">
      <w:pPr>
        <w:spacing w:after="240" w:line="276" w:lineRule="auto"/>
        <w:rPr>
          <w:b/>
          <w:bCs/>
          <w:u w:val="single"/>
        </w:rPr>
      </w:pPr>
    </w:p>
    <w:p w14:paraId="4A612EB2" w14:textId="77777777" w:rsidR="0078251D" w:rsidRDefault="0078251D">
      <w:pPr>
        <w:spacing w:after="240" w:line="276" w:lineRule="auto"/>
        <w:rPr>
          <w:b/>
          <w:bCs/>
          <w:u w:val="single"/>
        </w:rPr>
      </w:pPr>
    </w:p>
    <w:p w14:paraId="0D4932FE" w14:textId="77777777" w:rsidR="0078251D" w:rsidRDefault="0078251D">
      <w:pPr>
        <w:spacing w:after="240" w:line="276" w:lineRule="auto"/>
        <w:rPr>
          <w:b/>
          <w:bCs/>
          <w:u w:val="single"/>
        </w:rPr>
      </w:pPr>
    </w:p>
    <w:p w14:paraId="4C35E2F6" w14:textId="77777777" w:rsidR="0078251D" w:rsidRDefault="00000000">
      <w:pPr>
        <w:spacing w:after="240" w:line="276" w:lineRule="auto"/>
        <w:rPr>
          <w:b/>
          <w:bCs/>
          <w:u w:val="single"/>
        </w:rPr>
      </w:pPr>
      <w:r>
        <w:rPr>
          <w:noProof/>
          <w14:ligatures w14:val="standardContextual"/>
        </w:rPr>
        <mc:AlternateContent>
          <mc:Choice Requires="wps">
            <w:drawing>
              <wp:anchor distT="0" distB="0" distL="114300" distR="114300" simplePos="0" relativeHeight="251665408" behindDoc="0" locked="0" layoutInCell="1" allowOverlap="1" wp14:anchorId="65F9ACFE" wp14:editId="366E7147">
                <wp:simplePos x="0" y="0"/>
                <wp:positionH relativeFrom="margin">
                  <wp:posOffset>3681095</wp:posOffset>
                </wp:positionH>
                <wp:positionV relativeFrom="paragraph">
                  <wp:posOffset>86995</wp:posOffset>
                </wp:positionV>
                <wp:extent cx="3368040" cy="3185160"/>
                <wp:effectExtent l="0" t="0" r="22860" b="15240"/>
                <wp:wrapNone/>
                <wp:docPr id="547729910" name="Text Box 4"/>
                <wp:cNvGraphicFramePr/>
                <a:graphic xmlns:a="http://schemas.openxmlformats.org/drawingml/2006/main">
                  <a:graphicData uri="http://schemas.microsoft.com/office/word/2010/wordprocessingShape">
                    <wps:wsp>
                      <wps:cNvSpPr txBox="1"/>
                      <wps:spPr>
                        <a:xfrm>
                          <a:off x="0" y="0"/>
                          <a:ext cx="3368040" cy="3185160"/>
                        </a:xfrm>
                        <a:prstGeom prst="rect">
                          <a:avLst/>
                        </a:prstGeom>
                        <a:solidFill>
                          <a:srgbClr val="3472CC"/>
                        </a:solidFill>
                        <a:ln w="6350">
                          <a:solidFill>
                            <a:srgbClr val="0070C0"/>
                          </a:solidFill>
                        </a:ln>
                      </wps:spPr>
                      <wps:txbx>
                        <w:txbxContent>
                          <w:p w14:paraId="03A3C9D9" w14:textId="77777777" w:rsidR="0078251D" w:rsidRDefault="00000000">
                            <w:pPr>
                              <w:spacing w:after="240" w:line="276" w:lineRule="auto"/>
                              <w:rPr>
                                <w:color w:val="FFFFFF" w:themeColor="background1"/>
                                <w:u w:val="single"/>
                              </w:rPr>
                            </w:pPr>
                            <w:r>
                              <w:rPr>
                                <w:color w:val="FFFFFF" w:themeColor="background1"/>
                                <w:u w:val="single"/>
                              </w:rPr>
                              <w:t xml:space="preserve">Solutions </w:t>
                            </w:r>
                          </w:p>
                          <w:p w14:paraId="3D833A76" w14:textId="77777777" w:rsidR="0078251D" w:rsidRDefault="00000000">
                            <w:pPr>
                              <w:spacing w:after="240" w:line="276" w:lineRule="auto"/>
                            </w:pPr>
                            <w:r>
                              <w:rPr>
                                <w:color w:val="FFFFFF" w:themeColor="background1"/>
                              </w:rPr>
                              <w:t xml:space="preserve">There is an urgent need to reform the structure on two fronts to tackle these challenges. The NHS Long-Term Workforce Plan suggests increasing the number of training places in pharmacy and formalising prescribing technician roles, to help ease staffing pressures and enhance clinical capacity </w:t>
                            </w:r>
                            <w:r>
                              <w:rPr>
                                <w:color w:val="FFFFFF" w:themeColor="background1"/>
                              </w:rPr>
                              <w:fldChar w:fldCharType="begin" w:fldLock="1"/>
                            </w:r>
                            <w:r>
                              <w:rPr>
                                <w:color w:val="FFFFFF" w:themeColor="background1"/>
                              </w:rPr>
                              <w:instrText>ADDIN CSL_CITATION {"citationItems":[{"id":"ITEM-1","itemData":{"abstract":"The NHS is particularly reliant on international recruitment to fill workforce gaps and deliver patient care in comparison to other healthcare systems globally [see reference 55]. The total proportion of NHS workers with non-UK nationalities (across all professions) has grown to over 17% (although there is significant variation between regions and staff groups), [see reference 56]. While employing international graduates supports the sharing of global learning and skills, and all international colleagues are highly valued, recent data shows a 2% increase in UK trained medical graduates joining the workforce since 2017, compared to a 121% rise in international medical graduates, [see reference 57]. International recruitment has supported necessary increases in some staff groups, such as doctors and nurses, but does not offer a universal solution to rising workforce demand; for some professions where scope of practice differs from England (for example, community nursing, mental health nursing, learning disability nursing, oncology and podiatry), overseas recruitment is not a readily available option. A heavy reliance on overseas staff leaves the NHS exposed to future global shocks and fluctuations in international workforce supply. The COVID-19 pandemic highlighted the fragility of using international recruitment to plug workforce shortages, and any future global shocks such as pandemics, armed conflicts and climate change may present similar challenges. The international healthcare labour market is likely to become increasingly competitive as healthcare systems around the world face increasing demand. It is estimated that between 2015 and 2050, the proportion of the world’s population over 60 years will nearly double from 12% to 22%, and that by 2050, 80% of older people will be living in low- and middle-income countries [see reference 58]. This will drive up global demand for healthcare staff, making it more challenging to recruit from overseas. Other countries such as Canada and the USA do not currently rely on international recruitment to the same extent as the NHS. However, any change in the workforce requirements of those countries could constrain the NHS’s ability to compete internationally, [see reference 59] particularly if they offer better opportunities for pay or quality of life, limiting the NHS’s competitive advantage. Demographic changes will present some opportunities when it comes to recruiting to the future healthcare workforce. There wi…","author":[{"dropping-particle":"","family":"NHS England","given":"","non-dropping-particle":"","parse-names":false,"suffix":""}],"container-title":"NHS Long Term Workforce Plan","id":"ITEM-1","issue":"June","issued":{"date-parts":[["2023"]]},"number-of-pages":"1-135","title":"NHS Long Term Workforce Plan","type":"report"},"uris":["http://www.mendeley.com/documents/?uuid=93729d6a-02ff-45ee-bcb5-803757fb252a"]}],"mendeley":{"formattedCitation":"(NHS England, 2023b)","plainTextFormattedCitation":"(NHS England, 2023b)","previouslyFormattedCitation":"(NHS England, 2023b)"},"properties":{"noteIndex":0},"schema":"https://github.com/citation-style-language/schema/raw/master/csl-citation.json"}</w:instrText>
                            </w:r>
                            <w:r>
                              <w:rPr>
                                <w:color w:val="FFFFFF" w:themeColor="background1"/>
                              </w:rPr>
                              <w:fldChar w:fldCharType="separate"/>
                            </w:r>
                            <w:r>
                              <w:rPr>
                                <w:color w:val="FFFFFF" w:themeColor="background1"/>
                              </w:rPr>
                              <w:t>(NHS England, 2023b)</w:t>
                            </w:r>
                            <w:r>
                              <w:rPr>
                                <w:color w:val="FFFFFF" w:themeColor="background1"/>
                              </w:rPr>
                              <w:fldChar w:fldCharType="end"/>
                            </w:r>
                            <w:r>
                              <w:rPr>
                                <w:color w:val="FFFFFF" w:themeColor="background1"/>
                              </w:rPr>
                              <w:t>. A sustainable settlement based on inflation is a must on funding. The £645m Pharmacy First investment is a sign of government commitment, but a new Community Pharmacy Contractual Framework that fairly rewards clinical services, not just volume, is needed to stop further closures and ensure access to pharmacies is equitable in all communities, especially those at greatest risk of becoming a pharmacy desert (NHS England,</w:t>
                            </w:r>
                            <w:r>
                              <w:t xml:space="preserve"> 2024).</w:t>
                            </w:r>
                          </w:p>
                          <w:p w14:paraId="6E669648" w14:textId="77777777" w:rsidR="0078251D" w:rsidRDefault="0078251D">
                            <w:pPr>
                              <w:rPr>
                                <w:color w:val="FFFF0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5F9ACFE" id="_x0000_s1032" type="#_x0000_t202" style="position:absolute;left:0;text-align:left;margin-left:289.85pt;margin-top:6.85pt;width:265.2pt;height:250.8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" fillcolor="#3472cc" strokecolor="#0070c0" strokeweight=".5pt">
                <v:textbox>
                  <w:txbxContent>
                    <w:p w14:paraId="03A3C9D9" w14:textId="77777777" w:rsidR="0078251D" w:rsidRDefault="00000000">
                      <w:pPr>
                        <w:spacing w:after="240" w:line="276" w:lineRule="auto"/>
                        <w:rPr>
                          <w:color w:val="FFFFFF" w:themeColor="background1"/>
                          <w:u w:val="single"/>
                        </w:rPr>
                      </w:pPr>
                      <w:r>
                        <w:rPr>
                          <w:color w:val="FFFFFF" w:themeColor="background1"/>
                          <w:u w:val="single"/>
                        </w:rPr>
                        <w:t xml:space="preserve">Solutions </w:t>
                      </w:r>
                    </w:p>
                    <w:p w14:paraId="3D833A76" w14:textId="77777777" w:rsidR="0078251D" w:rsidRDefault="00000000">
                      <w:pPr>
                        <w:spacing w:after="240" w:line="276" w:lineRule="auto"/>
                      </w:pPr>
                      <w:r>
                        <w:rPr>
                          <w:color w:val="FFFFFF" w:themeColor="background1"/>
                        </w:rPr>
                        <w:t xml:space="preserve">There is an urgent need to reform the structure on two fronts to tackle these challenges. The NHS Long-Term Workforce Plan suggests increasing the number of training places in pharmacy and formalising prescribing technician roles, to help ease staffing pressures and enhance clinical capacity </w:t>
                      </w:r>
                      <w:r>
                        <w:rPr>
                          <w:color w:val="FFFFFF" w:themeColor="background1"/>
                        </w:rPr>
                        <w:fldChar w:fldCharType="begin" w:fldLock="1"/>
                      </w:r>
                      <w:r>
                        <w:rPr>
                          <w:color w:val="FFFFFF" w:themeColor="background1"/>
                        </w:rPr>
                        <w:instrText>ADDIN CSL_CITATION {"citationItems":[{"id":"ITEM-1","itemData":{"abstract":"The NHS is particularly reliant on international recruitment to fill workforce gaps and deliver patient care in comparison to other healthcare systems globally [see reference 55]. The total proportion of NHS workers with non-UK nationalities (across all professions) has grown to over 17% (although there is significant variation between regions and staff groups), [see reference 56]. While employing international graduates supports the sharing of global learning and skills, and all international colleagues are highly valued, recent data shows a 2% increase in UK trained medical graduates joining the workforce since 2017, compared to a 121% rise in international medical graduates, [see reference 57]. International recruitment has supported necessary increases in some staff groups, such as doctors and nurses, but does not offer a universal solution to rising workforce demand; for some professions where scope of practice differs from England (for example, community nursing, mental health nursing, learning disability nursing, oncology and podiatry), overseas recruitment is not a readily available option. A heavy reliance on overseas staff leaves the NHS exposed to future global shocks and fluctuations in international workforce supply. The COVID-19 pandemic highlighted the fragility of using international recruitment to plug workforce shortages, and any future global shocks such as pandemics, armed conflicts and climate change may present similar challenges. The international healthcare labour market is likely to become increasingly competitive as healthcare systems around the world face increasing demand. It is estimated that between 2015 and 2050, the proportion of the world’s population over 60 years will nearly double from 12% to 22%, and that by 2050, 80% of older people will be living in low- and middle-income countries [see reference 58]. This will drive up global demand for healthcare staff, making it more challenging to recruit from overseas. Other countries such as Canada and the USA do not currently rely on international recruitment to the same extent as the NHS. However, any change in the workforce requirements of those countries could constrain the NHS’s ability to compete internationally, [see reference 59] particularly if they offer better opportunities for pay or quality of life, limiting the NHS’s competitive advantage. Demographic changes will present some opportunities when it comes to recruiting to the future healthcare workforce. There wi…","author":[{"dropping-particle":"","family":"NHS England","given":"","non-dropping-particle":"","parse-names":false,"suffix":""}],"container-title":"NHS Long Term Workforce Plan","id":"ITEM-1","issue":"June","issued":{"date-parts":[["2023"]]},"number-of-pages":"1-135","title":"NHS Long Term Workforce Plan","type":"report"},"uris":["http://www.mendeley.com/documents/?uuid=93729d6a-02ff-45ee-bcb5-803757fb252a"]}],"mendeley":{"formattedCitation":"(NHS England, 2023b)","plainTextFormattedCitation":"(NHS England, 2023b)","previouslyFormattedCitation":"(NHS England, 2023b)"},"properties":{"noteIndex":0},"schema":"https://github.com/citation-style-language/schema/raw/master/csl-citation.json"}</w:instrText>
                      </w:r>
                      <w:r>
                        <w:rPr>
                          <w:color w:val="FFFFFF" w:themeColor="background1"/>
                        </w:rPr>
                        <w:fldChar w:fldCharType="separate"/>
                      </w:r>
                      <w:r>
                        <w:rPr>
                          <w:color w:val="FFFFFF" w:themeColor="background1"/>
                        </w:rPr>
                        <w:t>(NHS England, 2023b)</w:t>
                      </w:r>
                      <w:r>
                        <w:rPr>
                          <w:color w:val="FFFFFF" w:themeColor="background1"/>
                        </w:rPr>
                        <w:fldChar w:fldCharType="end"/>
                      </w:r>
                      <w:r>
                        <w:rPr>
                          <w:color w:val="FFFFFF" w:themeColor="background1"/>
                        </w:rPr>
                        <w:t>. A sustainable settlement based on inflation is a must on funding. The £645m Pharmacy First investment is a sign of government commitment, but a new Community Pharmacy Contractual Framework that fairly rewards clinical services, not just volume, is needed to stop further closures and ensure access to pharmacies is equitable in all communities, especially those at greatest risk of becoming a pharmacy desert (NHS England,</w:t>
                      </w:r>
                      <w:r>
                        <w:t xml:space="preserve"> 2024).</w:t>
                      </w:r>
                    </w:p>
                    <w:p w14:paraId="6E669648" w14:textId="77777777" w:rsidR="0078251D" w:rsidRDefault="0078251D">
                      <w:pPr>
                        <w:rPr>
                          <w:color w:val="FFFF00"/>
                        </w:rPr>
                      </w:pPr>
                    </w:p>
                  </w:txbxContent>
                </v:textbox>
                <w10:wrap anchorx="margin"/>
              </v:shape>
            </w:pict>
          </mc:Fallback>
        </mc:AlternateContent>
      </w:r>
    </w:p>
    <w:p w14:paraId="4A50C30B" w14:textId="77777777" w:rsidR="0078251D" w:rsidRDefault="0078251D">
      <w:pPr>
        <w:spacing w:after="240" w:line="276" w:lineRule="auto"/>
        <w:sectPr w:rsidR="0078251D">
          <w:headerReference w:type="default" r:id="rId13"/>
          <w:type w:val="continuous"/>
          <w:pgSz w:w="11906" w:h="16838"/>
          <w:pgMar w:top="709" w:right="306" w:bottom="306" w:left="306" w:header="0" w:footer="708" w:gutter="0"/>
          <w:cols w:num="2" w:space="708"/>
          <w:docGrid w:linePitch="360"/>
        </w:sectPr>
      </w:pPr>
    </w:p>
    <w:p w14:paraId="1757685F" w14:textId="77777777" w:rsidR="0078251D" w:rsidRDefault="0078251D">
      <w:pPr>
        <w:spacing w:after="240" w:line="276" w:lineRule="auto"/>
      </w:pPr>
    </w:p>
    <w:p w14:paraId="0F4BC328" w14:textId="77777777" w:rsidR="0078251D" w:rsidRDefault="0078251D">
      <w:pPr>
        <w:spacing w:after="240" w:line="276" w:lineRule="auto"/>
      </w:pPr>
    </w:p>
    <w:p w14:paraId="688A834F" w14:textId="77777777" w:rsidR="0078251D" w:rsidRDefault="0078251D">
      <w:pPr>
        <w:spacing w:after="240" w:line="276" w:lineRule="auto"/>
      </w:pPr>
    </w:p>
    <w:p w14:paraId="24DC6D3B" w14:textId="77777777" w:rsidR="0078251D" w:rsidRDefault="0078251D">
      <w:pPr>
        <w:spacing w:after="240" w:line="276" w:lineRule="auto"/>
      </w:pPr>
    </w:p>
    <w:p w14:paraId="375729C1" w14:textId="77777777" w:rsidR="0078251D" w:rsidRDefault="00000000">
      <w:pPr>
        <w:spacing w:after="160" w:line="276" w:lineRule="auto"/>
        <w:ind w:firstLine="720"/>
        <w:jc w:val="center"/>
        <w:rPr>
          <w:color w:val="FFFFFF" w:themeColor="background1"/>
        </w:rPr>
      </w:pPr>
      <w:r>
        <w:rPr>
          <w:color w:val="FFFFFF" w:themeColor="background1"/>
        </w:rPr>
        <w:br w:type="page"/>
      </w:r>
      <w:r>
        <w:rPr>
          <w:b/>
          <w:bCs/>
          <w:color w:val="auto"/>
        </w:rPr>
        <w:lastRenderedPageBreak/>
        <w:t>Task 2: Community Mental Health Services</w:t>
      </w:r>
    </w:p>
    <w:p w14:paraId="25E9A93B" w14:textId="77777777" w:rsidR="0078251D" w:rsidRDefault="00000000">
      <w:pPr>
        <w:spacing w:line="276" w:lineRule="auto"/>
        <w:jc w:val="left"/>
        <w:rPr>
          <w:color w:val="auto"/>
        </w:rPr>
      </w:pPr>
      <w:r>
        <w:rPr>
          <w:b/>
          <w:bCs/>
          <w:color w:val="auto"/>
        </w:rPr>
        <w:t>Introduction</w:t>
      </w:r>
    </w:p>
    <w:p w14:paraId="100E074A" w14:textId="77777777" w:rsidR="0078251D" w:rsidRDefault="00000000">
      <w:pPr>
        <w:spacing w:before="240" w:after="240" w:line="276" w:lineRule="auto"/>
        <w:rPr>
          <w:color w:val="auto"/>
        </w:rPr>
      </w:pPr>
      <w:r>
        <w:rPr>
          <w:color w:val="auto"/>
        </w:rPr>
        <w:t>Community mental health services (CMHS) are one of the most important and controversial innovations in contemporary social care, reflecting a radical rethinking of the nature, treatment and provision of mental health care in society. It is important to first understand the historical context in which they came into existence and why they are possible and necessary in their current state, in order to critically assess their current function and importance.</w:t>
      </w:r>
    </w:p>
    <w:p w14:paraId="053A66F8" w14:textId="77777777" w:rsidR="0078251D" w:rsidRDefault="00000000">
      <w:pPr>
        <w:spacing w:line="276" w:lineRule="auto"/>
        <w:rPr>
          <w:color w:val="auto"/>
        </w:rPr>
      </w:pPr>
      <w:r>
        <w:rPr>
          <w:b/>
          <w:bCs/>
          <w:color w:val="auto"/>
        </w:rPr>
        <w:t>Origins and Historical Context</w:t>
      </w:r>
    </w:p>
    <w:p w14:paraId="2C8CFDB4" w14:textId="77777777" w:rsidR="0078251D" w:rsidRDefault="00000000">
      <w:pPr>
        <w:spacing w:before="240" w:after="240" w:line="276" w:lineRule="auto"/>
        <w:rPr>
          <w:color w:val="auto"/>
        </w:rPr>
      </w:pPr>
      <w:r>
        <w:rPr>
          <w:color w:val="auto"/>
        </w:rPr>
        <w:t xml:space="preserve">In the UK, before the mid-twentieth century, mental illness was treated almost entirely by institutionalisation. Tens of thousands of people were kept in large psychiatric hospitals, or asylums, where the focus was on containment rather than treatment, and where they were often detained for long periods of time without any clear end in sight </w:t>
      </w:r>
      <w:r>
        <w:rPr>
          <w:color w:val="auto"/>
        </w:rPr>
        <w:fldChar w:fldCharType="begin" w:fldLock="1"/>
      </w:r>
      <w:r>
        <w:rPr>
          <w:color w:val="auto"/>
        </w:rPr>
        <w:instrText>ADDIN CSL_CITATION {"citationItems":[{"id":"ITEM-1","itemData":{"DOI":"10.1080/09687599550023778","ISBN":"0335215831","ISSN":"13600508","author":[{"dropping-particle":"","family":"Rogers","given":"Anne","non-dropping-particle":"","parse-names":false,"suffix":""},{"dropping-particle":"","family":"Pilgrim","given":"David","non-dropping-particle":"","parse-names":false,"suffix":""}],"container-title":"Disability &amp; Society","id":"ITEM-1","issue":"1","issued":{"date-parts":[["1995"]]},"number-of-pages":"117-136","title":"A Sociology of Mental Health and Illness","type":"book","volume":"10"},"uris":["http://www.mendeley.com/documents/?uuid=77ceb967-ac31-4143-b281-9d394c1ec3ba"]}],"mendeley":{"formattedCitation":"(Rogers and Pilgrim, 1995)","plainTextFormattedCitation":"(Rogers and Pilgrim, 1995)","previouslyFormattedCitation":"(Rogers and Pilgrim, 1995)"},"properties":{"noteIndex":0},"schema":"https://github.com/citation-style-language/schema/raw/master/csl-citation.json"}</w:instrText>
      </w:r>
      <w:r>
        <w:rPr>
          <w:color w:val="auto"/>
        </w:rPr>
        <w:fldChar w:fldCharType="separate"/>
      </w:r>
      <w:r>
        <w:rPr>
          <w:color w:val="auto"/>
        </w:rPr>
        <w:t>(Rogers and Pilgrim, 1995)</w:t>
      </w:r>
      <w:r>
        <w:rPr>
          <w:color w:val="auto"/>
        </w:rPr>
        <w:fldChar w:fldCharType="end"/>
      </w:r>
      <w:r>
        <w:rPr>
          <w:color w:val="auto"/>
        </w:rPr>
        <w:t xml:space="preserve">. The Royal Commission on the Law Relating to Mental Illness and Mental Deficiency in 1957 challenged the limitations of this model in its report, which was used to inform the Mental Health Act 1959, the first legislation to create a legal framework that focused on community care instead of institutional care. The next Hospital Plan of 1962 established goals for the reduction of long-stay psychiatric beds, which began to be phased out in the 1970s and 1980s </w:t>
      </w:r>
      <w:r>
        <w:rPr>
          <w:color w:val="auto"/>
        </w:rPr>
        <w:fldChar w:fldCharType="begin" w:fldLock="1"/>
      </w:r>
      <w:r>
        <w:rPr>
          <w:color w:val="auto"/>
        </w:rPr>
        <w:instrText>ADDIN CSL_CITATION {"citationItems":[{"id":"ITEM-1","itemData":{"ISSN":"2148-9041","author":[{"dropping-particle":"","family":"Bilir","given":"Merve Kardelen","non-dropping-particle":"","parse-names":false,"suffix":""}],"container-title":"Hacettepe Sağlık İdaresi Dergisi","id":"ITEM-1","issue":"3","issued":{"date-parts":[["2018"]]},"page":"563-576","publisher":"Hacettepe University","title":"Deinstitutionalization in mental health policy: From institutional-based to community-based mental healthcare services","type":"article-journal","volume":"21"},"uris":["http://www.mendeley.com/documents/?uuid=f44d5163-2781-4323-88e6-2eee88e05341"]}],"mendeley":{"formattedCitation":"(Bilir, 2018)","plainTextFormattedCitation":"(Bilir, 2018)","previouslyFormattedCitation":"(Bilir, 2018)"},"properties":{"noteIndex":0},"schema":"https://github.com/citation-style-language/schema/raw/master/csl-citation.json"}</w:instrText>
      </w:r>
      <w:r>
        <w:rPr>
          <w:color w:val="auto"/>
        </w:rPr>
        <w:fldChar w:fldCharType="separate"/>
      </w:r>
      <w:r>
        <w:rPr>
          <w:color w:val="auto"/>
        </w:rPr>
        <w:t>(Bilir, 2018)</w:t>
      </w:r>
      <w:r>
        <w:rPr>
          <w:color w:val="auto"/>
        </w:rPr>
        <w:fldChar w:fldCharType="end"/>
      </w:r>
      <w:r>
        <w:rPr>
          <w:color w:val="auto"/>
        </w:rPr>
        <w:t>. However, the closing of institutions often did not go hand in hand with investment in community alternatives, and this imbalance remains a key feature of the debates about the service today.</w:t>
      </w:r>
    </w:p>
    <w:p w14:paraId="37EDB26A" w14:textId="77777777" w:rsidR="0078251D" w:rsidRDefault="00000000">
      <w:pPr>
        <w:spacing w:line="276" w:lineRule="auto"/>
        <w:rPr>
          <w:color w:val="auto"/>
        </w:rPr>
      </w:pPr>
      <w:r>
        <w:rPr>
          <w:b/>
          <w:bCs/>
          <w:color w:val="auto"/>
        </w:rPr>
        <w:t>Current Functioning of Community Mental Health Services</w:t>
      </w:r>
    </w:p>
    <w:p w14:paraId="34E2660C" w14:textId="77777777" w:rsidR="0078251D" w:rsidRDefault="00000000">
      <w:pPr>
        <w:spacing w:before="240" w:after="240" w:line="276" w:lineRule="auto"/>
        <w:rPr>
          <w:color w:val="auto"/>
        </w:rPr>
      </w:pPr>
      <w:r>
        <w:rPr>
          <w:color w:val="auto"/>
        </w:rPr>
        <w:t xml:space="preserve">Modern community mental health services are delivered via a range of Community Mental Health Teams (CMHTs), crisis resolution and home treatment teams, early intervention in psychosis services and Improving Access to Psychological Therapies (IAPT) programmes (which are now known as Talking Therapies, </w:t>
      </w:r>
      <w:r>
        <w:rPr>
          <w:color w:val="auto"/>
        </w:rPr>
        <w:fldChar w:fldCharType="begin" w:fldLock="1"/>
      </w:r>
      <w:r>
        <w:rPr>
          <w:color w:val="auto"/>
        </w:rPr>
        <w:instrText>ADDIN CSL_CITATION {"citationItems":[{"id":"ITEM-1","itemData":{"author":[{"dropping-particle":"","family":"NHS England","given":"","non-dropping-particle":"","parse-names":false,"suffix":""}],"id":"ITEM-1","issued":{"date-parts":[["2023"]]},"publisher":"NHS England","title":"Community Pharmacy Contractual Framework","type":"report"},"uris":["http://www.mendeley.com/documents/?uuid=9e23d278-526c-49af-9093-382380bcb1af"]}],"mendeley":{"formattedCitation":"(NHS England, 2023a)","plainTextFormattedCitation":"(NHS England, 2023a)","previouslyFormattedCitation":"(NHS England, 2023a)"},"properties":{"noteIndex":0},"schema":"https://github.com/citation-style-language/schema/raw/master/csl-citation.json"}</w:instrText>
      </w:r>
      <w:r>
        <w:rPr>
          <w:color w:val="auto"/>
        </w:rPr>
        <w:fldChar w:fldCharType="separate"/>
      </w:r>
      <w:r>
        <w:rPr>
          <w:color w:val="auto"/>
        </w:rPr>
        <w:t>(NHS England, 2023a)</w:t>
      </w:r>
      <w:r>
        <w:rPr>
          <w:color w:val="auto"/>
        </w:rPr>
        <w:fldChar w:fldCharType="end"/>
      </w:r>
      <w:r>
        <w:rPr>
          <w:color w:val="auto"/>
        </w:rPr>
        <w:t xml:space="preserve">). These services are intended to help individuals with moderate to severe mental health needs to receive care in their own home and community, rather than be admitted to hospital, when clinically appropriate. The NHS Long Term Plan (2019) has set out a target to increase community mental health services, with an extra £2.3 billion to be invested in the service by 2023/24 and an additional 370,000 adults and older people to be accessing services each year </w:t>
      </w:r>
      <w:r>
        <w:rPr>
          <w:color w:val="auto"/>
        </w:rPr>
        <w:fldChar w:fldCharType="begin" w:fldLock="1"/>
      </w:r>
      <w:r>
        <w:rPr>
          <w:color w:val="auto"/>
        </w:rPr>
        <w:instrText>ADDIN CSL_CITATION {"citationItems":[{"id":"ITEM-1","itemData":{"author":[{"dropping-particle":"","family":"NHS","given":"","non-dropping-particle":"","parse-names":false,"suffix":""}],"id":"ITEM-1","issued":{"date-parts":[["2019"]]},"title":"The NHS Long Term Plan","type":"report"},"uris":["http://www.mendeley.com/documents/?uuid=645d495e-e87b-3aea-bb2f-93fe8d508237"]}],"mendeley":{"formattedCitation":"(NHS, 2019)","plainTextFormattedCitation":"(NHS, 2019)","previouslyFormattedCitation":"(NHS, 2019)"},"properties":{"noteIndex":0},"schema":"https://github.com/citation-style-language/schema/raw/master/csl-citation.json"}</w:instrText>
      </w:r>
      <w:r>
        <w:rPr>
          <w:color w:val="auto"/>
        </w:rPr>
        <w:fldChar w:fldCharType="separate"/>
      </w:r>
      <w:r>
        <w:rPr>
          <w:color w:val="auto"/>
        </w:rPr>
        <w:t>(NHS, 2019)</w:t>
      </w:r>
      <w:r>
        <w:rPr>
          <w:color w:val="auto"/>
        </w:rPr>
        <w:fldChar w:fldCharType="end"/>
      </w:r>
      <w:r>
        <w:rPr>
          <w:color w:val="auto"/>
        </w:rPr>
        <w:t xml:space="preserve">. This is a step in the right direction, but there are definite drawbacks. There is a persistent delay in psychological therapies, with </w:t>
      </w:r>
      <w:r>
        <w:rPr>
          <w:color w:val="auto"/>
        </w:rPr>
        <w:fldChar w:fldCharType="begin" w:fldLock="1"/>
      </w:r>
      <w:r>
        <w:rPr>
          <w:color w:val="auto"/>
        </w:rPr>
        <w:instrText>ADDIN CSL_CITATION {"citationItems":[{"id":"ITEM-1","itemData":{"author":[{"dropping-particle":"","family":"NHS Digital","given":"","non-dropping-particle":"","parse-names":false,"suffix":""}],"id":"ITEM-1","issued":{"date-parts":[["2022"]]},"publisher":"NHS Digital","publisher-place":"Leeds","title":"Psychological Therapies, Annual Report on the use of IAPT services, England, 2021-22","type":"report"},"uris":["http://www.mendeley.com/documents/?uuid=5f89fb80-8fe1-43aa-8df9-13fe6668fc38"]}],"mendeley":{"formattedCitation":"(NHS Digital, 2022)","manualFormatting":"NHS Digital (2022)","plainTextFormattedCitation":"(NHS Digital, 2022)","previouslyFormattedCitation":"(NHS Digital, 2022)"},"properties":{"noteIndex":0},"schema":"https://github.com/citation-style-language/schema/raw/master/csl-citation.json"}</w:instrText>
      </w:r>
      <w:r>
        <w:rPr>
          <w:color w:val="auto"/>
        </w:rPr>
        <w:fldChar w:fldCharType="separate"/>
      </w:r>
      <w:r>
        <w:rPr>
          <w:color w:val="auto"/>
        </w:rPr>
        <w:t>NHS Digital (2022)</w:t>
      </w:r>
      <w:r>
        <w:rPr>
          <w:color w:val="auto"/>
        </w:rPr>
        <w:fldChar w:fldCharType="end"/>
      </w:r>
      <w:r>
        <w:rPr>
          <w:color w:val="auto"/>
        </w:rPr>
        <w:t xml:space="preserve"> reporting that a significant number of referrals were waiting for more than eighteen weeks, which is the standard time for psychological therapies. In addition, the </w:t>
      </w:r>
      <w:r>
        <w:rPr>
          <w:color w:val="auto"/>
        </w:rPr>
        <w:fldChar w:fldCharType="begin" w:fldLock="1"/>
      </w:r>
      <w:r>
        <w:rPr>
          <w:color w:val="auto"/>
        </w:rPr>
        <w:instrText>ADDIN CSL_CITATION {"citationItems":[{"id":"ITEM-1","itemData":{"ISBN":"9781474114639","abstract":"This is CQC’s fourth annual report on our statutory monitoring of the use of the Mental Health Act (MHA). In 2012/13 people were detained or treated under the MHA more than 50,000 times and community treatment orders were imposed more than 4,600 times. The total number of people who are subject to the MHA has risen by 12% in the last five years, with 17,000 people detained at the end of 2012/13. The ambition of national policy is to give mental health ‘parity of esteem’ with physical health within the health and social care system. The implementation framework for the Government’s strategy No Health without Mental Health underlines the importance of providing equal access to age appropriate services for everyone. The framework emphasises the interconnected nature of physical and mental health. It focuses on improving outcomes, quality and value for money, and making sure that people who use mental health services, their families and carers, are fully involved in all parts of mental health services, contributing to the goal of “no decision about me, without me”. In our publication A fresh start for the regulation and inspection of mental health services, we have set out our own aims to strengthen our regulation of mental health services and to integrate our work under the Mental Health Act through our new approach to inspecting and monitoring specialist mental health services. High on our agenda is the need to promote ‘what good looks like’ in all aspects of care and support for detained patients. Our new approach to inspection will focus on identifying good practice, challenging poor practice wherever we find it and promoting continued improvement in people’s experience of services. Feedback from our MHA visits offers positive examples of outstanding care delivery and a true commitment to advancing services and providing humane psychiatric care. These are the stories we want to capture and promote. Through the success of others we want to help leaders, at all levels, to build an understanding of how practice can be changed for the benefit of people in need of mental health care and treatment. We welcome and support initiatives that promote positive practice and will be seeking examples of sustained, high-quality and safe care that has found practical solutions to the themes we report. However, we also continue to receive reports of significant concern about the experience of people subject to the MHA. Our monitoring visits offer us a unique opportunity …","author":[{"dropping-particle":"","family":"Care Quality Commission","given":"","non-dropping-particle":"","parse-names":false,"suffix":""}],"id":"ITEM-1","issued":{"date-parts":[["2014"]]},"number-of-pages":"1-94","title":"Monitoring the Mental Health Act in 2012/13","type":"report"},"uris":["http://www.mendeley.com/documents/?uuid=cba92779-0bed-4c36-8a75-682b89222712"]}],"mendeley":{"formattedCitation":"(Care Quality Commission, 2014)","manualFormatting":"Care Quality Commission (2014)","plainTextFormattedCitation":"(Care Quality Commission, 2014)","previouslyFormattedCitation":"(Care Quality Commission, 2014)"},"properties":{"noteIndex":0},"schema":"https://github.com/citation-style-language/schema/raw/master/csl-citation.json"}</w:instrText>
      </w:r>
      <w:r>
        <w:rPr>
          <w:color w:val="auto"/>
        </w:rPr>
        <w:fldChar w:fldCharType="separate"/>
      </w:r>
      <w:r>
        <w:rPr>
          <w:color w:val="auto"/>
        </w:rPr>
        <w:t>Care Quality Commission (2014)</w:t>
      </w:r>
      <w:r>
        <w:rPr>
          <w:color w:val="auto"/>
        </w:rPr>
        <w:fldChar w:fldCharType="end"/>
      </w:r>
      <w:r>
        <w:rPr>
          <w:color w:val="auto"/>
        </w:rPr>
        <w:t xml:space="preserve"> has expressed ongoing concerns about the quality of crisis services and the lack of coordination between CMHS, primary care, housing and social services, which disproportionately impacts those with the most complex needs. Therefore, it is not enough to assess CMHS only in terms of investment; the structural coherence of provision needs to be assessed as well.</w:t>
      </w:r>
    </w:p>
    <w:p w14:paraId="6C71B685" w14:textId="77777777" w:rsidR="0078251D" w:rsidRDefault="00000000">
      <w:pPr>
        <w:spacing w:line="276" w:lineRule="auto"/>
        <w:rPr>
          <w:color w:val="auto"/>
        </w:rPr>
      </w:pPr>
      <w:r>
        <w:rPr>
          <w:b/>
          <w:bCs/>
          <w:color w:val="auto"/>
        </w:rPr>
        <w:t>Significance for Quality of Life</w:t>
      </w:r>
    </w:p>
    <w:p w14:paraId="6173F630" w14:textId="77777777" w:rsidR="0078251D" w:rsidRDefault="00000000">
      <w:pPr>
        <w:spacing w:before="240" w:after="240" w:line="276" w:lineRule="auto"/>
        <w:rPr>
          <w:color w:val="auto"/>
        </w:rPr>
      </w:pPr>
      <w:r>
        <w:rPr>
          <w:color w:val="auto"/>
        </w:rPr>
        <w:t xml:space="preserve">Despite these limitations, the significance of community mental health services in enhancing However, the importance of community mental health services in improving the quality of life </w:t>
      </w:r>
      <w:r>
        <w:rPr>
          <w:color w:val="auto"/>
        </w:rPr>
        <w:lastRenderedPageBreak/>
        <w:t xml:space="preserve">of service users is well documented despite these limitations. </w:t>
      </w:r>
      <w:r>
        <w:rPr>
          <w:color w:val="auto"/>
        </w:rPr>
        <w:fldChar w:fldCharType="begin" w:fldLock="1"/>
      </w:r>
      <w:r>
        <w:rPr>
          <w:color w:val="auto"/>
        </w:rPr>
        <w:instrText>ADDIN CSL_CITATION {"citationItems":[{"id":"ITEM-1","itemData":{"ISSN":"2198-9834","author":[{"dropping-particle":"","family":"Vaseel","given":"M","non-dropping-particle":"","parse-names":false,"suffix":""},{"dropping-particle":"","family":"Febina","given":"T S","non-dropping-particle":"","parse-names":false,"suffix":""},{"dropping-particle":"","family":"Anver","given":"P C","non-dropping-particle":"","parse-names":false,"suffix":""},{"dropping-particle":"","family":"Nalakath","given":"Mohammed Jezeel","non-dropping-particle":"","parse-names":false,"suffix":""},{"dropping-particle":"","family":"Uvais","given":"N A","non-dropping-particle":"","parse-names":false,"suffix":""}],"container-title":"Journal of Psychosocial Rehabilitation and Mental Health","id":"ITEM-1","issued":{"date-parts":[["2025"]]},"page":"1-8","publisher":"Springer","title":"Transforming Mental Health Care: A Chart-Based Study of Home-Based Services","type":"article-journal"},"uris":["http://www.mendeley.com/documents/?uuid=5303fafd-e3a5-4e15-858c-cca30750544b"]}],"mendeley":{"formattedCitation":"(Vaseel &lt;i&gt;et al.&lt;/i&gt;, 2025)","manualFormatting":"Vaseel et al. (2025)","plainTextFormattedCitation":"(Vaseel et al., 2025)","previouslyFormattedCitation":"(Vaseel &lt;i&gt;et al.&lt;/i&gt;, 2025)"},"properties":{"noteIndex":0},"schema":"https://github.com/citation-style-language/schema/raw/master/csl-citation.json"}</w:instrText>
      </w:r>
      <w:r>
        <w:rPr>
          <w:color w:val="auto"/>
        </w:rPr>
        <w:fldChar w:fldCharType="separate"/>
      </w:r>
      <w:r>
        <w:rPr>
          <w:color w:val="auto"/>
        </w:rPr>
        <w:t xml:space="preserve">Vaseel </w:t>
      </w:r>
      <w:r>
        <w:rPr>
          <w:i/>
          <w:color w:val="auto"/>
        </w:rPr>
        <w:t>et al.</w:t>
      </w:r>
      <w:r>
        <w:rPr>
          <w:color w:val="auto"/>
        </w:rPr>
        <w:t xml:space="preserve"> (2025)</w:t>
      </w:r>
      <w:r>
        <w:rPr>
          <w:color w:val="auto"/>
        </w:rPr>
        <w:fldChar w:fldCharType="end"/>
      </w:r>
      <w:r>
        <w:rPr>
          <w:color w:val="auto"/>
        </w:rPr>
        <w:t xml:space="preserve"> suggest that when delivered well, well-resourced community care is more effective than institutional care in a number of areas, such as symptom management, social functioning and subjective wellbeing. The recovery-oriented approach that is part of the current philosophy of CMHS has been linked to increased self-efficacy and continued service engagement </w:t>
      </w:r>
      <w:r>
        <w:rPr>
          <w:color w:val="auto"/>
        </w:rPr>
        <w:fldChar w:fldCharType="begin" w:fldLock="1"/>
      </w:r>
      <w:r>
        <w:rPr>
          <w:color w:val="auto"/>
        </w:rPr>
        <w:instrText>ADDIN CSL_CITATION {"citationItems":[{"id":"ITEM-1","itemData":{"author":[{"dropping-particle":"","family":"Lim","given":"Kee Hean","non-dropping-particle":"","parse-names":false,"suffix":""}],"id":"ITEM-1","issued":{"date-parts":[["2018"]]},"publisher":"Brunel University London","title":"Personal journeys of recovery: Exploring the experiences of mental health service users engaging with the Kawa'River'model.","type":"article"},"uris":["http://www.mendeley.com/documents/?uuid=f0b26341-4715-49a9-8d0a-e9164dda6c44"]}],"mendeley":{"formattedCitation":"(Lim, 2018)","plainTextFormattedCitation":"(Lim, 2018)","previouslyFormattedCitation":"(Lim, 2018)"},"properties":{"noteIndex":0},"schema":"https://github.com/citation-style-language/schema/raw/master/csl-citation.json"}</w:instrText>
      </w:r>
      <w:r>
        <w:rPr>
          <w:color w:val="auto"/>
        </w:rPr>
        <w:fldChar w:fldCharType="separate"/>
      </w:r>
      <w:r>
        <w:rPr>
          <w:color w:val="auto"/>
        </w:rPr>
        <w:t>(Lim, 2018)</w:t>
      </w:r>
      <w:r>
        <w:rPr>
          <w:color w:val="auto"/>
        </w:rPr>
        <w:fldChar w:fldCharType="end"/>
      </w:r>
      <w:r>
        <w:rPr>
          <w:color w:val="auto"/>
        </w:rPr>
        <w:t>. Community-based support provides for the participation of many service users in employment, family life and civic society, which long-term hospitalisation would otherwise have prevented.</w:t>
      </w:r>
    </w:p>
    <w:p w14:paraId="38B8829A" w14:textId="77777777" w:rsidR="0078251D" w:rsidRDefault="00000000">
      <w:pPr>
        <w:spacing w:line="276" w:lineRule="auto"/>
        <w:rPr>
          <w:color w:val="auto"/>
        </w:rPr>
      </w:pPr>
      <w:r>
        <w:rPr>
          <w:b/>
          <w:bCs/>
          <w:color w:val="auto"/>
        </w:rPr>
        <w:t>Conclusion</w:t>
      </w:r>
    </w:p>
    <w:p w14:paraId="19772EC1" w14:textId="77777777" w:rsidR="0078251D" w:rsidRDefault="00000000">
      <w:pPr>
        <w:spacing w:before="240" w:line="276" w:lineRule="auto"/>
        <w:rPr>
          <w:color w:val="auto"/>
        </w:rPr>
      </w:pPr>
      <w:r>
        <w:rPr>
          <w:color w:val="auto"/>
        </w:rPr>
        <w:t>Community mental health services are a reflection of the ideals and paradoxes of contemporary social care. They were born of deinstitutionalisation but have not fully lived up to its promise; their present operation shows that they have grown but have not yet caught up with the promise of deinstitutionalisation. Their importance to service users' quality of life is very real, but depends on investment, integration and adherence to recovery principles that are not consistently provided by the system.</w:t>
      </w:r>
    </w:p>
    <w:p w14:paraId="0C496FAB" w14:textId="77777777" w:rsidR="0078251D" w:rsidRDefault="00000000">
      <w:pPr>
        <w:spacing w:after="160" w:line="276" w:lineRule="auto"/>
        <w:ind w:firstLine="720"/>
        <w:jc w:val="center"/>
        <w:rPr>
          <w:color w:val="FFFFFF" w:themeColor="background1"/>
        </w:rPr>
      </w:pPr>
      <w:r>
        <w:rPr>
          <w:color w:val="FFFFFF" w:themeColor="background1"/>
        </w:rPr>
        <w:br w:type="page"/>
      </w:r>
    </w:p>
    <w:p w14:paraId="784DA685" w14:textId="77777777" w:rsidR="0078251D" w:rsidRDefault="00000000">
      <w:pPr>
        <w:spacing w:line="276" w:lineRule="auto"/>
        <w:jc w:val="left"/>
        <w:rPr>
          <w:b/>
          <w:bCs/>
          <w:color w:val="auto"/>
        </w:rPr>
      </w:pPr>
      <w:r>
        <w:rPr>
          <w:b/>
          <w:bCs/>
          <w:color w:val="auto"/>
        </w:rPr>
        <w:lastRenderedPageBreak/>
        <w:t>References</w:t>
      </w:r>
    </w:p>
    <w:p w14:paraId="55FA2D62" w14:textId="77777777" w:rsidR="0078251D" w:rsidRDefault="00000000">
      <w:pPr>
        <w:widowControl w:val="0"/>
        <w:autoSpaceDE w:val="0"/>
        <w:autoSpaceDN w:val="0"/>
        <w:adjustRightInd w:val="0"/>
        <w:spacing w:before="240" w:line="276" w:lineRule="auto"/>
        <w:jc w:val="left"/>
      </w:pPr>
      <w:r>
        <w:rPr>
          <w:b/>
          <w:bCs/>
          <w:color w:val="auto"/>
        </w:rPr>
        <w:fldChar w:fldCharType="begin" w:fldLock="1"/>
      </w:r>
      <w:r>
        <w:rPr>
          <w:b/>
          <w:bCs/>
          <w:color w:val="auto"/>
        </w:rPr>
        <w:instrText xml:space="preserve">ADDIN Mendeley Bibliography CSL_BIBLIOGRAPHY </w:instrText>
      </w:r>
      <w:r>
        <w:rPr>
          <w:b/>
          <w:bCs/>
          <w:color w:val="auto"/>
        </w:rPr>
        <w:fldChar w:fldCharType="separate"/>
      </w:r>
      <w:r>
        <w:t xml:space="preserve">Anderson, C. and Sharma, R. (2020) “Primary health care policy and vision for community pharmacy and pharmacists in England,” </w:t>
      </w:r>
      <w:r>
        <w:rPr>
          <w:i/>
          <w:iCs/>
        </w:rPr>
        <w:t>Pharmacy Practice (Granada)</w:t>
      </w:r>
      <w:r>
        <w:t>, 18(1).</w:t>
      </w:r>
    </w:p>
    <w:p w14:paraId="79ABE62F" w14:textId="77777777" w:rsidR="0078251D" w:rsidRDefault="00000000">
      <w:pPr>
        <w:widowControl w:val="0"/>
        <w:autoSpaceDE w:val="0"/>
        <w:autoSpaceDN w:val="0"/>
        <w:adjustRightInd w:val="0"/>
        <w:spacing w:before="240" w:line="276" w:lineRule="auto"/>
        <w:jc w:val="left"/>
      </w:pPr>
      <w:r>
        <w:t xml:space="preserve">Anderson, S. (2005) </w:t>
      </w:r>
      <w:r>
        <w:rPr>
          <w:i/>
          <w:iCs/>
        </w:rPr>
        <w:t>Making Medicines : A Brief History of Pharmacy and Pharmaceuticals</w:t>
      </w:r>
      <w:r>
        <w:t>. Pharmaceutical Press PP  - London ; Chicago.</w:t>
      </w:r>
    </w:p>
    <w:p w14:paraId="52AA9441" w14:textId="77777777" w:rsidR="0078251D" w:rsidRDefault="00000000">
      <w:pPr>
        <w:widowControl w:val="0"/>
        <w:autoSpaceDE w:val="0"/>
        <w:autoSpaceDN w:val="0"/>
        <w:adjustRightInd w:val="0"/>
        <w:spacing w:before="240" w:line="276" w:lineRule="auto"/>
        <w:jc w:val="left"/>
      </w:pPr>
      <w:r>
        <w:t xml:space="preserve">Baird, K., Nuhu, N. and Jiao, L. (2024) “The effect of Porter’s competitive forces on competitive advantage and organisational performance and the moderating role of management accounting practices,” </w:t>
      </w:r>
      <w:r>
        <w:rPr>
          <w:i/>
          <w:iCs/>
        </w:rPr>
        <w:t>Journal of Management Control</w:t>
      </w:r>
      <w:r>
        <w:t>, 35(2), pp. 303–332.</w:t>
      </w:r>
    </w:p>
    <w:p w14:paraId="75067320" w14:textId="77777777" w:rsidR="0078251D" w:rsidRDefault="00000000">
      <w:pPr>
        <w:widowControl w:val="0"/>
        <w:autoSpaceDE w:val="0"/>
        <w:autoSpaceDN w:val="0"/>
        <w:adjustRightInd w:val="0"/>
        <w:spacing w:before="240" w:line="276" w:lineRule="auto"/>
        <w:jc w:val="left"/>
      </w:pPr>
      <w:r>
        <w:t xml:space="preserve">Bilir, M.K. (2018) “Deinstitutionalization in mental health policy: From institutional-based to community-based mental healthcare services,” </w:t>
      </w:r>
      <w:r>
        <w:rPr>
          <w:i/>
          <w:iCs/>
        </w:rPr>
        <w:t>Hacettepe Sağlık İdaresi Dergisi</w:t>
      </w:r>
      <w:r>
        <w:t>, 21(3), pp. 563–576.</w:t>
      </w:r>
    </w:p>
    <w:p w14:paraId="137B99F3" w14:textId="77777777" w:rsidR="0078251D" w:rsidRDefault="00000000">
      <w:pPr>
        <w:widowControl w:val="0"/>
        <w:autoSpaceDE w:val="0"/>
        <w:autoSpaceDN w:val="0"/>
        <w:adjustRightInd w:val="0"/>
        <w:spacing w:before="240" w:line="276" w:lineRule="auto"/>
        <w:jc w:val="left"/>
      </w:pPr>
      <w:r>
        <w:t xml:space="preserve">Care Quality Commission (2014) </w:t>
      </w:r>
      <w:r>
        <w:rPr>
          <w:i/>
          <w:iCs/>
        </w:rPr>
        <w:t>Monitoring the Mental Health Act in 2012/13</w:t>
      </w:r>
      <w:r>
        <w:t>.</w:t>
      </w:r>
    </w:p>
    <w:p w14:paraId="07CDB48E" w14:textId="77777777" w:rsidR="0078251D" w:rsidRDefault="00000000">
      <w:pPr>
        <w:widowControl w:val="0"/>
        <w:autoSpaceDE w:val="0"/>
        <w:autoSpaceDN w:val="0"/>
        <w:adjustRightInd w:val="0"/>
        <w:spacing w:before="240" w:line="276" w:lineRule="auto"/>
        <w:jc w:val="left"/>
      </w:pPr>
      <w:r>
        <w:t xml:space="preserve">Lewis, R. and Williams, W. (2023) “Community pharmacy clinical services,” </w:t>
      </w:r>
      <w:r>
        <w:rPr>
          <w:i/>
          <w:iCs/>
        </w:rPr>
        <w:t>Nuffield Trust: The King’s Fund</w:t>
      </w:r>
      <w:r>
        <w:t xml:space="preserve"> [Preprint].</w:t>
      </w:r>
    </w:p>
    <w:p w14:paraId="799464AE" w14:textId="77777777" w:rsidR="0078251D" w:rsidRDefault="00000000">
      <w:pPr>
        <w:widowControl w:val="0"/>
        <w:autoSpaceDE w:val="0"/>
        <w:autoSpaceDN w:val="0"/>
        <w:adjustRightInd w:val="0"/>
        <w:spacing w:before="240" w:line="276" w:lineRule="auto"/>
        <w:jc w:val="left"/>
      </w:pPr>
      <w:r>
        <w:t>Lim, K.H. (2018) “Personal journeys of recovery: Exploring the experiences of mental health service users engaging with the Kawa’River’model.” Brunel University London.</w:t>
      </w:r>
    </w:p>
    <w:p w14:paraId="4CE750C9" w14:textId="77777777" w:rsidR="0078251D" w:rsidRDefault="00000000">
      <w:pPr>
        <w:widowControl w:val="0"/>
        <w:autoSpaceDE w:val="0"/>
        <w:autoSpaceDN w:val="0"/>
        <w:adjustRightInd w:val="0"/>
        <w:spacing w:before="240" w:line="276" w:lineRule="auto"/>
        <w:jc w:val="left"/>
      </w:pPr>
      <w:r>
        <w:t xml:space="preserve">Moriarty, S. </w:t>
      </w:r>
      <w:r>
        <w:rPr>
          <w:i/>
          <w:iCs/>
        </w:rPr>
        <w:t>et al.</w:t>
      </w:r>
      <w:r>
        <w:t xml:space="preserve"> (2025) “A qualitative evaluation of clinical services under the Community Pharmacy Contractual Framework.”</w:t>
      </w:r>
    </w:p>
    <w:p w14:paraId="6113064F" w14:textId="77777777" w:rsidR="0078251D" w:rsidRDefault="00000000">
      <w:pPr>
        <w:widowControl w:val="0"/>
        <w:autoSpaceDE w:val="0"/>
        <w:autoSpaceDN w:val="0"/>
        <w:adjustRightInd w:val="0"/>
        <w:spacing w:before="240" w:line="276" w:lineRule="auto"/>
        <w:jc w:val="left"/>
      </w:pPr>
      <w:r>
        <w:t xml:space="preserve">NHS (2019) </w:t>
      </w:r>
      <w:r>
        <w:rPr>
          <w:i/>
          <w:iCs/>
        </w:rPr>
        <w:t>The NHS Long Term Plan</w:t>
      </w:r>
      <w:r>
        <w:t>. Available at: www.longtermplan.nhs.uk.</w:t>
      </w:r>
    </w:p>
    <w:p w14:paraId="31E5F5FE" w14:textId="77777777" w:rsidR="0078251D" w:rsidRDefault="00000000">
      <w:pPr>
        <w:widowControl w:val="0"/>
        <w:autoSpaceDE w:val="0"/>
        <w:autoSpaceDN w:val="0"/>
        <w:adjustRightInd w:val="0"/>
        <w:spacing w:before="240" w:line="276" w:lineRule="auto"/>
        <w:jc w:val="left"/>
      </w:pPr>
      <w:r>
        <w:t xml:space="preserve">NHS Digital (2022) </w:t>
      </w:r>
      <w:r>
        <w:rPr>
          <w:i/>
          <w:iCs/>
        </w:rPr>
        <w:t>Psychological Therapies, Annual Report on the use of IAPT services, England, 2021-22</w:t>
      </w:r>
      <w:r>
        <w:t>. Leeds: NHS Digital. Available at: https://digital.nhs.uk/data-and-information/publications/statistical/psychological-therapies-annual-reports-on-the-use-of-iapt-services/annual-report-2021-22#.</w:t>
      </w:r>
    </w:p>
    <w:p w14:paraId="5E1ADD53" w14:textId="77777777" w:rsidR="0078251D" w:rsidRDefault="00000000">
      <w:pPr>
        <w:widowControl w:val="0"/>
        <w:autoSpaceDE w:val="0"/>
        <w:autoSpaceDN w:val="0"/>
        <w:adjustRightInd w:val="0"/>
        <w:spacing w:before="240" w:line="276" w:lineRule="auto"/>
        <w:jc w:val="left"/>
      </w:pPr>
      <w:r>
        <w:t xml:space="preserve">NHS England (2023a) </w:t>
      </w:r>
      <w:r>
        <w:rPr>
          <w:i/>
          <w:iCs/>
        </w:rPr>
        <w:t>Community Pharmacy Contractual Framework</w:t>
      </w:r>
      <w:r>
        <w:t>. NHS England. Available at: https://www.england.nhs.uk/primary-care/pharmacy/community-pharmacy-contractual-framework/.</w:t>
      </w:r>
    </w:p>
    <w:p w14:paraId="47A9A101" w14:textId="77777777" w:rsidR="0078251D" w:rsidRDefault="00000000">
      <w:pPr>
        <w:widowControl w:val="0"/>
        <w:autoSpaceDE w:val="0"/>
        <w:autoSpaceDN w:val="0"/>
        <w:adjustRightInd w:val="0"/>
        <w:spacing w:before="240" w:line="276" w:lineRule="auto"/>
        <w:jc w:val="left"/>
      </w:pPr>
      <w:r>
        <w:t xml:space="preserve">NHS England (2023b) </w:t>
      </w:r>
      <w:r>
        <w:rPr>
          <w:i/>
          <w:iCs/>
        </w:rPr>
        <w:t>NHS Long Term Workforce Plan</w:t>
      </w:r>
      <w:r>
        <w:t xml:space="preserve">, </w:t>
      </w:r>
      <w:r>
        <w:rPr>
          <w:i/>
          <w:iCs/>
        </w:rPr>
        <w:t>NHS Long Term Workforce Plan</w:t>
      </w:r>
      <w:r>
        <w:t>.</w:t>
      </w:r>
    </w:p>
    <w:p w14:paraId="519273C3" w14:textId="77777777" w:rsidR="0078251D" w:rsidRDefault="00000000">
      <w:pPr>
        <w:widowControl w:val="0"/>
        <w:autoSpaceDE w:val="0"/>
        <w:autoSpaceDN w:val="0"/>
        <w:adjustRightInd w:val="0"/>
        <w:spacing w:before="240" w:line="276" w:lineRule="auto"/>
        <w:jc w:val="left"/>
      </w:pPr>
      <w:r>
        <w:t xml:space="preserve">NHS England (2024) </w:t>
      </w:r>
      <w:r>
        <w:rPr>
          <w:i/>
          <w:iCs/>
        </w:rPr>
        <w:t>Pharmacy First: Written evidence submitted by the Company Chemists ’ Association ( CCA ) ( PHA0045 )</w:t>
      </w:r>
      <w:r>
        <w:t>.</w:t>
      </w:r>
    </w:p>
    <w:p w14:paraId="7A6FD5DB" w14:textId="77777777" w:rsidR="0078251D" w:rsidRDefault="00000000">
      <w:pPr>
        <w:widowControl w:val="0"/>
        <w:autoSpaceDE w:val="0"/>
        <w:autoSpaceDN w:val="0"/>
        <w:adjustRightInd w:val="0"/>
        <w:spacing w:before="240" w:line="276" w:lineRule="auto"/>
        <w:jc w:val="left"/>
      </w:pPr>
      <w:r>
        <w:t xml:space="preserve">Rogers, A. and Pilgrim, D. (1995) </w:t>
      </w:r>
      <w:r>
        <w:rPr>
          <w:i/>
          <w:iCs/>
        </w:rPr>
        <w:t>A Sociology of Mental Health and Illness</w:t>
      </w:r>
      <w:r>
        <w:t xml:space="preserve">, </w:t>
      </w:r>
      <w:r>
        <w:rPr>
          <w:i/>
          <w:iCs/>
        </w:rPr>
        <w:t>Disability &amp; Society</w:t>
      </w:r>
      <w:r>
        <w:t>. Available at: https://doi.org/10.1080/09687599550023778.</w:t>
      </w:r>
    </w:p>
    <w:p w14:paraId="2F6C207B" w14:textId="77777777" w:rsidR="0078251D" w:rsidRDefault="00000000">
      <w:pPr>
        <w:widowControl w:val="0"/>
        <w:autoSpaceDE w:val="0"/>
        <w:autoSpaceDN w:val="0"/>
        <w:adjustRightInd w:val="0"/>
        <w:spacing w:before="240" w:line="276" w:lineRule="auto"/>
        <w:jc w:val="left"/>
      </w:pPr>
      <w:r>
        <w:t xml:space="preserve">Urionagüena, A. </w:t>
      </w:r>
      <w:r>
        <w:rPr>
          <w:i/>
          <w:iCs/>
        </w:rPr>
        <w:t>et al.</w:t>
      </w:r>
      <w:r>
        <w:t xml:space="preserve"> (2024) “Community pharmacy &amp; primary care integration: qualitative study on stakeholders’ opinions and interventions,” </w:t>
      </w:r>
      <w:r>
        <w:rPr>
          <w:i/>
          <w:iCs/>
        </w:rPr>
        <w:t xml:space="preserve">Journal of Pharmaceutical Policy and Practice </w:t>
      </w:r>
      <w:r>
        <w:t>, 17(1), pp. 1–16. Available at: https://doi.org/10.1080/20523211.2024.2395551.</w:t>
      </w:r>
    </w:p>
    <w:p w14:paraId="6226D424" w14:textId="77777777" w:rsidR="0078251D" w:rsidRDefault="00000000">
      <w:pPr>
        <w:widowControl w:val="0"/>
        <w:autoSpaceDE w:val="0"/>
        <w:autoSpaceDN w:val="0"/>
        <w:adjustRightInd w:val="0"/>
        <w:spacing w:before="240" w:line="276" w:lineRule="auto"/>
        <w:jc w:val="left"/>
      </w:pPr>
      <w:r>
        <w:lastRenderedPageBreak/>
        <w:t xml:space="preserve">Vaseel, M. </w:t>
      </w:r>
      <w:r>
        <w:rPr>
          <w:i/>
          <w:iCs/>
        </w:rPr>
        <w:t>et al.</w:t>
      </w:r>
      <w:r>
        <w:t xml:space="preserve"> (2025) “Transforming Mental Health Care: A Chart-Based Study of Home-Based Services,” </w:t>
      </w:r>
      <w:r>
        <w:rPr>
          <w:i/>
          <w:iCs/>
        </w:rPr>
        <w:t>Journal of Psychosocial Rehabilitation and Mental Health</w:t>
      </w:r>
      <w:r>
        <w:t>, pp. 1–8.</w:t>
      </w:r>
    </w:p>
    <w:p w14:paraId="06A55188" w14:textId="77777777" w:rsidR="0078251D" w:rsidRDefault="00000000">
      <w:pPr>
        <w:spacing w:before="240" w:line="276" w:lineRule="auto"/>
        <w:jc w:val="left"/>
        <w:rPr>
          <w:b/>
          <w:bCs/>
          <w:color w:val="auto"/>
        </w:rPr>
      </w:pPr>
      <w:r>
        <w:rPr>
          <w:b/>
          <w:bCs/>
          <w:color w:val="auto"/>
        </w:rPr>
        <w:fldChar w:fldCharType="end"/>
      </w:r>
    </w:p>
    <w:p w14:paraId="0F3589D4" w14:textId="77777777" w:rsidR="0078251D" w:rsidRDefault="0078251D">
      <w:pPr>
        <w:spacing w:before="240" w:line="276" w:lineRule="auto"/>
        <w:jc w:val="left"/>
        <w:rPr>
          <w:b/>
          <w:bCs/>
          <w:color w:val="auto"/>
        </w:rPr>
      </w:pPr>
    </w:p>
    <w:p w14:paraId="13F53F11" w14:textId="77777777" w:rsidR="0078251D" w:rsidRDefault="0078251D">
      <w:pPr>
        <w:spacing w:before="240" w:line="276" w:lineRule="auto"/>
        <w:jc w:val="left"/>
        <w:rPr>
          <w:b/>
          <w:bCs/>
          <w:color w:val="auto"/>
        </w:rPr>
      </w:pPr>
    </w:p>
    <w:p w14:paraId="428139BB" w14:textId="77777777" w:rsidR="0078251D" w:rsidRDefault="0078251D">
      <w:pPr>
        <w:spacing w:before="240" w:line="276" w:lineRule="auto"/>
        <w:jc w:val="left"/>
        <w:rPr>
          <w:b/>
          <w:bCs/>
          <w:color w:val="auto"/>
        </w:rPr>
      </w:pPr>
    </w:p>
    <w:p w14:paraId="72908A81" w14:textId="77777777" w:rsidR="0078251D" w:rsidRDefault="0078251D">
      <w:pPr>
        <w:spacing w:before="240" w:line="276" w:lineRule="auto"/>
        <w:jc w:val="left"/>
        <w:rPr>
          <w:b/>
          <w:bCs/>
          <w:color w:val="auto"/>
        </w:rPr>
      </w:pPr>
    </w:p>
    <w:p w14:paraId="2E1E7352" w14:textId="77777777" w:rsidR="0078251D" w:rsidRDefault="0078251D">
      <w:pPr>
        <w:spacing w:before="240" w:line="276" w:lineRule="auto"/>
        <w:jc w:val="left"/>
        <w:rPr>
          <w:b/>
          <w:bCs/>
          <w:color w:val="auto"/>
        </w:rPr>
      </w:pPr>
    </w:p>
    <w:p w14:paraId="613ADF63" w14:textId="77777777" w:rsidR="0078251D" w:rsidRDefault="0078251D">
      <w:pPr>
        <w:spacing w:before="240" w:line="276" w:lineRule="auto"/>
        <w:jc w:val="left"/>
        <w:rPr>
          <w:b/>
          <w:bCs/>
          <w:color w:val="auto"/>
        </w:rPr>
      </w:pPr>
    </w:p>
    <w:p w14:paraId="2A98C790" w14:textId="77777777" w:rsidR="0078251D" w:rsidRDefault="0078251D">
      <w:pPr>
        <w:spacing w:before="240" w:line="276" w:lineRule="auto"/>
        <w:jc w:val="left"/>
        <w:rPr>
          <w:b/>
          <w:bCs/>
          <w:color w:val="auto"/>
        </w:rPr>
      </w:pPr>
    </w:p>
    <w:p w14:paraId="422C96AF" w14:textId="77777777" w:rsidR="0078251D" w:rsidRDefault="0078251D">
      <w:pPr>
        <w:spacing w:before="240" w:line="276" w:lineRule="auto"/>
        <w:jc w:val="left"/>
        <w:rPr>
          <w:b/>
          <w:bCs/>
          <w:color w:val="auto"/>
        </w:rPr>
      </w:pPr>
    </w:p>
    <w:p w14:paraId="439D9A54" w14:textId="77777777" w:rsidR="0078251D" w:rsidRDefault="0078251D">
      <w:pPr>
        <w:spacing w:before="240" w:line="276" w:lineRule="auto"/>
        <w:jc w:val="left"/>
        <w:rPr>
          <w:b/>
          <w:bCs/>
          <w:color w:val="auto"/>
        </w:rPr>
      </w:pPr>
    </w:p>
    <w:p w14:paraId="103671CB" w14:textId="77777777" w:rsidR="0078251D" w:rsidRDefault="0078251D">
      <w:pPr>
        <w:spacing w:before="240" w:line="276" w:lineRule="auto"/>
        <w:jc w:val="left"/>
        <w:rPr>
          <w:b/>
          <w:bCs/>
          <w:color w:val="auto"/>
        </w:rPr>
      </w:pPr>
    </w:p>
    <w:p w14:paraId="13B83418" w14:textId="77777777" w:rsidR="0078251D" w:rsidRDefault="0078251D">
      <w:pPr>
        <w:spacing w:before="240" w:line="276" w:lineRule="auto"/>
        <w:jc w:val="left"/>
        <w:rPr>
          <w:b/>
          <w:bCs/>
          <w:color w:val="auto"/>
        </w:rPr>
      </w:pPr>
    </w:p>
    <w:p w14:paraId="1CB32ACD" w14:textId="77777777" w:rsidR="0078251D" w:rsidRDefault="0078251D">
      <w:pPr>
        <w:spacing w:before="240" w:line="276" w:lineRule="auto"/>
        <w:jc w:val="left"/>
        <w:rPr>
          <w:b/>
          <w:bCs/>
          <w:color w:val="auto"/>
        </w:rPr>
      </w:pPr>
    </w:p>
    <w:p w14:paraId="207DC926" w14:textId="77777777" w:rsidR="0078251D" w:rsidRDefault="0078251D">
      <w:pPr>
        <w:spacing w:before="240" w:line="276" w:lineRule="auto"/>
        <w:jc w:val="left"/>
        <w:rPr>
          <w:b/>
          <w:bCs/>
          <w:color w:val="auto"/>
        </w:rPr>
      </w:pPr>
    </w:p>
    <w:p w14:paraId="149A8602" w14:textId="77777777" w:rsidR="0078251D" w:rsidRDefault="0078251D">
      <w:pPr>
        <w:spacing w:before="240" w:line="276" w:lineRule="auto"/>
        <w:jc w:val="left"/>
        <w:rPr>
          <w:b/>
          <w:bCs/>
          <w:color w:val="auto"/>
        </w:rPr>
      </w:pPr>
    </w:p>
    <w:p w14:paraId="0713ADFB" w14:textId="77777777" w:rsidR="0078251D" w:rsidRDefault="0078251D">
      <w:pPr>
        <w:spacing w:before="240" w:line="276" w:lineRule="auto"/>
        <w:jc w:val="left"/>
        <w:rPr>
          <w:b/>
          <w:bCs/>
          <w:color w:val="auto"/>
        </w:rPr>
      </w:pPr>
    </w:p>
    <w:p w14:paraId="190632F4" w14:textId="77777777" w:rsidR="0078251D" w:rsidRDefault="0078251D">
      <w:pPr>
        <w:spacing w:before="240" w:line="276" w:lineRule="auto"/>
        <w:jc w:val="left"/>
        <w:rPr>
          <w:b/>
          <w:bCs/>
          <w:color w:val="auto"/>
        </w:rPr>
      </w:pPr>
    </w:p>
    <w:p w14:paraId="1DDD7A08" w14:textId="77777777" w:rsidR="0078251D" w:rsidRDefault="0078251D">
      <w:pPr>
        <w:spacing w:before="240" w:line="276" w:lineRule="auto"/>
        <w:jc w:val="left"/>
        <w:rPr>
          <w:b/>
          <w:bCs/>
          <w:color w:val="auto"/>
        </w:rPr>
      </w:pPr>
    </w:p>
    <w:p w14:paraId="549F5202" w14:textId="77777777" w:rsidR="0078251D" w:rsidRDefault="0078251D">
      <w:pPr>
        <w:spacing w:before="240" w:line="276" w:lineRule="auto"/>
        <w:jc w:val="left"/>
        <w:rPr>
          <w:b/>
          <w:bCs/>
          <w:color w:val="auto"/>
        </w:rPr>
      </w:pPr>
    </w:p>
    <w:p w14:paraId="7F19ED0A" w14:textId="77777777" w:rsidR="0078251D" w:rsidRDefault="0078251D">
      <w:pPr>
        <w:spacing w:before="240" w:line="276" w:lineRule="auto"/>
        <w:jc w:val="left"/>
        <w:rPr>
          <w:b/>
          <w:bCs/>
          <w:color w:val="auto"/>
        </w:rPr>
      </w:pPr>
    </w:p>
    <w:p w14:paraId="20A7A26E" w14:textId="77777777" w:rsidR="0078251D" w:rsidRDefault="0078251D">
      <w:pPr>
        <w:spacing w:before="240" w:line="276" w:lineRule="auto"/>
        <w:jc w:val="left"/>
        <w:rPr>
          <w:b/>
          <w:bCs/>
          <w:color w:val="auto"/>
        </w:rPr>
      </w:pPr>
    </w:p>
    <w:p w14:paraId="5A0F0AEF" w14:textId="77777777" w:rsidR="0078251D" w:rsidRDefault="0078251D">
      <w:pPr>
        <w:spacing w:before="240" w:line="276" w:lineRule="auto"/>
        <w:jc w:val="left"/>
        <w:rPr>
          <w:b/>
          <w:bCs/>
          <w:color w:val="auto"/>
        </w:rPr>
      </w:pPr>
    </w:p>
    <w:p w14:paraId="0E235CC7" w14:textId="77777777" w:rsidR="0078251D" w:rsidRDefault="0078251D">
      <w:pPr>
        <w:spacing w:before="240" w:line="276" w:lineRule="auto"/>
        <w:jc w:val="left"/>
        <w:rPr>
          <w:b/>
          <w:bCs/>
          <w:color w:val="auto"/>
        </w:rPr>
      </w:pPr>
    </w:p>
    <w:p w14:paraId="7DAAEB9F" w14:textId="77777777" w:rsidR="0078251D" w:rsidRDefault="0078251D">
      <w:pPr>
        <w:spacing w:before="240" w:line="276" w:lineRule="auto"/>
        <w:jc w:val="left"/>
        <w:rPr>
          <w:b/>
          <w:bCs/>
          <w:color w:val="auto"/>
        </w:rPr>
      </w:pPr>
    </w:p>
    <w:p w14:paraId="211E2ED8" w14:textId="77777777" w:rsidR="0078251D" w:rsidRDefault="0078251D">
      <w:pPr>
        <w:spacing w:before="240" w:line="276" w:lineRule="auto"/>
        <w:jc w:val="left"/>
        <w:rPr>
          <w:b/>
          <w:bCs/>
          <w:color w:val="auto"/>
        </w:rPr>
      </w:pPr>
    </w:p>
    <w:p w14:paraId="1DF7E685" w14:textId="77777777" w:rsidR="0078251D" w:rsidRDefault="0078251D">
      <w:pPr>
        <w:spacing w:before="240" w:line="276" w:lineRule="auto"/>
        <w:jc w:val="left"/>
        <w:rPr>
          <w:b/>
          <w:bCs/>
          <w:color w:val="auto"/>
        </w:rPr>
      </w:pPr>
    </w:p>
    <w:p w14:paraId="4A532BD2" w14:textId="77777777" w:rsidR="0078251D" w:rsidRDefault="0078251D">
      <w:pPr>
        <w:spacing w:before="240" w:line="276" w:lineRule="auto"/>
        <w:jc w:val="left"/>
        <w:rPr>
          <w:b/>
          <w:bCs/>
          <w:color w:val="auto"/>
        </w:rPr>
      </w:pPr>
    </w:p>
    <w:sectPr w:rsidR="0078251D">
      <w:type w:val="continuous"/>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452B3" w14:textId="77777777" w:rsidR="00997CB9" w:rsidRDefault="00997CB9">
      <w:r>
        <w:separator/>
      </w:r>
    </w:p>
  </w:endnote>
  <w:endnote w:type="continuationSeparator" w:id="0">
    <w:p w14:paraId="4FDF2F4B" w14:textId="77777777" w:rsidR="00997CB9" w:rsidRDefault="0099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Aptos Display">
    <w:altName w:val="Segoe UI Variable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B8287" w14:textId="77777777" w:rsidR="00997CB9" w:rsidRDefault="00997CB9">
      <w:r>
        <w:separator/>
      </w:r>
    </w:p>
  </w:footnote>
  <w:footnote w:type="continuationSeparator" w:id="0">
    <w:p w14:paraId="3E43B0B6" w14:textId="77777777" w:rsidR="00997CB9" w:rsidRDefault="0099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9EB8A" w14:textId="77777777" w:rsidR="0078251D" w:rsidRDefault="007825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AAF"/>
    <w:rsid w:val="0003053C"/>
    <w:rsid w:val="00096BBD"/>
    <w:rsid w:val="000E02BF"/>
    <w:rsid w:val="000E5BBB"/>
    <w:rsid w:val="002E5203"/>
    <w:rsid w:val="003A70F2"/>
    <w:rsid w:val="003C1987"/>
    <w:rsid w:val="00451FCE"/>
    <w:rsid w:val="005F3BAB"/>
    <w:rsid w:val="006B6532"/>
    <w:rsid w:val="006F4842"/>
    <w:rsid w:val="006F6175"/>
    <w:rsid w:val="00760F39"/>
    <w:rsid w:val="00771F19"/>
    <w:rsid w:val="0078251D"/>
    <w:rsid w:val="00795ABB"/>
    <w:rsid w:val="00796394"/>
    <w:rsid w:val="00831443"/>
    <w:rsid w:val="00842920"/>
    <w:rsid w:val="008E1841"/>
    <w:rsid w:val="008E5C0A"/>
    <w:rsid w:val="00951B81"/>
    <w:rsid w:val="00956AAF"/>
    <w:rsid w:val="00970C88"/>
    <w:rsid w:val="00997CB9"/>
    <w:rsid w:val="009A28FA"/>
    <w:rsid w:val="00A547AC"/>
    <w:rsid w:val="00AB5B76"/>
    <w:rsid w:val="00AC6479"/>
    <w:rsid w:val="00B236B8"/>
    <w:rsid w:val="00B42F16"/>
    <w:rsid w:val="00B85B92"/>
    <w:rsid w:val="00BA4E31"/>
    <w:rsid w:val="00C3494E"/>
    <w:rsid w:val="00C359F2"/>
    <w:rsid w:val="00CF66E9"/>
    <w:rsid w:val="00D25A54"/>
    <w:rsid w:val="00DD6CB2"/>
    <w:rsid w:val="00DF125F"/>
    <w:rsid w:val="00EF0A9F"/>
    <w:rsid w:val="00F1136E"/>
    <w:rsid w:val="00F252EA"/>
    <w:rsid w:val="00F7070A"/>
    <w:rsid w:val="00F9230A"/>
    <w:rsid w:val="05D7389E"/>
    <w:rsid w:val="2E5C27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AAF1676"/>
  <w15:docId w15:val="{D1958C6C-2C93-4845-A0D0-C7753CFD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cs="Arial"/>
      <w:color w:val="1A1A1A"/>
      <w:sz w:val="22"/>
      <w:lang w:eastAsia="en-US"/>
    </w:rPr>
  </w:style>
  <w:style w:type="paragraph" w:styleId="Heading1">
    <w:name w:val="heading 1"/>
    <w:link w:val="Heading1Char"/>
    <w:autoRedefine/>
    <w:uiPriority w:val="9"/>
    <w:qFormat/>
    <w:pPr>
      <w:spacing w:before="320" w:after="160"/>
      <w:jc w:val="both"/>
      <w:outlineLvl w:val="0"/>
    </w:pPr>
    <w:rPr>
      <w:rFonts w:ascii="Times New Roman" w:hAnsi="Times New Roman" w:cs="Arial"/>
      <w:b/>
      <w:bCs/>
      <w:color w:val="000000"/>
      <w:sz w:val="24"/>
      <w:szCs w:val="32"/>
      <w:lang w:eastAsia="en-US"/>
    </w:rPr>
  </w:style>
  <w:style w:type="paragraph" w:styleId="Heading2">
    <w:name w:val="heading 2"/>
    <w:link w:val="Heading2Char"/>
    <w:autoRedefine/>
    <w:uiPriority w:val="9"/>
    <w:unhideWhenUsed/>
    <w:qFormat/>
    <w:pPr>
      <w:spacing w:before="280" w:after="120" w:line="360" w:lineRule="auto"/>
      <w:ind w:firstLine="720"/>
      <w:jc w:val="both"/>
      <w:outlineLvl w:val="1"/>
    </w:pPr>
    <w:rPr>
      <w:rFonts w:ascii="Times New Roman" w:hAnsi="Times New Roman" w:cs="Arial"/>
      <w:b/>
      <w:bCs/>
      <w:sz w:val="24"/>
      <w:szCs w:val="26"/>
      <w:lang w:eastAsia="en-US"/>
    </w:rPr>
  </w:style>
  <w:style w:type="paragraph" w:styleId="Heading3">
    <w:name w:val="heading 3"/>
    <w:basedOn w:val="Normal"/>
    <w:next w:val="Normal"/>
    <w:link w:val="Heading3Char"/>
    <w:autoRedefine/>
    <w:uiPriority w:val="9"/>
    <w:semiHidden/>
    <w:unhideWhenUsed/>
    <w:qFormat/>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imes New Roman" w:hAnsi="Times New Roman" w:cs="Arial"/>
      <w:b/>
      <w:bCs/>
      <w:color w:val="000000"/>
      <w:kern w:val="0"/>
      <w:szCs w:val="32"/>
      <w14:ligatures w14:val="none"/>
    </w:rPr>
  </w:style>
  <w:style w:type="character" w:customStyle="1" w:styleId="Heading2Char">
    <w:name w:val="Heading 2 Char"/>
    <w:basedOn w:val="DefaultParagraphFont"/>
    <w:link w:val="Heading2"/>
    <w:uiPriority w:val="9"/>
    <w:qFormat/>
    <w:rPr>
      <w:rFonts w:ascii="Times New Roman" w:eastAsia="Arial" w:hAnsi="Times New Roman" w:cs="Arial"/>
      <w:b/>
      <w:bCs/>
      <w:kern w:val="0"/>
      <w:szCs w:val="26"/>
      <w14:ligatures w14:val="none"/>
    </w:rPr>
  </w:style>
  <w:style w:type="character" w:customStyle="1" w:styleId="Heading3Char">
    <w:name w:val="Heading 3 Char"/>
    <w:basedOn w:val="DefaultParagraphFont"/>
    <w:link w:val="Heading3"/>
    <w:uiPriority w:val="9"/>
    <w:semiHidden/>
    <w:qFormat/>
    <w:rPr>
      <w:rFonts w:ascii="Times New Roman" w:eastAsiaTheme="majorEastAsia" w:hAnsi="Times New Roman" w:cstheme="majorBidi"/>
      <w:b/>
      <w:kern w:val="0"/>
      <w:szCs w:val="28"/>
      <w14:ligatures w14:val="none"/>
    </w:rPr>
  </w:style>
  <w:style w:type="paragraph" w:customStyle="1" w:styleId="Style1">
    <w:name w:val="Style1"/>
    <w:basedOn w:val="Normal"/>
    <w:link w:val="Style1Char"/>
    <w:autoRedefine/>
    <w:qFormat/>
    <w:rPr>
      <w:b/>
      <w:bCs/>
      <w:i/>
      <w:iCs/>
    </w:rPr>
  </w:style>
  <w:style w:type="character" w:customStyle="1" w:styleId="Style1Char">
    <w:name w:val="Style1 Char"/>
    <w:basedOn w:val="DefaultParagraphFont"/>
    <w:link w:val="Style1"/>
    <w:qFormat/>
    <w:rPr>
      <w:rFonts w:ascii="Times New Roman" w:hAnsi="Times New Roman" w:cs="Times New Roman"/>
      <w:b/>
      <w:bCs/>
      <w:i/>
      <w:iCs/>
      <w:kern w:val="0"/>
      <w14:ligatures w14:val="none"/>
    </w:rPr>
  </w:style>
  <w:style w:type="paragraph" w:customStyle="1" w:styleId="Table">
    <w:name w:val="Table"/>
    <w:basedOn w:val="Normal"/>
    <w:link w:val="TableChar"/>
    <w:autoRedefine/>
    <w:qFormat/>
    <w:pPr>
      <w:spacing w:before="240"/>
    </w:pPr>
    <w:rPr>
      <w:i/>
      <w:lang w:val="en-US"/>
    </w:rPr>
  </w:style>
  <w:style w:type="character" w:customStyle="1" w:styleId="TableChar">
    <w:name w:val="Table Char"/>
    <w:basedOn w:val="DefaultParagraphFont"/>
    <w:link w:val="Table"/>
    <w:qFormat/>
    <w:rPr>
      <w:rFonts w:ascii="Times New Roman" w:hAnsi="Times New Roman" w:cs="Times New Roman"/>
      <w:i/>
      <w:kern w:val="0"/>
      <w:lang w:val="en-US"/>
      <w14:ligatures w14:val="none"/>
    </w:rPr>
  </w:style>
  <w:style w:type="paragraph" w:customStyle="1" w:styleId="Tables">
    <w:name w:val="Tables"/>
    <w:basedOn w:val="Normal"/>
    <w:link w:val="TablesChar"/>
    <w:autoRedefine/>
    <w:qFormat/>
    <w:pPr>
      <w:spacing w:before="80" w:after="60"/>
    </w:pPr>
    <w:rPr>
      <w:rFonts w:asciiTheme="minorHAnsi" w:hAnsiTheme="minorHAnsi" w:cstheme="minorBidi"/>
      <w:b/>
      <w:bCs/>
      <w:i/>
      <w:kern w:val="2"/>
      <w:szCs w:val="22"/>
      <w14:ligatures w14:val="standardContextual"/>
    </w:rPr>
  </w:style>
  <w:style w:type="character" w:customStyle="1" w:styleId="TablesChar">
    <w:name w:val="Tables Char"/>
    <w:basedOn w:val="DefaultParagraphFont"/>
    <w:link w:val="Tables"/>
    <w:qFormat/>
    <w:rPr>
      <w:b/>
      <w:bCs/>
      <w:i/>
      <w:szCs w:val="22"/>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kern w:val="0"/>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0"/>
      <w14:ligatures w14:val="non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14:ligatures w14:val="none"/>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cs="Arial"/>
      <w:i/>
      <w:iCs/>
      <w:color w:val="404040" w:themeColor="text1" w:themeTint="BF"/>
      <w:kern w:val="0"/>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rFonts w:ascii="Times New Roman" w:hAnsi="Times New Roman" w:cs="Arial"/>
      <w:i/>
      <w:iCs/>
      <w:color w:val="0F4761" w:themeColor="accent1" w:themeShade="BF"/>
      <w:kern w:val="0"/>
      <w14:ligatures w14:val="none"/>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rPr>
      <w:rFonts w:ascii="Arial" w:hAnsi="Arial" w:cs="Arial"/>
      <w:color w:val="1A1A1A"/>
      <w:kern w:val="0"/>
      <w:sz w:val="20"/>
      <w:szCs w:val="20"/>
      <w14:ligatures w14:val="none"/>
    </w:rPr>
  </w:style>
  <w:style w:type="character" w:customStyle="1" w:styleId="FooterChar">
    <w:name w:val="Footer Char"/>
    <w:basedOn w:val="DefaultParagraphFont"/>
    <w:link w:val="Footer"/>
    <w:uiPriority w:val="99"/>
    <w:qFormat/>
    <w:rPr>
      <w:rFonts w:ascii="Arial" w:hAnsi="Arial" w:cs="Arial"/>
      <w:color w:val="1A1A1A"/>
      <w:kern w:val="0"/>
      <w:sz w:val="20"/>
      <w:szCs w:val="20"/>
      <w14:ligatures w14:val="none"/>
    </w:rPr>
  </w:style>
  <w:style w:type="character" w:styleId="Hyperlink">
    <w:name w:val="Hyperlink"/>
    <w:basedOn w:val="DefaultParagraphFont"/>
    <w:uiPriority w:val="99"/>
    <w:unhideWhenUsed/>
    <w:rsid w:val="006B6532"/>
    <w:rPr>
      <w:color w:val="467886" w:themeColor="hyperlink"/>
      <w:u w:val="single"/>
    </w:rPr>
  </w:style>
  <w:style w:type="character" w:styleId="UnresolvedMention">
    <w:name w:val="Unresolved Mention"/>
    <w:basedOn w:val="DefaultParagraphFont"/>
    <w:uiPriority w:val="99"/>
    <w:semiHidden/>
    <w:unhideWhenUsed/>
    <w:rsid w:val="006B6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066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36B3068-FE43-4116-A32A-FC8F290673A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2572</Words>
  <Characters>14663</Characters>
  <Application>Microsoft Office Word</Application>
  <DocSecurity>0</DocSecurity>
  <Lines>122</Lines>
  <Paragraphs>34</Paragraphs>
  <ScaleCrop>false</ScaleCrop>
  <Company/>
  <LinksUpToDate>false</LinksUpToDate>
  <CharactersWithSpaces>17201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Andreea-Daniela Belu (2521415)</cp:lastModifiedBy>
  <cp:revision>5</cp:revision>
  <dcterms:created xsi:type="dcterms:W3CDTF">2026-06-17T11:14:00Z</dcterms:created>
  <dcterms:modified xsi:type="dcterms:W3CDTF">2026-06-21T20:54:00Z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AMA Manual of Style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APSA Style Manual revised 2018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ASA Style Guide 6th/7th edition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18th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(author-date/Harvard)</vt:lpwstr>
  </property>
  <property fmtid="{D5CDD505-2E9C-101B-9397-08002B2CF9AE}" pid="14" name="Mendeley Recent Style Id 6_1">
    <vt:lpwstr>http://www.zotero.org/styles/ieee</vt:lpwstr>
  </property>
  <property fmtid="{D5CDD505-2E9C-101B-9397-08002B2CF9AE}" pid="15" name="Mendeley Recent Style Name 6_1">
    <vt:lpwstr>IEEE Reference Guide version 11.29.2023</vt:lpwstr>
  </property>
  <property fmtid="{D5CDD505-2E9C-101B-9397-08002B2CF9AE}" pid="16" name="Mendeley Recent Style Id 7_1">
    <vt:lpwstr>http://www.zotero.org/styles/modern-language-association</vt:lpwstr>
  </property>
  <property fmtid="{D5CDD505-2E9C-101B-9397-08002B2CF9AE}" pid="17" name="Mendeley Recent Style Name 7_1">
    <vt:lpwstr>MLA Handbook 9th edition (in-text citations)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http://www.zotero.org/styles/harvard-cite-them-right</vt:lpwstr>
  </property>
  <property fmtid="{D5CDD505-2E9C-101B-9397-08002B2CF9AE}" pid="24" name="Mendeley Unique User Id_1">
    <vt:lpwstr>f0960cc9-a3cc-319e-ac2a-f9ce876435fb</vt:lpwstr>
  </property>
  <property fmtid="{D5CDD505-2E9C-101B-9397-08002B2CF9AE}" pid="25" name="KSOTemplateDocerSaveRecord">
    <vt:lpwstr>eyJoZGlkIjoiZWI0MWJiM2I0NTBmMmJjODc0ODNmZjhlMWEzYWQ0OWYifQ==</vt:lpwstr>
  </property>
  <property fmtid="{D5CDD505-2E9C-101B-9397-08002B2CF9AE}" pid="26" name="KSOProductBuildVer">
    <vt:lpwstr>1033-12.1.0.26880</vt:lpwstr>
  </property>
  <property fmtid="{D5CDD505-2E9C-101B-9397-08002B2CF9AE}" pid="27" name="ICV">
    <vt:lpwstr>9375B3D4C7FB4E17AC0D4543EE12528E_12</vt:lpwstr>
  </property>
</Properties>
</file>