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05B60" w14:textId="29D69188" w:rsidR="00847925" w:rsidRPr="002A77FC" w:rsidRDefault="00FE1D40" w:rsidP="00012868">
      <w:pPr>
        <w:pBdr>
          <w:bottom w:val="single" w:sz="6" w:space="1" w:color="auto"/>
        </w:pBdr>
        <w:spacing w:line="360" w:lineRule="auto"/>
        <w:jc w:val="center"/>
        <w:rPr>
          <w:rFonts w:ascii="Arial" w:hAnsi="Arial" w:cs="Arial"/>
          <w:b/>
          <w:bCs/>
          <w:sz w:val="32"/>
          <w:szCs w:val="28"/>
        </w:rPr>
      </w:pPr>
      <w:r w:rsidRPr="002A77FC">
        <w:rPr>
          <w:rFonts w:ascii="Arial" w:hAnsi="Arial" w:cs="Arial"/>
          <w:b/>
          <w:bCs/>
          <w:noProof/>
          <w:sz w:val="32"/>
          <w:szCs w:val="28"/>
        </w:rPr>
        <w:drawing>
          <wp:inline distT="0" distB="0" distL="0" distR="0" wp14:anchorId="2799C721" wp14:editId="701F5728">
            <wp:extent cx="2990850" cy="1016000"/>
            <wp:effectExtent l="0" t="0" r="635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90850" cy="1016000"/>
                    </a:xfrm>
                    <a:prstGeom prst="rect">
                      <a:avLst/>
                    </a:prstGeom>
                  </pic:spPr>
                </pic:pic>
              </a:graphicData>
            </a:graphic>
          </wp:inline>
        </w:drawing>
      </w:r>
    </w:p>
    <w:p w14:paraId="572378B5" w14:textId="5FCECCDF" w:rsidR="00847925" w:rsidRPr="002A77FC" w:rsidRDefault="00847925" w:rsidP="00012868">
      <w:pPr>
        <w:pBdr>
          <w:bottom w:val="single" w:sz="6" w:space="1" w:color="auto"/>
        </w:pBdr>
        <w:spacing w:line="360" w:lineRule="auto"/>
        <w:jc w:val="center"/>
        <w:rPr>
          <w:rFonts w:ascii="Arial" w:hAnsi="Arial" w:cs="Arial"/>
          <w:b/>
          <w:bCs/>
          <w:sz w:val="32"/>
          <w:szCs w:val="28"/>
        </w:rPr>
      </w:pPr>
      <w:r w:rsidRPr="002A77FC">
        <w:rPr>
          <w:rFonts w:ascii="Arial" w:hAnsi="Arial" w:cs="Arial"/>
          <w:b/>
          <w:bCs/>
          <w:sz w:val="32"/>
          <w:szCs w:val="28"/>
        </w:rPr>
        <w:t>Master of Business Administration</w:t>
      </w:r>
      <w:r w:rsidR="00FE1D40" w:rsidRPr="002A77FC">
        <w:rPr>
          <w:rFonts w:ascii="Arial" w:hAnsi="Arial" w:cs="Arial"/>
          <w:b/>
          <w:bCs/>
          <w:sz w:val="32"/>
          <w:szCs w:val="28"/>
        </w:rPr>
        <w:t xml:space="preserve"> (MBA)</w:t>
      </w:r>
    </w:p>
    <w:p w14:paraId="3F4840D2" w14:textId="3C40161F" w:rsidR="00847925" w:rsidRPr="002A77FC" w:rsidRDefault="00847925" w:rsidP="00012868">
      <w:pPr>
        <w:pBdr>
          <w:bottom w:val="single" w:sz="6" w:space="1" w:color="auto"/>
        </w:pBdr>
        <w:spacing w:line="360" w:lineRule="auto"/>
        <w:jc w:val="center"/>
        <w:rPr>
          <w:rFonts w:ascii="Arial" w:hAnsi="Arial" w:cs="Arial"/>
          <w:b/>
          <w:bCs/>
          <w:sz w:val="32"/>
          <w:szCs w:val="28"/>
        </w:rPr>
      </w:pPr>
      <w:r w:rsidRPr="002A77FC">
        <w:rPr>
          <w:rFonts w:ascii="Arial" w:hAnsi="Arial" w:cs="Arial"/>
          <w:b/>
          <w:bCs/>
          <w:sz w:val="32"/>
          <w:szCs w:val="28"/>
        </w:rPr>
        <w:t>Module: Dissertation</w:t>
      </w:r>
    </w:p>
    <w:p w14:paraId="23D9E676" w14:textId="019D729D" w:rsidR="00847925" w:rsidRPr="002A77FC" w:rsidRDefault="00847925" w:rsidP="00012868">
      <w:pPr>
        <w:pBdr>
          <w:bottom w:val="single" w:sz="6" w:space="1" w:color="auto"/>
        </w:pBdr>
        <w:spacing w:line="360" w:lineRule="auto"/>
        <w:jc w:val="center"/>
        <w:rPr>
          <w:rFonts w:ascii="Arial" w:hAnsi="Arial" w:cs="Arial"/>
          <w:b/>
          <w:bCs/>
          <w:sz w:val="32"/>
          <w:szCs w:val="28"/>
        </w:rPr>
      </w:pPr>
      <w:r w:rsidRPr="002A77FC">
        <w:rPr>
          <w:rFonts w:ascii="Arial" w:hAnsi="Arial" w:cs="Arial"/>
          <w:b/>
          <w:bCs/>
          <w:sz w:val="32"/>
          <w:szCs w:val="28"/>
        </w:rPr>
        <w:t>Module code: LCMB7035</w:t>
      </w:r>
    </w:p>
    <w:p w14:paraId="1B1FA4B3" w14:textId="77777777" w:rsidR="00F1009C" w:rsidRPr="002A77FC" w:rsidRDefault="00F1009C" w:rsidP="00F1009C">
      <w:pPr>
        <w:pBdr>
          <w:bottom w:val="single" w:sz="6" w:space="1" w:color="auto"/>
        </w:pBdr>
        <w:spacing w:line="360" w:lineRule="auto"/>
        <w:rPr>
          <w:rFonts w:ascii="Arial" w:hAnsi="Arial" w:cs="Arial"/>
          <w:b/>
          <w:bCs/>
          <w:sz w:val="28"/>
          <w:szCs w:val="28"/>
        </w:rPr>
      </w:pPr>
    </w:p>
    <w:p w14:paraId="5C4411D6" w14:textId="2E05A0AE" w:rsidR="00F1009C" w:rsidRPr="002A77FC" w:rsidRDefault="00F1009C" w:rsidP="00012868">
      <w:pPr>
        <w:pBdr>
          <w:bottom w:val="single" w:sz="6" w:space="1" w:color="auto"/>
        </w:pBdr>
        <w:spacing w:line="360" w:lineRule="auto"/>
        <w:jc w:val="center"/>
        <w:rPr>
          <w:rFonts w:ascii="Arial" w:hAnsi="Arial" w:cs="Arial"/>
          <w:b/>
          <w:bCs/>
          <w:sz w:val="28"/>
          <w:szCs w:val="28"/>
        </w:rPr>
      </w:pPr>
      <w:r w:rsidRPr="002A77FC">
        <w:rPr>
          <w:rFonts w:ascii="Arial" w:hAnsi="Arial" w:cs="Arial"/>
          <w:b/>
          <w:bCs/>
          <w:sz w:val="28"/>
          <w:szCs w:val="28"/>
        </w:rPr>
        <w:t>The Strategic Use of Sustainability Communications in Brand Reputation Management in the UK FMCG Industry</w:t>
      </w:r>
    </w:p>
    <w:p w14:paraId="7AA1F4FC" w14:textId="77777777" w:rsidR="000C4B1A" w:rsidRPr="002A77FC" w:rsidRDefault="000C4B1A" w:rsidP="00012868">
      <w:pPr>
        <w:spacing w:line="360" w:lineRule="auto"/>
        <w:jc w:val="center"/>
        <w:rPr>
          <w:rFonts w:ascii="Arial" w:hAnsi="Arial" w:cs="Arial"/>
          <w:b/>
          <w:bCs/>
          <w:sz w:val="28"/>
        </w:rPr>
      </w:pPr>
    </w:p>
    <w:p w14:paraId="5F3E5AF6" w14:textId="77777777" w:rsidR="00F1009C" w:rsidRPr="002A77FC" w:rsidRDefault="00F1009C" w:rsidP="00012868">
      <w:pPr>
        <w:spacing w:line="360" w:lineRule="auto"/>
        <w:jc w:val="center"/>
        <w:rPr>
          <w:rFonts w:ascii="Arial" w:hAnsi="Arial" w:cs="Arial"/>
          <w:b/>
          <w:bCs/>
          <w:sz w:val="28"/>
        </w:rPr>
      </w:pPr>
    </w:p>
    <w:p w14:paraId="6002FECE" w14:textId="29CDC952" w:rsidR="00FE1D40" w:rsidRPr="002A77FC" w:rsidRDefault="000C49EB" w:rsidP="00012868">
      <w:pPr>
        <w:spacing w:line="360" w:lineRule="auto"/>
        <w:jc w:val="center"/>
        <w:rPr>
          <w:rFonts w:ascii="Arial" w:hAnsi="Arial" w:cs="Arial"/>
          <w:b/>
          <w:bCs/>
        </w:rPr>
      </w:pPr>
      <w:r w:rsidRPr="002A77FC">
        <w:rPr>
          <w:rFonts w:ascii="Arial" w:hAnsi="Arial" w:cs="Arial"/>
          <w:b/>
          <w:bCs/>
        </w:rPr>
        <w:t xml:space="preserve">Supervisor: </w:t>
      </w:r>
      <w:r w:rsidRPr="002A77FC">
        <w:rPr>
          <w:rFonts w:ascii="Arial" w:hAnsi="Arial" w:cs="Arial"/>
        </w:rPr>
        <w:t>Amir Homayounfard</w:t>
      </w:r>
    </w:p>
    <w:p w14:paraId="6A8B917F" w14:textId="77777777" w:rsidR="000C4B1A" w:rsidRPr="002A77FC" w:rsidRDefault="000C4B1A" w:rsidP="00012868">
      <w:pPr>
        <w:spacing w:line="360" w:lineRule="auto"/>
        <w:jc w:val="center"/>
        <w:rPr>
          <w:rFonts w:ascii="Arial" w:hAnsi="Arial" w:cs="Arial"/>
          <w:b/>
          <w:bCs/>
        </w:rPr>
      </w:pPr>
    </w:p>
    <w:p w14:paraId="0759A72E" w14:textId="6A23E097" w:rsidR="000C4B1A" w:rsidRPr="002A77FC" w:rsidRDefault="000C4B1A" w:rsidP="00012868">
      <w:pPr>
        <w:spacing w:line="360" w:lineRule="auto"/>
        <w:jc w:val="center"/>
        <w:rPr>
          <w:rFonts w:ascii="Arial" w:hAnsi="Arial" w:cs="Arial"/>
        </w:rPr>
      </w:pPr>
      <w:r w:rsidRPr="002A77FC">
        <w:rPr>
          <w:rFonts w:ascii="Arial" w:hAnsi="Arial" w:cs="Arial"/>
          <w:b/>
          <w:bCs/>
        </w:rPr>
        <w:t xml:space="preserve">Student Name: </w:t>
      </w:r>
      <w:r w:rsidR="000C49EB" w:rsidRPr="002A77FC">
        <w:rPr>
          <w:rFonts w:ascii="Arial" w:hAnsi="Arial" w:cs="Arial"/>
        </w:rPr>
        <w:t>Md Alauddin Sarker</w:t>
      </w:r>
    </w:p>
    <w:p w14:paraId="156F54B9" w14:textId="4DF40DEF" w:rsidR="008E36B5" w:rsidRPr="002A77FC" w:rsidRDefault="000C4B1A" w:rsidP="00012868">
      <w:pPr>
        <w:spacing w:line="360" w:lineRule="auto"/>
        <w:jc w:val="center"/>
        <w:rPr>
          <w:rFonts w:ascii="Arial" w:hAnsi="Arial" w:cs="Arial"/>
          <w:b/>
          <w:bCs/>
        </w:rPr>
      </w:pPr>
      <w:r w:rsidRPr="002A77FC">
        <w:rPr>
          <w:rFonts w:ascii="Arial" w:hAnsi="Arial" w:cs="Arial"/>
          <w:b/>
          <w:bCs/>
        </w:rPr>
        <w:t>Student ID</w:t>
      </w:r>
      <w:r w:rsidR="000C49EB" w:rsidRPr="002A77FC">
        <w:rPr>
          <w:rFonts w:ascii="Arial" w:hAnsi="Arial" w:cs="Arial"/>
          <w:b/>
          <w:bCs/>
        </w:rPr>
        <w:t>:</w:t>
      </w:r>
      <w:r w:rsidR="00F42396" w:rsidRPr="002A77FC">
        <w:rPr>
          <w:rFonts w:ascii="Arial" w:hAnsi="Arial" w:cs="Arial"/>
          <w:b/>
          <w:bCs/>
        </w:rPr>
        <w:t xml:space="preserve"> </w:t>
      </w:r>
      <w:r w:rsidR="000C49EB" w:rsidRPr="002A77FC">
        <w:rPr>
          <w:rFonts w:ascii="Arial" w:hAnsi="Arial" w:cs="Arial"/>
        </w:rPr>
        <w:t>2432631</w:t>
      </w:r>
    </w:p>
    <w:p w14:paraId="73A57EC7" w14:textId="77777777" w:rsidR="00FE1D40" w:rsidRPr="002A77FC" w:rsidRDefault="00FE1D40" w:rsidP="00012868">
      <w:pPr>
        <w:spacing w:line="360" w:lineRule="auto"/>
        <w:jc w:val="center"/>
        <w:rPr>
          <w:rFonts w:ascii="Arial" w:hAnsi="Arial" w:cs="Arial"/>
          <w:b/>
          <w:bCs/>
        </w:rPr>
      </w:pPr>
    </w:p>
    <w:p w14:paraId="4DF05E6D" w14:textId="77777777" w:rsidR="00FE1D40" w:rsidRPr="002A77FC" w:rsidRDefault="00FE1D40" w:rsidP="00012868">
      <w:pPr>
        <w:spacing w:line="360" w:lineRule="auto"/>
        <w:jc w:val="center"/>
        <w:rPr>
          <w:rFonts w:ascii="Arial" w:hAnsi="Arial" w:cs="Arial"/>
          <w:b/>
          <w:bCs/>
        </w:rPr>
      </w:pPr>
    </w:p>
    <w:p w14:paraId="44F1B0BB" w14:textId="77777777" w:rsidR="00FA0DCD" w:rsidRPr="002A77FC" w:rsidRDefault="00FA0DCD" w:rsidP="00012868">
      <w:pPr>
        <w:spacing w:line="360" w:lineRule="auto"/>
        <w:jc w:val="center"/>
        <w:rPr>
          <w:rFonts w:ascii="Arial" w:hAnsi="Arial" w:cs="Arial"/>
          <w:b/>
          <w:bCs/>
        </w:rPr>
      </w:pPr>
    </w:p>
    <w:p w14:paraId="13195821" w14:textId="3AAFD493" w:rsidR="00FE1D40" w:rsidRPr="002A77FC" w:rsidRDefault="00FE1D40" w:rsidP="00012868">
      <w:pPr>
        <w:spacing w:line="360" w:lineRule="auto"/>
        <w:jc w:val="center"/>
        <w:rPr>
          <w:rFonts w:ascii="Arial" w:hAnsi="Arial" w:cs="Arial"/>
          <w:b/>
          <w:bCs/>
          <w:lang w:val="en-US"/>
        </w:rPr>
      </w:pPr>
      <w:r w:rsidRPr="002A77FC">
        <w:rPr>
          <w:rFonts w:ascii="Arial" w:hAnsi="Arial" w:cs="Arial"/>
          <w:b/>
          <w:bCs/>
        </w:rPr>
        <w:t xml:space="preserve">Word count: </w:t>
      </w:r>
      <w:r w:rsidR="002A77FC" w:rsidRPr="002A77FC">
        <w:rPr>
          <w:rFonts w:ascii="Arial" w:hAnsi="Arial" w:cs="Arial"/>
          <w:b/>
          <w:bCs/>
          <w:lang w:val="en-US"/>
        </w:rPr>
        <w:t>15841</w:t>
      </w:r>
    </w:p>
    <w:p w14:paraId="6DA13BDB" w14:textId="2F1076DD" w:rsidR="00FE1D40" w:rsidRPr="002A77FC" w:rsidRDefault="00E27A7F" w:rsidP="00012868">
      <w:pPr>
        <w:spacing w:line="360" w:lineRule="auto"/>
        <w:jc w:val="center"/>
        <w:rPr>
          <w:rFonts w:ascii="Arial" w:hAnsi="Arial" w:cs="Arial"/>
          <w:b/>
          <w:bCs/>
          <w:lang w:val="en-US"/>
        </w:rPr>
      </w:pPr>
      <w:r w:rsidRPr="002A77FC">
        <w:rPr>
          <w:rFonts w:ascii="Arial" w:hAnsi="Arial" w:cs="Arial"/>
          <w:b/>
          <w:bCs/>
          <w:lang w:val="en-US"/>
        </w:rPr>
        <w:t xml:space="preserve">Date of </w:t>
      </w:r>
      <w:r w:rsidR="00FE1D40" w:rsidRPr="002A77FC">
        <w:rPr>
          <w:rFonts w:ascii="Arial" w:hAnsi="Arial" w:cs="Arial"/>
          <w:b/>
          <w:bCs/>
        </w:rPr>
        <w:t xml:space="preserve">Submission: </w:t>
      </w:r>
      <w:r w:rsidR="00E2378B" w:rsidRPr="002A77FC">
        <w:rPr>
          <w:rFonts w:ascii="Arial" w:hAnsi="Arial" w:cs="Arial"/>
          <w:b/>
          <w:bCs/>
          <w:lang w:val="en-US"/>
        </w:rPr>
        <w:t>5 June, 2026</w:t>
      </w:r>
    </w:p>
    <w:p w14:paraId="23E97DF5" w14:textId="1B967635" w:rsidR="007D6B3E" w:rsidRPr="002A77FC" w:rsidRDefault="007D6B3E" w:rsidP="00012868">
      <w:pPr>
        <w:spacing w:after="160" w:line="360" w:lineRule="auto"/>
        <w:jc w:val="center"/>
        <w:rPr>
          <w:rFonts w:ascii="Arial" w:hAnsi="Arial" w:cs="Arial"/>
        </w:rPr>
      </w:pPr>
    </w:p>
    <w:p w14:paraId="139CC0DF" w14:textId="77777777" w:rsidR="00F1009C" w:rsidRPr="002A77FC" w:rsidRDefault="00F1009C">
      <w:pPr>
        <w:spacing w:after="160" w:line="259" w:lineRule="auto"/>
        <w:rPr>
          <w:rFonts w:ascii="Arial" w:hAnsi="Arial" w:cs="Arial"/>
        </w:rPr>
      </w:pPr>
      <w:r w:rsidRPr="002A77FC">
        <w:rPr>
          <w:rFonts w:ascii="Arial" w:hAnsi="Arial" w:cs="Arial"/>
        </w:rPr>
        <w:br w:type="page"/>
      </w:r>
    </w:p>
    <w:p w14:paraId="7F9FD9D7" w14:textId="77777777" w:rsidR="00F1009C" w:rsidRPr="002A77FC" w:rsidRDefault="00F1009C" w:rsidP="00A808C0">
      <w:pPr>
        <w:pStyle w:val="Heading1"/>
      </w:pPr>
      <w:bookmarkStart w:id="0" w:name="_Toc229640439"/>
      <w:bookmarkStart w:id="1" w:name="_Toc230268801"/>
      <w:r w:rsidRPr="002A77FC">
        <w:lastRenderedPageBreak/>
        <w:t>Declaration</w:t>
      </w:r>
      <w:bookmarkEnd w:id="0"/>
      <w:bookmarkEnd w:id="1"/>
    </w:p>
    <w:p w14:paraId="598C697D" w14:textId="77777777" w:rsidR="00D93090" w:rsidRDefault="00D93090" w:rsidP="00F1009C">
      <w:pPr>
        <w:spacing w:after="160" w:line="259" w:lineRule="auto"/>
        <w:rPr>
          <w:rFonts w:ascii="Arial" w:hAnsi="Arial" w:cs="Arial"/>
          <w:b/>
          <w:bCs/>
        </w:rPr>
      </w:pPr>
    </w:p>
    <w:p w14:paraId="3E4868E6" w14:textId="50971028" w:rsidR="00D93090" w:rsidRDefault="00D93090" w:rsidP="00D93090">
      <w:pPr>
        <w:spacing w:after="120"/>
        <w:jc w:val="center"/>
        <w:rPr>
          <w:rFonts w:ascii="Arial" w:hAnsi="Arial" w:cs="Arial"/>
          <w:b/>
          <w:bCs/>
          <w:color w:val="000000"/>
          <w:sz w:val="28"/>
          <w:szCs w:val="28"/>
        </w:rPr>
      </w:pPr>
      <w:r w:rsidRPr="002A77FC">
        <w:rPr>
          <w:rFonts w:ascii="Arial" w:hAnsi="Arial" w:cs="Arial"/>
          <w:b/>
          <w:bCs/>
          <w:noProof/>
          <w:sz w:val="32"/>
          <w:szCs w:val="28"/>
        </w:rPr>
        <w:drawing>
          <wp:inline distT="0" distB="0" distL="0" distR="0" wp14:anchorId="4E53B050" wp14:editId="59B79381">
            <wp:extent cx="2220011" cy="754144"/>
            <wp:effectExtent l="0" t="0" r="2540" b="0"/>
            <wp:docPr id="1713454097"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9407" cy="767527"/>
                    </a:xfrm>
                    <a:prstGeom prst="rect">
                      <a:avLst/>
                    </a:prstGeom>
                  </pic:spPr>
                </pic:pic>
              </a:graphicData>
            </a:graphic>
          </wp:inline>
        </w:drawing>
      </w:r>
    </w:p>
    <w:p w14:paraId="735EBB98" w14:textId="77777777" w:rsidR="00D93090" w:rsidRDefault="00D93090" w:rsidP="00D93090">
      <w:pPr>
        <w:spacing w:after="120"/>
        <w:jc w:val="center"/>
        <w:rPr>
          <w:rFonts w:ascii="Arial" w:hAnsi="Arial" w:cs="Arial"/>
          <w:b/>
          <w:bCs/>
          <w:color w:val="000000"/>
          <w:sz w:val="28"/>
          <w:szCs w:val="28"/>
        </w:rPr>
      </w:pPr>
    </w:p>
    <w:p w14:paraId="5E4E5623" w14:textId="7AED0ED3" w:rsidR="00D93090" w:rsidRPr="00D93090" w:rsidRDefault="00D93090" w:rsidP="00D93090">
      <w:pPr>
        <w:spacing w:after="120"/>
        <w:jc w:val="center"/>
        <w:rPr>
          <w:color w:val="000000"/>
        </w:rPr>
      </w:pPr>
      <w:r w:rsidRPr="00D93090">
        <w:rPr>
          <w:rFonts w:ascii="Arial" w:hAnsi="Arial" w:cs="Arial"/>
          <w:b/>
          <w:bCs/>
          <w:color w:val="000000"/>
          <w:sz w:val="28"/>
          <w:szCs w:val="28"/>
        </w:rPr>
        <w:t>Master’s Degrees by Examination and Dissertation</w:t>
      </w:r>
    </w:p>
    <w:p w14:paraId="7E4B60E4" w14:textId="77777777" w:rsidR="00D93090" w:rsidRPr="00D93090" w:rsidRDefault="00D93090" w:rsidP="00D93090">
      <w:pPr>
        <w:spacing w:after="120"/>
        <w:jc w:val="center"/>
        <w:rPr>
          <w:color w:val="000000"/>
        </w:rPr>
      </w:pPr>
      <w:r w:rsidRPr="00D93090">
        <w:rPr>
          <w:rFonts w:ascii="Arial" w:hAnsi="Arial" w:cs="Arial"/>
          <w:b/>
          <w:bCs/>
          <w:color w:val="000000"/>
          <w:sz w:val="28"/>
          <w:szCs w:val="28"/>
        </w:rPr>
        <w:t>Declaration Form</w:t>
      </w:r>
      <w:r w:rsidRPr="00D93090">
        <w:rPr>
          <w:rFonts w:ascii="Arial" w:hAnsi="Arial" w:cs="Arial"/>
          <w:color w:val="000000"/>
          <w:sz w:val="28"/>
          <w:szCs w:val="28"/>
        </w:rPr>
        <w:t>.</w:t>
      </w:r>
    </w:p>
    <w:p w14:paraId="2CD1056A" w14:textId="77777777" w:rsidR="00D93090" w:rsidRPr="00D93090" w:rsidRDefault="00D93090" w:rsidP="00D93090">
      <w:pPr>
        <w:spacing w:after="120" w:line="480" w:lineRule="auto"/>
        <w:jc w:val="both"/>
        <w:rPr>
          <w:color w:val="000000"/>
        </w:rPr>
      </w:pPr>
      <w:r w:rsidRPr="00D93090">
        <w:rPr>
          <w:rFonts w:ascii="Arial" w:hAnsi="Arial" w:cs="Arial"/>
          <w:color w:val="000000"/>
        </w:rPr>
        <w:t> </w:t>
      </w:r>
    </w:p>
    <w:p w14:paraId="69C96D46" w14:textId="77777777" w:rsidR="00D93090" w:rsidRPr="00D93090" w:rsidRDefault="00D93090" w:rsidP="00D93090">
      <w:pPr>
        <w:spacing w:after="120" w:line="480" w:lineRule="auto"/>
        <w:jc w:val="both"/>
        <w:rPr>
          <w:color w:val="000000"/>
        </w:rPr>
      </w:pPr>
      <w:r w:rsidRPr="00D93090">
        <w:rPr>
          <w:rFonts w:ascii="Arial" w:hAnsi="Arial" w:cs="Arial"/>
          <w:color w:val="000000"/>
        </w:rPr>
        <w:t>I, Md Alauddin Sarker,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F72185A" w14:textId="77777777" w:rsidR="00D93090" w:rsidRPr="00D93090" w:rsidRDefault="00D93090" w:rsidP="00D93090">
      <w:pPr>
        <w:spacing w:after="120" w:line="480" w:lineRule="auto"/>
        <w:jc w:val="both"/>
        <w:rPr>
          <w:color w:val="000000"/>
        </w:rPr>
      </w:pPr>
      <w:r w:rsidRPr="00D93090">
        <w:rPr>
          <w:rFonts w:ascii="Arial" w:hAnsi="Arial" w:cs="Arial"/>
          <w:color w:val="000000"/>
        </w:rPr>
        <w:t> </w:t>
      </w:r>
    </w:p>
    <w:p w14:paraId="071D338D" w14:textId="77777777" w:rsidR="00D93090" w:rsidRPr="00D93090" w:rsidRDefault="00D93090" w:rsidP="00D93090">
      <w:pPr>
        <w:spacing w:after="120" w:line="480" w:lineRule="auto"/>
        <w:jc w:val="both"/>
        <w:rPr>
          <w:color w:val="000000"/>
        </w:rPr>
      </w:pPr>
      <w:r w:rsidRPr="00D93090">
        <w:rPr>
          <w:rFonts w:ascii="Arial" w:hAnsi="Arial" w:cs="Arial"/>
          <w:color w:val="000000"/>
        </w:rPr>
        <w:t>Signature: Md Alauddin Sarker</w:t>
      </w:r>
    </w:p>
    <w:p w14:paraId="064F6FA2" w14:textId="77777777" w:rsidR="00D93090" w:rsidRPr="00D93090" w:rsidRDefault="00D93090" w:rsidP="00D93090">
      <w:pPr>
        <w:spacing w:after="120" w:line="480" w:lineRule="auto"/>
        <w:jc w:val="both"/>
        <w:rPr>
          <w:color w:val="000000"/>
        </w:rPr>
      </w:pPr>
      <w:r w:rsidRPr="00D93090">
        <w:rPr>
          <w:rFonts w:ascii="Arial" w:hAnsi="Arial" w:cs="Arial"/>
          <w:color w:val="000000"/>
        </w:rPr>
        <w:t> </w:t>
      </w:r>
    </w:p>
    <w:p w14:paraId="307A514D" w14:textId="77777777" w:rsidR="00D93090" w:rsidRPr="00D93090" w:rsidRDefault="00D93090" w:rsidP="00D93090">
      <w:pPr>
        <w:spacing w:after="120" w:line="480" w:lineRule="auto"/>
        <w:jc w:val="both"/>
        <w:rPr>
          <w:color w:val="000000"/>
        </w:rPr>
      </w:pPr>
      <w:r w:rsidRPr="00D93090">
        <w:rPr>
          <w:rFonts w:ascii="Arial" w:hAnsi="Arial" w:cs="Arial"/>
          <w:color w:val="000000"/>
        </w:rPr>
        <w:t>Date: May 24, 2026</w:t>
      </w:r>
    </w:p>
    <w:p w14:paraId="5F8DBA55" w14:textId="77777777" w:rsidR="00D93090" w:rsidRPr="00D93090" w:rsidRDefault="00D93090" w:rsidP="00D93090">
      <w:pPr>
        <w:spacing w:after="240"/>
      </w:pPr>
    </w:p>
    <w:p w14:paraId="5B323408" w14:textId="77777777" w:rsidR="00D93090" w:rsidRPr="00D93090" w:rsidRDefault="00D93090" w:rsidP="00D93090"/>
    <w:p w14:paraId="58F28687" w14:textId="1B7B0570" w:rsidR="00F1009C" w:rsidRPr="002A77FC" w:rsidRDefault="00F1009C" w:rsidP="00F1009C">
      <w:pPr>
        <w:spacing w:after="160" w:line="259" w:lineRule="auto"/>
        <w:rPr>
          <w:rFonts w:ascii="Arial" w:hAnsi="Arial" w:cs="Arial"/>
          <w:b/>
          <w:bCs/>
        </w:rPr>
      </w:pPr>
      <w:r w:rsidRPr="002A77FC">
        <w:rPr>
          <w:rFonts w:ascii="Arial" w:hAnsi="Arial" w:cs="Arial"/>
          <w:b/>
          <w:bCs/>
        </w:rPr>
        <w:br w:type="page"/>
      </w:r>
    </w:p>
    <w:p w14:paraId="6B1FC8E0" w14:textId="77777777" w:rsidR="00F1009C" w:rsidRPr="002A77FC" w:rsidRDefault="00F1009C" w:rsidP="00A808C0">
      <w:pPr>
        <w:pStyle w:val="Heading1"/>
      </w:pPr>
      <w:bookmarkStart w:id="2" w:name="_Toc229640440"/>
      <w:bookmarkStart w:id="3" w:name="_Toc230268802"/>
      <w:r w:rsidRPr="002A77FC">
        <w:lastRenderedPageBreak/>
        <w:t>AI Use Acknowledgement</w:t>
      </w:r>
      <w:bookmarkEnd w:id="2"/>
      <w:bookmarkEnd w:id="3"/>
    </w:p>
    <w:p w14:paraId="3D6A1F6E" w14:textId="7BD55ED5" w:rsidR="00F1009C" w:rsidRPr="002A77FC" w:rsidRDefault="00F1009C" w:rsidP="00F1009C">
      <w:pPr>
        <w:spacing w:line="360" w:lineRule="auto"/>
        <w:jc w:val="both"/>
        <w:rPr>
          <w:rFonts w:ascii="Arial" w:hAnsi="Arial" w:cs="Arial"/>
        </w:rPr>
      </w:pPr>
      <w:r w:rsidRPr="002A77FC">
        <w:rPr>
          <w:rFonts w:ascii="Arial" w:hAnsi="Arial" w:cs="Arial"/>
        </w:rPr>
        <w:t xml:space="preserve">I would like to acknowledge </w:t>
      </w:r>
      <w:r w:rsidR="0006303A" w:rsidRPr="002A77FC">
        <w:rPr>
          <w:rFonts w:ascii="Arial" w:hAnsi="Arial" w:cs="Arial"/>
        </w:rPr>
        <w:t>AI-based assistance in a limited way to help improve the clarity, grammar, and wording of this academic work</w:t>
      </w:r>
      <w:r w:rsidR="0006303A" w:rsidRPr="002A77FC">
        <w:rPr>
          <w:rFonts w:ascii="Arial" w:hAnsi="Arial" w:cs="Arial"/>
          <w:lang w:val="en-US"/>
        </w:rPr>
        <w:t>.</w:t>
      </w:r>
      <w:r w:rsidRPr="002A77FC">
        <w:rPr>
          <w:rFonts w:ascii="Arial" w:hAnsi="Arial" w:cs="Arial"/>
        </w:rPr>
        <w:t xml:space="preserve"> No secondary data was collected by the AI tool</w:t>
      </w:r>
      <w:r w:rsidR="0006303A" w:rsidRPr="002A77FC">
        <w:rPr>
          <w:rFonts w:ascii="Arial" w:hAnsi="Arial" w:cs="Arial"/>
          <w:lang w:val="en-US"/>
        </w:rPr>
        <w:t xml:space="preserve">, and no </w:t>
      </w:r>
      <w:r w:rsidRPr="002A77FC">
        <w:rPr>
          <w:rFonts w:ascii="Arial" w:hAnsi="Arial" w:cs="Arial"/>
        </w:rPr>
        <w:t>evidence or source</w:t>
      </w:r>
      <w:r w:rsidR="0006303A" w:rsidRPr="002A77FC">
        <w:rPr>
          <w:rFonts w:ascii="Arial" w:hAnsi="Arial" w:cs="Arial"/>
          <w:lang w:val="en-US"/>
        </w:rPr>
        <w:t xml:space="preserve"> was</w:t>
      </w:r>
      <w:r w:rsidRPr="002A77FC">
        <w:rPr>
          <w:rFonts w:ascii="Arial" w:hAnsi="Arial" w:cs="Arial"/>
        </w:rPr>
        <w:t xml:space="preserve"> fabricated</w:t>
      </w:r>
      <w:r w:rsidR="00A72CC9" w:rsidRPr="002A77FC">
        <w:rPr>
          <w:rFonts w:ascii="Arial" w:hAnsi="Arial" w:cs="Arial"/>
          <w:lang w:val="en-US"/>
        </w:rPr>
        <w:t xml:space="preserve">. </w:t>
      </w:r>
    </w:p>
    <w:p w14:paraId="2B448193" w14:textId="77777777" w:rsidR="00F1009C" w:rsidRPr="002A77FC" w:rsidRDefault="00F1009C" w:rsidP="00F1009C">
      <w:pPr>
        <w:spacing w:line="360" w:lineRule="auto"/>
        <w:jc w:val="both"/>
        <w:rPr>
          <w:rFonts w:ascii="Arial" w:hAnsi="Arial" w:cs="Arial"/>
        </w:rPr>
      </w:pPr>
      <w:r w:rsidRPr="002A77FC">
        <w:rPr>
          <w:rFonts w:ascii="Arial" w:hAnsi="Arial" w:cs="Arial"/>
        </w:rPr>
        <w:t>The overall structure and content, including the argument, analysis, interpretation, and conclusions</w:t>
      </w:r>
      <w:r w:rsidRPr="002A77FC">
        <w:rPr>
          <w:rFonts w:ascii="Arial" w:hAnsi="Arial" w:cs="Arial"/>
          <w:lang w:val="en-US"/>
        </w:rPr>
        <w:t>,</w:t>
      </w:r>
      <w:r w:rsidRPr="002A77FC">
        <w:rPr>
          <w:rFonts w:ascii="Arial" w:hAnsi="Arial" w:cs="Arial"/>
        </w:rPr>
        <w:t xml:space="preserve"> are my own. I have read and revised to bring my idea of this dissertation issue and to make it presentable in the academic format of a university.</w:t>
      </w:r>
    </w:p>
    <w:p w14:paraId="72A188A2" w14:textId="63036093" w:rsidR="00195BAC" w:rsidRPr="002A77FC" w:rsidRDefault="00195BAC" w:rsidP="00F1009C">
      <w:pPr>
        <w:spacing w:after="160" w:line="259" w:lineRule="auto"/>
        <w:jc w:val="both"/>
        <w:rPr>
          <w:rFonts w:ascii="Arial" w:hAnsi="Arial" w:cs="Arial"/>
        </w:rPr>
      </w:pPr>
      <w:r w:rsidRPr="002A77FC">
        <w:rPr>
          <w:rFonts w:ascii="Arial" w:hAnsi="Arial" w:cs="Arial"/>
        </w:rPr>
        <w:br w:type="page"/>
      </w:r>
    </w:p>
    <w:p w14:paraId="421D5A32" w14:textId="77777777" w:rsidR="00195BAC" w:rsidRPr="002A77FC" w:rsidRDefault="00195BAC" w:rsidP="00A808C0">
      <w:pPr>
        <w:pStyle w:val="Heading1"/>
      </w:pPr>
      <w:bookmarkStart w:id="4" w:name="_Toc230268803"/>
      <w:r w:rsidRPr="002A77FC">
        <w:lastRenderedPageBreak/>
        <w:t>Acknowledgement</w:t>
      </w:r>
      <w:bookmarkEnd w:id="4"/>
    </w:p>
    <w:p w14:paraId="7B1A0C9F" w14:textId="3CE9536B" w:rsidR="00195BAC" w:rsidRPr="002A77FC" w:rsidRDefault="00195BAC" w:rsidP="00195BAC">
      <w:pPr>
        <w:spacing w:line="360" w:lineRule="auto"/>
        <w:jc w:val="both"/>
        <w:rPr>
          <w:rFonts w:ascii="Arial" w:hAnsi="Arial" w:cs="Arial"/>
        </w:rPr>
      </w:pPr>
      <w:r w:rsidRPr="002A77FC">
        <w:rPr>
          <w:rFonts w:ascii="Arial" w:hAnsi="Arial" w:cs="Arial"/>
        </w:rPr>
        <w:t>First, I would like to thank my supervisor</w:t>
      </w:r>
      <w:r w:rsidRPr="002A77FC">
        <w:rPr>
          <w:rFonts w:ascii="Arial" w:hAnsi="Arial" w:cs="Arial"/>
          <w:lang w:val="en-US"/>
        </w:rPr>
        <w:t>,</w:t>
      </w:r>
      <w:r w:rsidRPr="002A77FC">
        <w:rPr>
          <w:rFonts w:ascii="Arial" w:hAnsi="Arial" w:cs="Arial"/>
        </w:rPr>
        <w:t xml:space="preserve"> Dr Amir Homayounfard</w:t>
      </w:r>
      <w:r w:rsidRPr="002A77FC">
        <w:rPr>
          <w:rFonts w:ascii="Arial" w:hAnsi="Arial" w:cs="Arial"/>
          <w:lang w:val="en-US"/>
        </w:rPr>
        <w:t>,</w:t>
      </w:r>
      <w:r w:rsidRPr="002A77FC">
        <w:rPr>
          <w:rFonts w:ascii="Arial" w:hAnsi="Arial" w:cs="Arial"/>
        </w:rPr>
        <w:t xml:space="preserve"> for his guidance, support and enriching feedback during the process of writing this dissertation. The structure, focus and academic quality of this research are enhanced by his advice.</w:t>
      </w:r>
    </w:p>
    <w:p w14:paraId="31633583" w14:textId="128D312C" w:rsidR="00195BAC" w:rsidRPr="002A77FC" w:rsidRDefault="00195BAC" w:rsidP="00195BAC">
      <w:pPr>
        <w:spacing w:line="360" w:lineRule="auto"/>
        <w:jc w:val="both"/>
        <w:rPr>
          <w:rFonts w:ascii="Arial" w:hAnsi="Arial" w:cs="Arial"/>
        </w:rPr>
      </w:pPr>
      <w:r w:rsidRPr="002A77FC">
        <w:rPr>
          <w:rFonts w:ascii="Arial" w:hAnsi="Arial" w:cs="Arial"/>
        </w:rPr>
        <w:t xml:space="preserve">I would also like to thank the team of teachers and </w:t>
      </w:r>
      <w:r w:rsidRPr="002A77FC">
        <w:rPr>
          <w:rFonts w:ascii="Arial" w:hAnsi="Arial" w:cs="Arial"/>
          <w:lang w:val="en-US"/>
        </w:rPr>
        <w:t xml:space="preserve">the </w:t>
      </w:r>
      <w:r w:rsidRPr="002A77FC">
        <w:rPr>
          <w:rFonts w:ascii="Arial" w:hAnsi="Arial" w:cs="Arial"/>
        </w:rPr>
        <w:t>University of Wales Trinity Saint David for providing a stimulating learning environment</w:t>
      </w:r>
      <w:r w:rsidRPr="002A77FC">
        <w:rPr>
          <w:rFonts w:ascii="Arial" w:hAnsi="Arial" w:cs="Arial"/>
          <w:lang w:val="en-US"/>
        </w:rPr>
        <w:t>,</w:t>
      </w:r>
      <w:r w:rsidRPr="002A77FC">
        <w:rPr>
          <w:rFonts w:ascii="Arial" w:hAnsi="Arial" w:cs="Arial"/>
        </w:rPr>
        <w:t xml:space="preserve"> resources and academic support for completing this study. Their support and guidance on enhancing my deep-rooted understanding of business research, strategy and sustainability throughout the programme has helped and supported me.</w:t>
      </w:r>
    </w:p>
    <w:p w14:paraId="46089EE8" w14:textId="5D0EEFA3" w:rsidR="00195BAC" w:rsidRPr="002A77FC" w:rsidRDefault="00195BAC" w:rsidP="00195BAC">
      <w:pPr>
        <w:spacing w:line="360" w:lineRule="auto"/>
        <w:jc w:val="both"/>
        <w:rPr>
          <w:rFonts w:ascii="Arial" w:hAnsi="Arial" w:cs="Arial"/>
        </w:rPr>
      </w:pPr>
      <w:r w:rsidRPr="002A77FC">
        <w:rPr>
          <w:rFonts w:ascii="Arial" w:hAnsi="Arial" w:cs="Arial"/>
        </w:rPr>
        <w:t>My special thanks are extended to my family and friends for their constant encouragement, patience and emotional support in this dissertation process. That was their faith in me that would help me to get through the rough patches of life.</w:t>
      </w:r>
    </w:p>
    <w:p w14:paraId="1177D87D" w14:textId="210C22BF" w:rsidR="00195BAC" w:rsidRPr="002A77FC" w:rsidRDefault="00195BAC" w:rsidP="00195BAC">
      <w:pPr>
        <w:spacing w:line="360" w:lineRule="auto"/>
        <w:jc w:val="both"/>
        <w:rPr>
          <w:rFonts w:ascii="Arial" w:hAnsi="Arial" w:cs="Arial"/>
        </w:rPr>
      </w:pPr>
      <w:r w:rsidRPr="002A77FC">
        <w:rPr>
          <w:rFonts w:ascii="Arial" w:hAnsi="Arial" w:cs="Arial"/>
        </w:rPr>
        <w:t>Finally, I would like to express gratitude to all who helped me, either directly or indirectly, in the preparation of my dissertation. Your work on these studies has been truly supportive</w:t>
      </w:r>
      <w:r w:rsidRPr="002A77FC">
        <w:rPr>
          <w:rFonts w:ascii="Arial" w:hAnsi="Arial" w:cs="Arial"/>
          <w:lang w:val="en-US"/>
        </w:rPr>
        <w:t>,</w:t>
      </w:r>
      <w:r w:rsidRPr="002A77FC">
        <w:rPr>
          <w:rFonts w:ascii="Arial" w:hAnsi="Arial" w:cs="Arial"/>
        </w:rPr>
        <w:t xml:space="preserve"> and I've appreciated your work and encouragement throughout the process. </w:t>
      </w:r>
      <w:r w:rsidRPr="002A77FC">
        <w:rPr>
          <w:rFonts w:ascii="Arial" w:hAnsi="Arial" w:cs="Arial"/>
        </w:rPr>
        <w:br w:type="page"/>
      </w:r>
    </w:p>
    <w:p w14:paraId="048170A4" w14:textId="20DE6194" w:rsidR="00195BAC" w:rsidRPr="002A77FC" w:rsidRDefault="00195BAC" w:rsidP="00A808C0">
      <w:pPr>
        <w:pStyle w:val="Heading1"/>
      </w:pPr>
      <w:bookmarkStart w:id="5" w:name="_Toc230268804"/>
      <w:r w:rsidRPr="002A77FC">
        <w:lastRenderedPageBreak/>
        <w:t>Abstract</w:t>
      </w:r>
      <w:bookmarkEnd w:id="5"/>
    </w:p>
    <w:p w14:paraId="023081BD" w14:textId="3621D9C8" w:rsidR="00195BAC" w:rsidRPr="002A77FC" w:rsidRDefault="00195BAC" w:rsidP="00195BAC">
      <w:pPr>
        <w:spacing w:after="160" w:line="360" w:lineRule="auto"/>
        <w:jc w:val="both"/>
        <w:rPr>
          <w:rFonts w:ascii="Arial" w:hAnsi="Arial" w:cs="Arial"/>
          <w:lang w:val="en-US"/>
        </w:rPr>
      </w:pPr>
      <w:r w:rsidRPr="002A77FC">
        <w:rPr>
          <w:rFonts w:ascii="Arial" w:hAnsi="Arial" w:cs="Arial"/>
          <w:lang w:val="en-US"/>
        </w:rPr>
        <w:t>This thesis explores how sustainability communication can be used as a management strategy to guarantee and boost a good brand image in the FMCG industry of the UK in the context of Unilever UK. The research problem is introduced in Chapter 1. With sustainability now a business imperative, it can also involve the risk of greenwashing and damage to reputation. To see how this, in turn, affects the consumers' perception, trust and brand image through the prism of sustainability communication.</w:t>
      </w:r>
      <w:r w:rsidR="00E7043F" w:rsidRPr="002A77FC">
        <w:rPr>
          <w:rFonts w:ascii="Arial" w:hAnsi="Arial" w:cs="Arial"/>
          <w:lang w:val="en-US"/>
        </w:rPr>
        <w:t xml:space="preserve"> </w:t>
      </w:r>
      <w:r w:rsidRPr="002A77FC">
        <w:rPr>
          <w:rFonts w:ascii="Arial" w:hAnsi="Arial" w:cs="Arial"/>
          <w:lang w:val="en-US"/>
        </w:rPr>
        <w:t xml:space="preserve">Chapter 2 provides a literature review of the topics of sustainability communication, consumer perception, trust, </w:t>
      </w:r>
      <w:proofErr w:type="spellStart"/>
      <w:r w:rsidRPr="002A77FC">
        <w:rPr>
          <w:rFonts w:ascii="Arial" w:hAnsi="Arial" w:cs="Arial"/>
          <w:lang w:val="en-US"/>
        </w:rPr>
        <w:t>scepticism</w:t>
      </w:r>
      <w:proofErr w:type="spellEnd"/>
      <w:r w:rsidRPr="002A77FC">
        <w:rPr>
          <w:rFonts w:ascii="Arial" w:hAnsi="Arial" w:cs="Arial"/>
          <w:lang w:val="en-US"/>
        </w:rPr>
        <w:t xml:space="preserve">, authenticity and brand reputation. It's based on </w:t>
      </w:r>
      <w:proofErr w:type="spellStart"/>
      <w:r w:rsidRPr="002A77FC">
        <w:rPr>
          <w:rFonts w:ascii="Arial" w:hAnsi="Arial" w:cs="Arial"/>
          <w:lang w:val="en-US"/>
        </w:rPr>
        <w:t>Signalling</w:t>
      </w:r>
      <w:proofErr w:type="spellEnd"/>
      <w:r w:rsidRPr="002A77FC">
        <w:rPr>
          <w:rFonts w:ascii="Arial" w:hAnsi="Arial" w:cs="Arial"/>
          <w:lang w:val="en-US"/>
        </w:rPr>
        <w:t xml:space="preserve"> Theory. The chapter puts forward the idea of sustainability communication serving as a stepping stone for consumer perception to consumer trust and then to the brand's reputation. Authenticity perceptions and consumer </w:t>
      </w:r>
      <w:proofErr w:type="spellStart"/>
      <w:r w:rsidRPr="002A77FC">
        <w:rPr>
          <w:rFonts w:ascii="Arial" w:hAnsi="Arial" w:cs="Arial"/>
          <w:lang w:val="en-US"/>
        </w:rPr>
        <w:t>scepticism</w:t>
      </w:r>
      <w:proofErr w:type="spellEnd"/>
      <w:r w:rsidRPr="002A77FC">
        <w:rPr>
          <w:rFonts w:ascii="Arial" w:hAnsi="Arial" w:cs="Arial"/>
          <w:lang w:val="en-US"/>
        </w:rPr>
        <w:t xml:space="preserve"> are seen as important factors impacting this pathway.</w:t>
      </w:r>
      <w:r w:rsidR="00E7043F" w:rsidRPr="002A77FC">
        <w:rPr>
          <w:rFonts w:ascii="Arial" w:hAnsi="Arial" w:cs="Arial"/>
          <w:lang w:val="en-US"/>
        </w:rPr>
        <w:t xml:space="preserve"> </w:t>
      </w:r>
      <w:r w:rsidRPr="002A77FC">
        <w:rPr>
          <w:rFonts w:ascii="Arial" w:hAnsi="Arial" w:cs="Arial"/>
          <w:lang w:val="en-US"/>
        </w:rPr>
        <w:t xml:space="preserve">Chapter 3 discusses the methodology. The method of the Study is based on the interpretivist philosophy, and its design is a multiple-case study, which is adopted as its approach to answer the research question. It comes from secondary sources, </w:t>
      </w:r>
      <w:proofErr w:type="gramStart"/>
      <w:r w:rsidRPr="002A77FC">
        <w:rPr>
          <w:rFonts w:ascii="Arial" w:hAnsi="Arial" w:cs="Arial"/>
          <w:lang w:val="en-US"/>
        </w:rPr>
        <w:t>e.g.</w:t>
      </w:r>
      <w:proofErr w:type="gramEnd"/>
      <w:r w:rsidRPr="002A77FC">
        <w:rPr>
          <w:rFonts w:ascii="Arial" w:hAnsi="Arial" w:cs="Arial"/>
          <w:lang w:val="en-US"/>
        </w:rPr>
        <w:t xml:space="preserve"> corporate information, sustainability information, media sources and industry. They are Unilever UK, Procter and Gamble UK, Nestlé UK, Reckitt UK and Henkel.</w:t>
      </w:r>
      <w:r w:rsidR="00E7043F" w:rsidRPr="002A77FC">
        <w:rPr>
          <w:rFonts w:ascii="Arial" w:hAnsi="Arial" w:cs="Arial"/>
          <w:lang w:val="en-US"/>
        </w:rPr>
        <w:t xml:space="preserve"> </w:t>
      </w:r>
      <w:r w:rsidRPr="002A77FC">
        <w:rPr>
          <w:rFonts w:ascii="Arial" w:hAnsi="Arial" w:cs="Arial"/>
          <w:lang w:val="en-US"/>
        </w:rPr>
        <w:t>The result is reflected in Chapter 4. It shows that sustainability communication becomes most effective when it sticks to the facts, is product-oriented and easy to grasp. A comparison of the cases is then done analytically in Chapter 5. The parallel paradox of high visibility and high scrutiny is at Unilever. While the technical evidence of P&amp;G and Henkel might be right, less telling. Nestlé is an example of the mistrust of history. The integration of sustainability messages to health and hygiene and product intent, as Reckitt does, proves to be more powerful.</w:t>
      </w:r>
      <w:r w:rsidR="00E7043F" w:rsidRPr="002A77FC">
        <w:rPr>
          <w:rFonts w:ascii="Arial" w:hAnsi="Arial" w:cs="Arial"/>
          <w:lang w:val="en-US"/>
        </w:rPr>
        <w:t xml:space="preserve"> </w:t>
      </w:r>
      <w:r w:rsidRPr="002A77FC">
        <w:rPr>
          <w:rFonts w:ascii="Arial" w:hAnsi="Arial" w:cs="Arial"/>
          <w:lang w:val="en-US"/>
        </w:rPr>
        <w:t xml:space="preserve">In Chapter 6, we come to the conclusion that there is no straightforward relationship between sustainability communication and reputation. This will serve as a conditional signal. For there to be any improvement in reputation, communication must be credible, real and made visible and must be connected with business practice. It contributes by adapting </w:t>
      </w:r>
      <w:proofErr w:type="spellStart"/>
      <w:r w:rsidRPr="002A77FC">
        <w:rPr>
          <w:rFonts w:ascii="Arial" w:hAnsi="Arial" w:cs="Arial"/>
          <w:lang w:val="en-US"/>
        </w:rPr>
        <w:t>Signalling</w:t>
      </w:r>
      <w:proofErr w:type="spellEnd"/>
      <w:r w:rsidRPr="002A77FC">
        <w:rPr>
          <w:rFonts w:ascii="Arial" w:hAnsi="Arial" w:cs="Arial"/>
          <w:lang w:val="en-US"/>
        </w:rPr>
        <w:t xml:space="preserve"> Theory in the context of a </w:t>
      </w:r>
      <w:proofErr w:type="spellStart"/>
      <w:r w:rsidRPr="002A77FC">
        <w:rPr>
          <w:rFonts w:ascii="Arial" w:hAnsi="Arial" w:cs="Arial"/>
          <w:lang w:val="en-US"/>
        </w:rPr>
        <w:t>sceptical</w:t>
      </w:r>
      <w:proofErr w:type="spellEnd"/>
      <w:r w:rsidRPr="002A77FC">
        <w:rPr>
          <w:rFonts w:ascii="Arial" w:hAnsi="Arial" w:cs="Arial"/>
          <w:lang w:val="en-US"/>
        </w:rPr>
        <w:t xml:space="preserve"> UK FMCG and provides a practical toolkit for communication managers to use.</w:t>
      </w:r>
    </w:p>
    <w:p w14:paraId="2F94568C" w14:textId="2DE35004" w:rsidR="000C49EB" w:rsidRPr="002A77FC" w:rsidRDefault="000C49EB" w:rsidP="00012868">
      <w:pPr>
        <w:spacing w:after="160" w:line="360" w:lineRule="auto"/>
        <w:jc w:val="both"/>
        <w:rPr>
          <w:rFonts w:ascii="Arial" w:hAnsi="Arial" w:cs="Arial"/>
        </w:rPr>
      </w:pPr>
      <w:r w:rsidRPr="002A77FC">
        <w:rPr>
          <w:rFonts w:ascii="Arial" w:hAnsi="Arial" w:cs="Arial"/>
        </w:rPr>
        <w:br w:type="page"/>
      </w:r>
    </w:p>
    <w:sdt>
      <w:sdtPr>
        <w:rPr>
          <w:rFonts w:eastAsia="Times New Roman"/>
          <w:kern w:val="2"/>
          <w:sz w:val="24"/>
          <w:szCs w:val="22"/>
          <w:lang w:val="en-GB" w:eastAsia="en-GB" w:bidi="bn-IN"/>
          <w14:ligatures w14:val="standardContextual"/>
        </w:rPr>
        <w:id w:val="-1730379510"/>
        <w:docPartObj>
          <w:docPartGallery w:val="Table of Contents"/>
          <w:docPartUnique/>
        </w:docPartObj>
      </w:sdtPr>
      <w:sdtEndPr>
        <w:rPr>
          <w:rFonts w:ascii="Arial" w:hAnsi="Arial" w:cs="Arial"/>
          <w:b/>
          <w:bCs/>
          <w:noProof/>
          <w:color w:val="auto"/>
          <w:kern w:val="0"/>
          <w:szCs w:val="24"/>
          <w:lang w:val="en-BD"/>
          <w14:ligatures w14:val="none"/>
        </w:rPr>
      </w:sdtEndPr>
      <w:sdtContent>
        <w:p w14:paraId="41BA5C28" w14:textId="2875DB64" w:rsidR="004F4D92" w:rsidRPr="002A77FC" w:rsidRDefault="004F4D92" w:rsidP="00A808C0">
          <w:pPr>
            <w:pStyle w:val="TOCHeading"/>
          </w:pPr>
          <w:r w:rsidRPr="002A77FC">
            <w:t>Table of Contents</w:t>
          </w:r>
        </w:p>
        <w:p w14:paraId="234F5D62" w14:textId="6BDB603D" w:rsidR="00A72CC9" w:rsidRPr="002A77FC" w:rsidRDefault="004F4D92">
          <w:pPr>
            <w:pStyle w:val="TOC1"/>
            <w:tabs>
              <w:tab w:val="right" w:leader="dot" w:pos="9016"/>
            </w:tabs>
            <w:rPr>
              <w:rFonts w:ascii="Arial" w:eastAsiaTheme="minorEastAsia" w:hAnsi="Arial" w:cs="Arial"/>
              <w:b w:val="0"/>
              <w:bCs w:val="0"/>
              <w:i w:val="0"/>
              <w:iCs w:val="0"/>
              <w:noProof/>
              <w:szCs w:val="24"/>
              <w:lang w:val="en-BD" w:bidi="bn-IN"/>
            </w:rPr>
          </w:pPr>
          <w:r w:rsidRPr="002A77FC">
            <w:rPr>
              <w:rFonts w:ascii="Arial" w:hAnsi="Arial" w:cs="Arial"/>
              <w:b w:val="0"/>
              <w:bCs w:val="0"/>
              <w:i w:val="0"/>
              <w:iCs w:val="0"/>
              <w:szCs w:val="24"/>
            </w:rPr>
            <w:fldChar w:fldCharType="begin"/>
          </w:r>
          <w:r w:rsidRPr="002A77FC">
            <w:rPr>
              <w:rFonts w:ascii="Arial" w:hAnsi="Arial" w:cs="Arial"/>
              <w:b w:val="0"/>
              <w:bCs w:val="0"/>
              <w:i w:val="0"/>
              <w:iCs w:val="0"/>
              <w:szCs w:val="24"/>
            </w:rPr>
            <w:instrText xml:space="preserve"> TOC \o "1-3" \h \z \u </w:instrText>
          </w:r>
          <w:r w:rsidRPr="002A77FC">
            <w:rPr>
              <w:rFonts w:ascii="Arial" w:hAnsi="Arial" w:cs="Arial"/>
              <w:b w:val="0"/>
              <w:bCs w:val="0"/>
              <w:i w:val="0"/>
              <w:iCs w:val="0"/>
              <w:szCs w:val="24"/>
            </w:rPr>
            <w:fldChar w:fldCharType="separate"/>
          </w:r>
          <w:hyperlink w:anchor="_Toc230268801" w:history="1">
            <w:r w:rsidR="00A72CC9" w:rsidRPr="002A77FC">
              <w:rPr>
                <w:rStyle w:val="Hyperlink"/>
                <w:rFonts w:ascii="Arial" w:eastAsiaTheme="majorEastAsia" w:hAnsi="Arial" w:cs="Arial"/>
                <w:b w:val="0"/>
                <w:bCs w:val="0"/>
                <w:i w:val="0"/>
                <w:iCs w:val="0"/>
                <w:noProof/>
                <w:color w:val="auto"/>
                <w:szCs w:val="24"/>
              </w:rPr>
              <w:t>Declaration</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_Toc230268801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2</w:t>
            </w:r>
            <w:r w:rsidR="00A72CC9" w:rsidRPr="002A77FC">
              <w:rPr>
                <w:rFonts w:ascii="Arial" w:hAnsi="Arial" w:cs="Arial"/>
                <w:b w:val="0"/>
                <w:bCs w:val="0"/>
                <w:i w:val="0"/>
                <w:iCs w:val="0"/>
                <w:noProof/>
                <w:webHidden/>
                <w:szCs w:val="24"/>
              </w:rPr>
              <w:fldChar w:fldCharType="end"/>
            </w:r>
          </w:hyperlink>
        </w:p>
        <w:p w14:paraId="36BE3DC3" w14:textId="4D738543"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02" w:history="1">
            <w:r w:rsidR="00A72CC9" w:rsidRPr="002A77FC">
              <w:rPr>
                <w:rStyle w:val="Hyperlink"/>
                <w:rFonts w:ascii="Arial" w:eastAsiaTheme="majorEastAsia" w:hAnsi="Arial" w:cs="Arial"/>
                <w:b w:val="0"/>
                <w:bCs w:val="0"/>
                <w:i w:val="0"/>
                <w:iCs w:val="0"/>
                <w:noProof/>
                <w:color w:val="auto"/>
                <w:szCs w:val="24"/>
              </w:rPr>
              <w:t>AI Use Acknowledgement</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_Toc230268802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3</w:t>
            </w:r>
            <w:r w:rsidR="00A72CC9" w:rsidRPr="002A77FC">
              <w:rPr>
                <w:rFonts w:ascii="Arial" w:hAnsi="Arial" w:cs="Arial"/>
                <w:b w:val="0"/>
                <w:bCs w:val="0"/>
                <w:i w:val="0"/>
                <w:iCs w:val="0"/>
                <w:noProof/>
                <w:webHidden/>
                <w:szCs w:val="24"/>
              </w:rPr>
              <w:fldChar w:fldCharType="end"/>
            </w:r>
          </w:hyperlink>
        </w:p>
        <w:p w14:paraId="3B542E6B" w14:textId="0BC949B9"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03" w:history="1">
            <w:r w:rsidR="00A72CC9" w:rsidRPr="002A77FC">
              <w:rPr>
                <w:rStyle w:val="Hyperlink"/>
                <w:rFonts w:ascii="Arial" w:eastAsiaTheme="majorEastAsia" w:hAnsi="Arial" w:cs="Arial"/>
                <w:b w:val="0"/>
                <w:bCs w:val="0"/>
                <w:i w:val="0"/>
                <w:iCs w:val="0"/>
                <w:noProof/>
                <w:color w:val="auto"/>
                <w:szCs w:val="24"/>
              </w:rPr>
              <w:t>Acknowledgement</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_Toc230268803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4</w:t>
            </w:r>
            <w:r w:rsidR="00A72CC9" w:rsidRPr="002A77FC">
              <w:rPr>
                <w:rFonts w:ascii="Arial" w:hAnsi="Arial" w:cs="Arial"/>
                <w:b w:val="0"/>
                <w:bCs w:val="0"/>
                <w:i w:val="0"/>
                <w:iCs w:val="0"/>
                <w:noProof/>
                <w:webHidden/>
                <w:szCs w:val="24"/>
              </w:rPr>
              <w:fldChar w:fldCharType="end"/>
            </w:r>
          </w:hyperlink>
        </w:p>
        <w:p w14:paraId="27858AC6" w14:textId="57B631B7"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04" w:history="1">
            <w:r w:rsidR="00A72CC9" w:rsidRPr="002A77FC">
              <w:rPr>
                <w:rStyle w:val="Hyperlink"/>
                <w:rFonts w:ascii="Arial" w:eastAsiaTheme="majorEastAsia" w:hAnsi="Arial" w:cs="Arial"/>
                <w:b w:val="0"/>
                <w:bCs w:val="0"/>
                <w:i w:val="0"/>
                <w:iCs w:val="0"/>
                <w:noProof/>
                <w:color w:val="auto"/>
                <w:szCs w:val="24"/>
              </w:rPr>
              <w:t>Abstract</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_Toc230268804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5</w:t>
            </w:r>
            <w:r w:rsidR="00A72CC9" w:rsidRPr="002A77FC">
              <w:rPr>
                <w:rFonts w:ascii="Arial" w:hAnsi="Arial" w:cs="Arial"/>
                <w:b w:val="0"/>
                <w:bCs w:val="0"/>
                <w:i w:val="0"/>
                <w:iCs w:val="0"/>
                <w:noProof/>
                <w:webHidden/>
                <w:szCs w:val="24"/>
              </w:rPr>
              <w:fldChar w:fldCharType="end"/>
            </w:r>
          </w:hyperlink>
        </w:p>
        <w:p w14:paraId="4929A7D8" w14:textId="6C074888"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05" w:history="1">
            <w:r w:rsidR="00A72CC9" w:rsidRPr="002A77FC">
              <w:rPr>
                <w:rStyle w:val="Hyperlink"/>
                <w:rFonts w:ascii="Arial" w:eastAsiaTheme="majorEastAsia" w:hAnsi="Arial" w:cs="Arial"/>
                <w:b w:val="0"/>
                <w:bCs w:val="0"/>
                <w:i w:val="0"/>
                <w:iCs w:val="0"/>
                <w:noProof/>
                <w:color w:val="auto"/>
                <w:szCs w:val="24"/>
              </w:rPr>
              <w:t>Chapter 1: Introduction and Rationale</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_Toc230268805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10</w:t>
            </w:r>
            <w:r w:rsidR="00A72CC9" w:rsidRPr="002A77FC">
              <w:rPr>
                <w:rFonts w:ascii="Arial" w:hAnsi="Arial" w:cs="Arial"/>
                <w:b w:val="0"/>
                <w:bCs w:val="0"/>
                <w:i w:val="0"/>
                <w:iCs w:val="0"/>
                <w:noProof/>
                <w:webHidden/>
                <w:szCs w:val="24"/>
              </w:rPr>
              <w:fldChar w:fldCharType="end"/>
            </w:r>
          </w:hyperlink>
        </w:p>
        <w:p w14:paraId="5E18E21B" w14:textId="47F06B76"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06" w:history="1">
            <w:r w:rsidR="00A72CC9" w:rsidRPr="002A77FC">
              <w:rPr>
                <w:rStyle w:val="Hyperlink"/>
                <w:rFonts w:ascii="Arial" w:eastAsiaTheme="majorEastAsia" w:hAnsi="Arial" w:cs="Arial"/>
                <w:b w:val="0"/>
                <w:bCs w:val="0"/>
                <w:noProof/>
                <w:color w:val="auto"/>
                <w:sz w:val="24"/>
                <w:szCs w:val="24"/>
              </w:rPr>
              <w:t>1.1 Research Background</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_Toc230268806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10</w:t>
            </w:r>
            <w:r w:rsidR="00A72CC9" w:rsidRPr="002A77FC">
              <w:rPr>
                <w:rFonts w:ascii="Arial" w:hAnsi="Arial" w:cs="Arial"/>
                <w:b w:val="0"/>
                <w:bCs w:val="0"/>
                <w:noProof/>
                <w:webHidden/>
                <w:sz w:val="24"/>
                <w:szCs w:val="24"/>
              </w:rPr>
              <w:fldChar w:fldCharType="end"/>
            </w:r>
          </w:hyperlink>
        </w:p>
        <w:p w14:paraId="7BA72170" w14:textId="1303C756"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07" w:history="1">
            <w:r w:rsidR="00A72CC9" w:rsidRPr="002A77FC">
              <w:rPr>
                <w:rStyle w:val="Hyperlink"/>
                <w:rFonts w:ascii="Arial" w:eastAsiaTheme="majorEastAsia" w:hAnsi="Arial" w:cs="Arial"/>
                <w:b w:val="0"/>
                <w:bCs w:val="0"/>
                <w:noProof/>
                <w:color w:val="auto"/>
                <w:sz w:val="24"/>
                <w:szCs w:val="24"/>
              </w:rPr>
              <w:t>1.2 Research Rationale</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_Toc230268807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11</w:t>
            </w:r>
            <w:r w:rsidR="00A72CC9" w:rsidRPr="002A77FC">
              <w:rPr>
                <w:rFonts w:ascii="Arial" w:hAnsi="Arial" w:cs="Arial"/>
                <w:b w:val="0"/>
                <w:bCs w:val="0"/>
                <w:noProof/>
                <w:webHidden/>
                <w:sz w:val="24"/>
                <w:szCs w:val="24"/>
              </w:rPr>
              <w:fldChar w:fldCharType="end"/>
            </w:r>
          </w:hyperlink>
        </w:p>
        <w:p w14:paraId="55BABAA6" w14:textId="5B6DCF41"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08" w:history="1">
            <w:r w:rsidR="00A72CC9" w:rsidRPr="002A77FC">
              <w:rPr>
                <w:rStyle w:val="Hyperlink"/>
                <w:rFonts w:ascii="Arial" w:eastAsiaTheme="majorEastAsia" w:hAnsi="Arial" w:cs="Arial"/>
                <w:noProof/>
                <w:color w:val="auto"/>
                <w:sz w:val="24"/>
              </w:rPr>
              <w:t>1.2.1 Theoretical Justification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_Toc230268808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11</w:t>
            </w:r>
            <w:r w:rsidR="00A72CC9" w:rsidRPr="002A77FC">
              <w:rPr>
                <w:rFonts w:ascii="Arial" w:hAnsi="Arial" w:cs="Arial"/>
                <w:noProof/>
                <w:webHidden/>
                <w:sz w:val="24"/>
              </w:rPr>
              <w:fldChar w:fldCharType="end"/>
            </w:r>
          </w:hyperlink>
        </w:p>
        <w:p w14:paraId="779760F9" w14:textId="50708491"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09" w:history="1">
            <w:r w:rsidR="00A72CC9" w:rsidRPr="002A77FC">
              <w:rPr>
                <w:rStyle w:val="Hyperlink"/>
                <w:rFonts w:ascii="Arial" w:eastAsiaTheme="majorEastAsia" w:hAnsi="Arial" w:cs="Arial"/>
                <w:noProof/>
                <w:color w:val="auto"/>
                <w:sz w:val="24"/>
              </w:rPr>
              <w:t>1.2.2 Practical Justification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_Toc230268809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13</w:t>
            </w:r>
            <w:r w:rsidR="00A72CC9" w:rsidRPr="002A77FC">
              <w:rPr>
                <w:rFonts w:ascii="Arial" w:hAnsi="Arial" w:cs="Arial"/>
                <w:noProof/>
                <w:webHidden/>
                <w:sz w:val="24"/>
              </w:rPr>
              <w:fldChar w:fldCharType="end"/>
            </w:r>
          </w:hyperlink>
        </w:p>
        <w:p w14:paraId="0570152A" w14:textId="0953D802"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10" w:history="1">
            <w:r w:rsidR="00A72CC9" w:rsidRPr="002A77FC">
              <w:rPr>
                <w:rStyle w:val="Hyperlink"/>
                <w:rFonts w:ascii="Arial" w:eastAsiaTheme="majorEastAsia" w:hAnsi="Arial" w:cs="Arial"/>
                <w:b w:val="0"/>
                <w:bCs w:val="0"/>
                <w:noProof/>
                <w:color w:val="auto"/>
                <w:sz w:val="24"/>
                <w:szCs w:val="24"/>
              </w:rPr>
              <w:t>1.3 Research Contribution and Motivation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_Toc230268810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14</w:t>
            </w:r>
            <w:r w:rsidR="00A72CC9" w:rsidRPr="002A77FC">
              <w:rPr>
                <w:rFonts w:ascii="Arial" w:hAnsi="Arial" w:cs="Arial"/>
                <w:b w:val="0"/>
                <w:bCs w:val="0"/>
                <w:noProof/>
                <w:webHidden/>
                <w:sz w:val="24"/>
                <w:szCs w:val="24"/>
              </w:rPr>
              <w:fldChar w:fldCharType="end"/>
            </w:r>
          </w:hyperlink>
        </w:p>
        <w:p w14:paraId="37E8A488" w14:textId="334E106A"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11" w:history="1">
            <w:r w:rsidR="00A72CC9" w:rsidRPr="002A77FC">
              <w:rPr>
                <w:rStyle w:val="Hyperlink"/>
                <w:rFonts w:ascii="Arial" w:eastAsiaTheme="majorEastAsia" w:hAnsi="Arial" w:cs="Arial"/>
                <w:b w:val="0"/>
                <w:bCs w:val="0"/>
                <w:noProof/>
                <w:color w:val="auto"/>
                <w:sz w:val="24"/>
                <w:szCs w:val="24"/>
              </w:rPr>
              <w:t>1.4 Research Aim, Objectives, and Questions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_Toc230268811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16</w:t>
            </w:r>
            <w:r w:rsidR="00A72CC9" w:rsidRPr="002A77FC">
              <w:rPr>
                <w:rFonts w:ascii="Arial" w:hAnsi="Arial" w:cs="Arial"/>
                <w:b w:val="0"/>
                <w:bCs w:val="0"/>
                <w:noProof/>
                <w:webHidden/>
                <w:sz w:val="24"/>
                <w:szCs w:val="24"/>
              </w:rPr>
              <w:fldChar w:fldCharType="end"/>
            </w:r>
          </w:hyperlink>
        </w:p>
        <w:p w14:paraId="72FCB8B0" w14:textId="78627930"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12" w:history="1">
            <w:r w:rsidR="00A72CC9" w:rsidRPr="002A77FC">
              <w:rPr>
                <w:rStyle w:val="Hyperlink"/>
                <w:rFonts w:ascii="Arial" w:eastAsiaTheme="majorEastAsia" w:hAnsi="Arial" w:cs="Arial"/>
                <w:noProof/>
                <w:color w:val="auto"/>
                <w:sz w:val="24"/>
              </w:rPr>
              <w:t>1.4.1 Research Aim</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_Toc230268812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16</w:t>
            </w:r>
            <w:r w:rsidR="00A72CC9" w:rsidRPr="002A77FC">
              <w:rPr>
                <w:rFonts w:ascii="Arial" w:hAnsi="Arial" w:cs="Arial"/>
                <w:noProof/>
                <w:webHidden/>
                <w:sz w:val="24"/>
              </w:rPr>
              <w:fldChar w:fldCharType="end"/>
            </w:r>
          </w:hyperlink>
        </w:p>
        <w:p w14:paraId="64463C7C" w14:textId="70ACB2C4"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13" w:history="1">
            <w:r w:rsidR="00A72CC9" w:rsidRPr="002A77FC">
              <w:rPr>
                <w:rStyle w:val="Hyperlink"/>
                <w:rFonts w:ascii="Arial" w:eastAsiaTheme="majorEastAsia" w:hAnsi="Arial" w:cs="Arial"/>
                <w:noProof/>
                <w:color w:val="auto"/>
                <w:sz w:val="24"/>
              </w:rPr>
              <w:t>1.4.2 Research Objectives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_Toc230268813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16</w:t>
            </w:r>
            <w:r w:rsidR="00A72CC9" w:rsidRPr="002A77FC">
              <w:rPr>
                <w:rFonts w:ascii="Arial" w:hAnsi="Arial" w:cs="Arial"/>
                <w:noProof/>
                <w:webHidden/>
                <w:sz w:val="24"/>
              </w:rPr>
              <w:fldChar w:fldCharType="end"/>
            </w:r>
          </w:hyperlink>
        </w:p>
        <w:p w14:paraId="758B4752" w14:textId="4F0B9CD3"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14" w:history="1">
            <w:r w:rsidR="00A72CC9" w:rsidRPr="002A77FC">
              <w:rPr>
                <w:rStyle w:val="Hyperlink"/>
                <w:rFonts w:ascii="Arial" w:eastAsiaTheme="majorEastAsia" w:hAnsi="Arial" w:cs="Arial"/>
                <w:noProof/>
                <w:color w:val="auto"/>
                <w:sz w:val="24"/>
              </w:rPr>
              <w:t>1.4.3 Research Questions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_Toc230268814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16</w:t>
            </w:r>
            <w:r w:rsidR="00A72CC9" w:rsidRPr="002A77FC">
              <w:rPr>
                <w:rFonts w:ascii="Arial" w:hAnsi="Arial" w:cs="Arial"/>
                <w:noProof/>
                <w:webHidden/>
                <w:sz w:val="24"/>
              </w:rPr>
              <w:fldChar w:fldCharType="end"/>
            </w:r>
          </w:hyperlink>
        </w:p>
        <w:p w14:paraId="7B3C12AA" w14:textId="5EA6BF3D"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15" w:history="1">
            <w:r w:rsidR="00A72CC9" w:rsidRPr="002A77FC">
              <w:rPr>
                <w:rStyle w:val="Hyperlink"/>
                <w:rFonts w:ascii="Arial" w:eastAsiaTheme="majorEastAsia" w:hAnsi="Arial" w:cs="Arial"/>
                <w:b w:val="0"/>
                <w:bCs w:val="0"/>
                <w:noProof/>
                <w:color w:val="auto"/>
                <w:sz w:val="24"/>
                <w:szCs w:val="24"/>
              </w:rPr>
              <w:t>1.5 Dissertation Structure</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_Toc230268815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16</w:t>
            </w:r>
            <w:r w:rsidR="00A72CC9" w:rsidRPr="002A77FC">
              <w:rPr>
                <w:rFonts w:ascii="Arial" w:hAnsi="Arial" w:cs="Arial"/>
                <w:b w:val="0"/>
                <w:bCs w:val="0"/>
                <w:noProof/>
                <w:webHidden/>
                <w:sz w:val="24"/>
                <w:szCs w:val="24"/>
              </w:rPr>
              <w:fldChar w:fldCharType="end"/>
            </w:r>
          </w:hyperlink>
        </w:p>
        <w:p w14:paraId="4AA509F4" w14:textId="07ACF5BF"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16" w:history="1">
            <w:r w:rsidR="00A72CC9" w:rsidRPr="002A77FC">
              <w:rPr>
                <w:rStyle w:val="Hyperlink"/>
                <w:rFonts w:ascii="Arial" w:eastAsiaTheme="majorEastAsia" w:hAnsi="Arial" w:cs="Arial"/>
                <w:b w:val="0"/>
                <w:bCs w:val="0"/>
                <w:i w:val="0"/>
                <w:iCs w:val="0"/>
                <w:noProof/>
                <w:color w:val="auto"/>
                <w:szCs w:val="24"/>
              </w:rPr>
              <w:t>Chapter 2: Literature Review</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_Toc230268816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18</w:t>
            </w:r>
            <w:r w:rsidR="00A72CC9" w:rsidRPr="002A77FC">
              <w:rPr>
                <w:rFonts w:ascii="Arial" w:hAnsi="Arial" w:cs="Arial"/>
                <w:b w:val="0"/>
                <w:bCs w:val="0"/>
                <w:i w:val="0"/>
                <w:iCs w:val="0"/>
                <w:noProof/>
                <w:webHidden/>
                <w:szCs w:val="24"/>
              </w:rPr>
              <w:fldChar w:fldCharType="end"/>
            </w:r>
          </w:hyperlink>
        </w:p>
        <w:p w14:paraId="387BBBC5" w14:textId="7707792E"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17" w:history="1">
            <w:r w:rsidR="00A72CC9" w:rsidRPr="002A77FC">
              <w:rPr>
                <w:rStyle w:val="Hyperlink"/>
                <w:rFonts w:ascii="Arial" w:eastAsiaTheme="majorEastAsia" w:hAnsi="Arial" w:cs="Arial"/>
                <w:b w:val="0"/>
                <w:bCs w:val="0"/>
                <w:noProof/>
                <w:color w:val="auto"/>
                <w:sz w:val="24"/>
                <w:szCs w:val="24"/>
              </w:rPr>
              <w:t>2.1 Introduction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_Toc230268817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18</w:t>
            </w:r>
            <w:r w:rsidR="00A72CC9" w:rsidRPr="002A77FC">
              <w:rPr>
                <w:rFonts w:ascii="Arial" w:hAnsi="Arial" w:cs="Arial"/>
                <w:b w:val="0"/>
                <w:bCs w:val="0"/>
                <w:noProof/>
                <w:webHidden/>
                <w:sz w:val="24"/>
                <w:szCs w:val="24"/>
              </w:rPr>
              <w:fldChar w:fldCharType="end"/>
            </w:r>
          </w:hyperlink>
        </w:p>
        <w:p w14:paraId="7DDF3E24" w14:textId="25404969"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18" w:history="1">
            <w:r w:rsidR="00A72CC9" w:rsidRPr="002A77FC">
              <w:rPr>
                <w:rStyle w:val="Hyperlink"/>
                <w:rFonts w:ascii="Arial" w:eastAsiaTheme="majorEastAsia" w:hAnsi="Arial" w:cs="Arial"/>
                <w:b w:val="0"/>
                <w:bCs w:val="0"/>
                <w:noProof/>
                <w:color w:val="auto"/>
                <w:sz w:val="24"/>
                <w:szCs w:val="24"/>
              </w:rPr>
              <w:t>2.2 Thematic Overview of the Literature</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_Toc230268818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18</w:t>
            </w:r>
            <w:r w:rsidR="00A72CC9" w:rsidRPr="002A77FC">
              <w:rPr>
                <w:rFonts w:ascii="Arial" w:hAnsi="Arial" w:cs="Arial"/>
                <w:b w:val="0"/>
                <w:bCs w:val="0"/>
                <w:noProof/>
                <w:webHidden/>
                <w:sz w:val="24"/>
                <w:szCs w:val="24"/>
              </w:rPr>
              <w:fldChar w:fldCharType="end"/>
            </w:r>
          </w:hyperlink>
        </w:p>
        <w:p w14:paraId="785FF984" w14:textId="0B23BAD2"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19" w:history="1">
            <w:r w:rsidR="00A72CC9" w:rsidRPr="002A77FC">
              <w:rPr>
                <w:rStyle w:val="Hyperlink"/>
                <w:rFonts w:ascii="Arial" w:eastAsiaTheme="majorEastAsia" w:hAnsi="Arial" w:cs="Arial"/>
                <w:noProof/>
                <w:color w:val="auto"/>
                <w:sz w:val="24"/>
              </w:rPr>
              <w:t>2.2.1 Sustainability Communication as Strategic Practice</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_Toc230268819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18</w:t>
            </w:r>
            <w:r w:rsidR="00A72CC9" w:rsidRPr="002A77FC">
              <w:rPr>
                <w:rFonts w:ascii="Arial" w:hAnsi="Arial" w:cs="Arial"/>
                <w:noProof/>
                <w:webHidden/>
                <w:sz w:val="24"/>
              </w:rPr>
              <w:fldChar w:fldCharType="end"/>
            </w:r>
          </w:hyperlink>
        </w:p>
        <w:p w14:paraId="14F42256" w14:textId="27437D14"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20" w:history="1">
            <w:r w:rsidR="00A72CC9" w:rsidRPr="002A77FC">
              <w:rPr>
                <w:rStyle w:val="Hyperlink"/>
                <w:rFonts w:ascii="Arial" w:eastAsiaTheme="majorEastAsia" w:hAnsi="Arial" w:cs="Arial"/>
                <w:noProof/>
                <w:color w:val="auto"/>
                <w:sz w:val="24"/>
              </w:rPr>
              <w:t>2.2.2 Consumer Perception, Trust, and Scepticism</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_Toc230268820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19</w:t>
            </w:r>
            <w:r w:rsidR="00A72CC9" w:rsidRPr="002A77FC">
              <w:rPr>
                <w:rFonts w:ascii="Arial" w:hAnsi="Arial" w:cs="Arial"/>
                <w:noProof/>
                <w:webHidden/>
                <w:sz w:val="24"/>
              </w:rPr>
              <w:fldChar w:fldCharType="end"/>
            </w:r>
          </w:hyperlink>
        </w:p>
        <w:p w14:paraId="74D5E793" w14:textId="00E5F317"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21" w:history="1">
            <w:r w:rsidR="00A72CC9" w:rsidRPr="002A77FC">
              <w:rPr>
                <w:rStyle w:val="Hyperlink"/>
                <w:rFonts w:ascii="Arial" w:eastAsiaTheme="majorEastAsia" w:hAnsi="Arial" w:cs="Arial"/>
                <w:noProof/>
                <w:color w:val="auto"/>
                <w:sz w:val="24"/>
              </w:rPr>
              <w:t>2.2.3 Sustainability Communication and Brand Reputation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_Toc230268821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21</w:t>
            </w:r>
            <w:r w:rsidR="00A72CC9" w:rsidRPr="002A77FC">
              <w:rPr>
                <w:rFonts w:ascii="Arial" w:hAnsi="Arial" w:cs="Arial"/>
                <w:noProof/>
                <w:webHidden/>
                <w:sz w:val="24"/>
              </w:rPr>
              <w:fldChar w:fldCharType="end"/>
            </w:r>
          </w:hyperlink>
        </w:p>
        <w:p w14:paraId="4D21E44B" w14:textId="49E0E04C"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22" w:history="1">
            <w:r w:rsidR="00A72CC9" w:rsidRPr="002A77FC">
              <w:rPr>
                <w:rStyle w:val="Hyperlink"/>
                <w:rFonts w:ascii="Arial" w:eastAsiaTheme="majorEastAsia" w:hAnsi="Arial" w:cs="Arial"/>
                <w:noProof/>
                <w:color w:val="auto"/>
                <w:sz w:val="24"/>
              </w:rPr>
              <w:t>2.2.4 Greenwashing, Authenticity, and Strategic Risk</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_Toc230268822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22</w:t>
            </w:r>
            <w:r w:rsidR="00A72CC9" w:rsidRPr="002A77FC">
              <w:rPr>
                <w:rFonts w:ascii="Arial" w:hAnsi="Arial" w:cs="Arial"/>
                <w:noProof/>
                <w:webHidden/>
                <w:sz w:val="24"/>
              </w:rPr>
              <w:fldChar w:fldCharType="end"/>
            </w:r>
          </w:hyperlink>
        </w:p>
        <w:p w14:paraId="283FEEAF" w14:textId="32D325E2"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23" w:history="1">
            <w:r w:rsidR="00A72CC9" w:rsidRPr="002A77FC">
              <w:rPr>
                <w:rStyle w:val="Hyperlink"/>
                <w:rFonts w:ascii="Arial" w:eastAsiaTheme="majorEastAsia" w:hAnsi="Arial" w:cs="Arial"/>
                <w:noProof/>
                <w:color w:val="auto"/>
                <w:sz w:val="24"/>
              </w:rPr>
              <w:t>2.2.5 Contextual Dynamics: UK Market and Multinational Firms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_Toc230268823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23</w:t>
            </w:r>
            <w:r w:rsidR="00A72CC9" w:rsidRPr="002A77FC">
              <w:rPr>
                <w:rFonts w:ascii="Arial" w:hAnsi="Arial" w:cs="Arial"/>
                <w:noProof/>
                <w:webHidden/>
                <w:sz w:val="24"/>
              </w:rPr>
              <w:fldChar w:fldCharType="end"/>
            </w:r>
          </w:hyperlink>
        </w:p>
        <w:p w14:paraId="37B47675" w14:textId="03D2D2C3"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24" w:history="1">
            <w:r w:rsidR="00A72CC9" w:rsidRPr="002A77FC">
              <w:rPr>
                <w:rStyle w:val="Hyperlink"/>
                <w:rFonts w:ascii="Arial" w:eastAsiaTheme="majorEastAsia" w:hAnsi="Arial" w:cs="Arial"/>
                <w:b w:val="0"/>
                <w:bCs w:val="0"/>
                <w:noProof/>
                <w:color w:val="auto"/>
                <w:sz w:val="24"/>
                <w:szCs w:val="24"/>
              </w:rPr>
              <w:t>2.3 Theoretical Foundation and Contribution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_Toc230268824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24</w:t>
            </w:r>
            <w:r w:rsidR="00A72CC9" w:rsidRPr="002A77FC">
              <w:rPr>
                <w:rFonts w:ascii="Arial" w:hAnsi="Arial" w:cs="Arial"/>
                <w:b w:val="0"/>
                <w:bCs w:val="0"/>
                <w:noProof/>
                <w:webHidden/>
                <w:sz w:val="24"/>
                <w:szCs w:val="24"/>
              </w:rPr>
              <w:fldChar w:fldCharType="end"/>
            </w:r>
          </w:hyperlink>
        </w:p>
        <w:p w14:paraId="213139E7" w14:textId="3A9D602E"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25" w:history="1">
            <w:r w:rsidR="00A72CC9" w:rsidRPr="002A77FC">
              <w:rPr>
                <w:rStyle w:val="Hyperlink"/>
                <w:rFonts w:ascii="Arial" w:eastAsiaTheme="majorEastAsia" w:hAnsi="Arial" w:cs="Arial"/>
                <w:b w:val="0"/>
                <w:bCs w:val="0"/>
                <w:noProof/>
                <w:color w:val="auto"/>
                <w:sz w:val="24"/>
                <w:szCs w:val="24"/>
              </w:rPr>
              <w:t>2.4 Conceptual Framework</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_Toc230268825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25</w:t>
            </w:r>
            <w:r w:rsidR="00A72CC9" w:rsidRPr="002A77FC">
              <w:rPr>
                <w:rFonts w:ascii="Arial" w:hAnsi="Arial" w:cs="Arial"/>
                <w:b w:val="0"/>
                <w:bCs w:val="0"/>
                <w:noProof/>
                <w:webHidden/>
                <w:sz w:val="24"/>
                <w:szCs w:val="24"/>
              </w:rPr>
              <w:fldChar w:fldCharType="end"/>
            </w:r>
          </w:hyperlink>
        </w:p>
        <w:p w14:paraId="78870CC2" w14:textId="61A18941"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26" w:history="1">
            <w:r w:rsidR="00A72CC9" w:rsidRPr="002A77FC">
              <w:rPr>
                <w:rStyle w:val="Hyperlink"/>
                <w:rFonts w:ascii="Arial" w:eastAsiaTheme="majorEastAsia" w:hAnsi="Arial" w:cs="Arial"/>
                <w:b w:val="0"/>
                <w:bCs w:val="0"/>
                <w:noProof/>
                <w:color w:val="auto"/>
                <w:sz w:val="24"/>
                <w:szCs w:val="24"/>
              </w:rPr>
              <w:t>2.5 Summary Table of Key Literature</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_Toc230268826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28</w:t>
            </w:r>
            <w:r w:rsidR="00A72CC9" w:rsidRPr="002A77FC">
              <w:rPr>
                <w:rFonts w:ascii="Arial" w:hAnsi="Arial" w:cs="Arial"/>
                <w:b w:val="0"/>
                <w:bCs w:val="0"/>
                <w:noProof/>
                <w:webHidden/>
                <w:sz w:val="24"/>
                <w:szCs w:val="24"/>
              </w:rPr>
              <w:fldChar w:fldCharType="end"/>
            </w:r>
          </w:hyperlink>
        </w:p>
        <w:p w14:paraId="7001775E" w14:textId="2867796D"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27" w:history="1">
            <w:r w:rsidR="00A72CC9" w:rsidRPr="002A77FC">
              <w:rPr>
                <w:rStyle w:val="Hyperlink"/>
                <w:rFonts w:ascii="Arial" w:eastAsiaTheme="majorEastAsia" w:hAnsi="Arial" w:cs="Arial"/>
                <w:b w:val="0"/>
                <w:bCs w:val="0"/>
                <w:noProof/>
                <w:color w:val="auto"/>
                <w:sz w:val="24"/>
                <w:szCs w:val="24"/>
              </w:rPr>
              <w:t>2.6 Conclusion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_Toc230268827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30</w:t>
            </w:r>
            <w:r w:rsidR="00A72CC9" w:rsidRPr="002A77FC">
              <w:rPr>
                <w:rFonts w:ascii="Arial" w:hAnsi="Arial" w:cs="Arial"/>
                <w:b w:val="0"/>
                <w:bCs w:val="0"/>
                <w:noProof/>
                <w:webHidden/>
                <w:sz w:val="24"/>
                <w:szCs w:val="24"/>
              </w:rPr>
              <w:fldChar w:fldCharType="end"/>
            </w:r>
          </w:hyperlink>
        </w:p>
        <w:p w14:paraId="034D4BF6" w14:textId="26A4805A"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28" w:history="1">
            <w:r w:rsidR="00A72CC9" w:rsidRPr="002A77FC">
              <w:rPr>
                <w:rStyle w:val="Hyperlink"/>
                <w:rFonts w:ascii="Arial" w:eastAsiaTheme="majorEastAsia" w:hAnsi="Arial" w:cs="Arial"/>
                <w:b w:val="0"/>
                <w:bCs w:val="0"/>
                <w:i w:val="0"/>
                <w:iCs w:val="0"/>
                <w:noProof/>
                <w:color w:val="auto"/>
                <w:szCs w:val="24"/>
              </w:rPr>
              <w:t>Chapter 3: Methodology</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_Toc230268828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31</w:t>
            </w:r>
            <w:r w:rsidR="00A72CC9" w:rsidRPr="002A77FC">
              <w:rPr>
                <w:rFonts w:ascii="Arial" w:hAnsi="Arial" w:cs="Arial"/>
                <w:b w:val="0"/>
                <w:bCs w:val="0"/>
                <w:i w:val="0"/>
                <w:iCs w:val="0"/>
                <w:noProof/>
                <w:webHidden/>
                <w:szCs w:val="24"/>
              </w:rPr>
              <w:fldChar w:fldCharType="end"/>
            </w:r>
          </w:hyperlink>
        </w:p>
        <w:p w14:paraId="4767C4C1" w14:textId="4DDFA335"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29" w:history="1">
            <w:r w:rsidR="00A72CC9" w:rsidRPr="002A77FC">
              <w:rPr>
                <w:rStyle w:val="Hyperlink"/>
                <w:rFonts w:ascii="Arial" w:eastAsiaTheme="majorEastAsia" w:hAnsi="Arial" w:cs="Arial"/>
                <w:b w:val="0"/>
                <w:bCs w:val="0"/>
                <w:noProof/>
                <w:color w:val="auto"/>
                <w:sz w:val="24"/>
                <w:szCs w:val="24"/>
              </w:rPr>
              <w:t>3.1 Introduction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_Toc230268829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31</w:t>
            </w:r>
            <w:r w:rsidR="00A72CC9" w:rsidRPr="002A77FC">
              <w:rPr>
                <w:rFonts w:ascii="Arial" w:hAnsi="Arial" w:cs="Arial"/>
                <w:b w:val="0"/>
                <w:bCs w:val="0"/>
                <w:noProof/>
                <w:webHidden/>
                <w:sz w:val="24"/>
                <w:szCs w:val="24"/>
              </w:rPr>
              <w:fldChar w:fldCharType="end"/>
            </w:r>
          </w:hyperlink>
        </w:p>
        <w:p w14:paraId="72F3F648" w14:textId="0DF09642"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30" w:history="1">
            <w:r w:rsidR="00A72CC9" w:rsidRPr="002A77FC">
              <w:rPr>
                <w:rStyle w:val="Hyperlink"/>
                <w:rFonts w:ascii="Arial" w:eastAsiaTheme="majorEastAsia" w:hAnsi="Arial" w:cs="Arial"/>
                <w:b w:val="0"/>
                <w:bCs w:val="0"/>
                <w:noProof/>
                <w:color w:val="auto"/>
                <w:sz w:val="24"/>
                <w:szCs w:val="24"/>
              </w:rPr>
              <w:t>3.2 Research Philosophy, Approach, and Design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_Toc230268830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31</w:t>
            </w:r>
            <w:r w:rsidR="00A72CC9" w:rsidRPr="002A77FC">
              <w:rPr>
                <w:rFonts w:ascii="Arial" w:hAnsi="Arial" w:cs="Arial"/>
                <w:b w:val="0"/>
                <w:bCs w:val="0"/>
                <w:noProof/>
                <w:webHidden/>
                <w:sz w:val="24"/>
                <w:szCs w:val="24"/>
              </w:rPr>
              <w:fldChar w:fldCharType="end"/>
            </w:r>
          </w:hyperlink>
        </w:p>
        <w:p w14:paraId="143C14A8" w14:textId="58B8115F"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31" w:history="1">
            <w:r w:rsidR="00A72CC9" w:rsidRPr="002A77FC">
              <w:rPr>
                <w:rStyle w:val="Hyperlink"/>
                <w:rFonts w:ascii="Arial" w:eastAsiaTheme="majorEastAsia" w:hAnsi="Arial" w:cs="Arial"/>
                <w:noProof/>
                <w:color w:val="auto"/>
                <w:sz w:val="24"/>
              </w:rPr>
              <w:t>3.2.1 Research Philosophy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_Toc230268831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32</w:t>
            </w:r>
            <w:r w:rsidR="00A72CC9" w:rsidRPr="002A77FC">
              <w:rPr>
                <w:rFonts w:ascii="Arial" w:hAnsi="Arial" w:cs="Arial"/>
                <w:noProof/>
                <w:webHidden/>
                <w:sz w:val="24"/>
              </w:rPr>
              <w:fldChar w:fldCharType="end"/>
            </w:r>
          </w:hyperlink>
        </w:p>
        <w:p w14:paraId="5FF1251B" w14:textId="2DE82213"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32" w:history="1">
            <w:r w:rsidR="00A72CC9" w:rsidRPr="002A77FC">
              <w:rPr>
                <w:rStyle w:val="Hyperlink"/>
                <w:rFonts w:ascii="Arial" w:eastAsiaTheme="majorEastAsia" w:hAnsi="Arial" w:cs="Arial"/>
                <w:noProof/>
                <w:color w:val="auto"/>
                <w:sz w:val="24"/>
              </w:rPr>
              <w:t>3.2.2 Research Approach</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_Toc230268832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32</w:t>
            </w:r>
            <w:r w:rsidR="00A72CC9" w:rsidRPr="002A77FC">
              <w:rPr>
                <w:rFonts w:ascii="Arial" w:hAnsi="Arial" w:cs="Arial"/>
                <w:noProof/>
                <w:webHidden/>
                <w:sz w:val="24"/>
              </w:rPr>
              <w:fldChar w:fldCharType="end"/>
            </w:r>
          </w:hyperlink>
        </w:p>
        <w:p w14:paraId="41295FDD" w14:textId="128D1D7D"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33" w:history="1">
            <w:r w:rsidR="00A72CC9" w:rsidRPr="002A77FC">
              <w:rPr>
                <w:rStyle w:val="Hyperlink"/>
                <w:rFonts w:ascii="Arial" w:eastAsiaTheme="majorEastAsia" w:hAnsi="Arial" w:cs="Arial"/>
                <w:noProof/>
                <w:color w:val="auto"/>
                <w:sz w:val="24"/>
              </w:rPr>
              <w:t>3.2.3 Research Strategy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_Toc230268833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32</w:t>
            </w:r>
            <w:r w:rsidR="00A72CC9" w:rsidRPr="002A77FC">
              <w:rPr>
                <w:rFonts w:ascii="Arial" w:hAnsi="Arial" w:cs="Arial"/>
                <w:noProof/>
                <w:webHidden/>
                <w:sz w:val="24"/>
              </w:rPr>
              <w:fldChar w:fldCharType="end"/>
            </w:r>
          </w:hyperlink>
        </w:p>
        <w:p w14:paraId="6B4F8011" w14:textId="01393260"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34" w:history="1">
            <w:r w:rsidR="00A72CC9" w:rsidRPr="002A77FC">
              <w:rPr>
                <w:rStyle w:val="Hyperlink"/>
                <w:rFonts w:ascii="Arial" w:eastAsiaTheme="majorEastAsia" w:hAnsi="Arial" w:cs="Arial"/>
                <w:b w:val="0"/>
                <w:bCs w:val="0"/>
                <w:noProof/>
                <w:color w:val="auto"/>
                <w:sz w:val="24"/>
                <w:szCs w:val="24"/>
              </w:rPr>
              <w:t>3.3 Justification for Case Study Methodology</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_Toc230268834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33</w:t>
            </w:r>
            <w:r w:rsidR="00A72CC9" w:rsidRPr="002A77FC">
              <w:rPr>
                <w:rFonts w:ascii="Arial" w:hAnsi="Arial" w:cs="Arial"/>
                <w:b w:val="0"/>
                <w:bCs w:val="0"/>
                <w:noProof/>
                <w:webHidden/>
                <w:sz w:val="24"/>
                <w:szCs w:val="24"/>
              </w:rPr>
              <w:fldChar w:fldCharType="end"/>
            </w:r>
          </w:hyperlink>
        </w:p>
        <w:p w14:paraId="63F103C2" w14:textId="470DD738"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35" w:history="1">
            <w:r w:rsidR="00A72CC9" w:rsidRPr="002A77FC">
              <w:rPr>
                <w:rStyle w:val="Hyperlink"/>
                <w:rFonts w:ascii="Arial" w:eastAsiaTheme="majorEastAsia" w:hAnsi="Arial" w:cs="Arial"/>
                <w:b w:val="0"/>
                <w:bCs w:val="0"/>
                <w:noProof/>
                <w:color w:val="auto"/>
                <w:sz w:val="24"/>
                <w:szCs w:val="24"/>
              </w:rPr>
              <w:t>3.4 Case Selection and Sampling Strategy</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_Toc230268835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33</w:t>
            </w:r>
            <w:r w:rsidR="00A72CC9" w:rsidRPr="002A77FC">
              <w:rPr>
                <w:rFonts w:ascii="Arial" w:hAnsi="Arial" w:cs="Arial"/>
                <w:b w:val="0"/>
                <w:bCs w:val="0"/>
                <w:noProof/>
                <w:webHidden/>
                <w:sz w:val="24"/>
                <w:szCs w:val="24"/>
              </w:rPr>
              <w:fldChar w:fldCharType="end"/>
            </w:r>
          </w:hyperlink>
        </w:p>
        <w:p w14:paraId="302A25C9" w14:textId="71B80208"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36" w:history="1">
            <w:r w:rsidR="00A72CC9" w:rsidRPr="002A77FC">
              <w:rPr>
                <w:rStyle w:val="Hyperlink"/>
                <w:rFonts w:ascii="Arial" w:eastAsiaTheme="majorEastAsia" w:hAnsi="Arial" w:cs="Arial"/>
                <w:b w:val="0"/>
                <w:bCs w:val="0"/>
                <w:noProof/>
                <w:color w:val="auto"/>
                <w:sz w:val="24"/>
                <w:szCs w:val="24"/>
              </w:rPr>
              <w:t>3.5 Data Sources and Data Collection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_Toc230268836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34</w:t>
            </w:r>
            <w:r w:rsidR="00A72CC9" w:rsidRPr="002A77FC">
              <w:rPr>
                <w:rFonts w:ascii="Arial" w:hAnsi="Arial" w:cs="Arial"/>
                <w:b w:val="0"/>
                <w:bCs w:val="0"/>
                <w:noProof/>
                <w:webHidden/>
                <w:sz w:val="24"/>
                <w:szCs w:val="24"/>
              </w:rPr>
              <w:fldChar w:fldCharType="end"/>
            </w:r>
          </w:hyperlink>
        </w:p>
        <w:p w14:paraId="5BF8509B" w14:textId="47036CAE"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37" w:history="1">
            <w:r w:rsidR="00A72CC9" w:rsidRPr="002A77FC">
              <w:rPr>
                <w:rStyle w:val="Hyperlink"/>
                <w:rFonts w:ascii="Arial" w:eastAsiaTheme="majorEastAsia" w:hAnsi="Arial" w:cs="Arial"/>
                <w:noProof/>
                <w:color w:val="auto"/>
                <w:sz w:val="24"/>
              </w:rPr>
              <w:t>3.5.1 Types of Data Sources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_Toc230268837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34</w:t>
            </w:r>
            <w:r w:rsidR="00A72CC9" w:rsidRPr="002A77FC">
              <w:rPr>
                <w:rFonts w:ascii="Arial" w:hAnsi="Arial" w:cs="Arial"/>
                <w:noProof/>
                <w:webHidden/>
                <w:sz w:val="24"/>
              </w:rPr>
              <w:fldChar w:fldCharType="end"/>
            </w:r>
          </w:hyperlink>
        </w:p>
        <w:p w14:paraId="60393A2D" w14:textId="536834DA"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38" w:history="1">
            <w:r w:rsidR="00A72CC9" w:rsidRPr="002A77FC">
              <w:rPr>
                <w:rStyle w:val="Hyperlink"/>
                <w:rFonts w:ascii="Arial" w:eastAsiaTheme="majorEastAsia" w:hAnsi="Arial" w:cs="Arial"/>
                <w:noProof/>
                <w:color w:val="auto"/>
                <w:sz w:val="24"/>
              </w:rPr>
              <w:t>3.5.2 Data Collection Process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_Toc230268838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35</w:t>
            </w:r>
            <w:r w:rsidR="00A72CC9" w:rsidRPr="002A77FC">
              <w:rPr>
                <w:rFonts w:ascii="Arial" w:hAnsi="Arial" w:cs="Arial"/>
                <w:noProof/>
                <w:webHidden/>
                <w:sz w:val="24"/>
              </w:rPr>
              <w:fldChar w:fldCharType="end"/>
            </w:r>
          </w:hyperlink>
        </w:p>
        <w:p w14:paraId="0E79B175" w14:textId="2AC5FA29"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39" w:history="1">
            <w:r w:rsidR="00A72CC9" w:rsidRPr="002A77FC">
              <w:rPr>
                <w:rStyle w:val="Hyperlink"/>
                <w:rFonts w:ascii="Arial" w:eastAsiaTheme="majorEastAsia" w:hAnsi="Arial" w:cs="Arial"/>
                <w:b w:val="0"/>
                <w:bCs w:val="0"/>
                <w:noProof/>
                <w:color w:val="auto"/>
                <w:sz w:val="24"/>
                <w:szCs w:val="24"/>
              </w:rPr>
              <w:t>3.6 Data Analysis Approach</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_Toc230268839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35</w:t>
            </w:r>
            <w:r w:rsidR="00A72CC9" w:rsidRPr="002A77FC">
              <w:rPr>
                <w:rFonts w:ascii="Arial" w:hAnsi="Arial" w:cs="Arial"/>
                <w:b w:val="0"/>
                <w:bCs w:val="0"/>
                <w:noProof/>
                <w:webHidden/>
                <w:sz w:val="24"/>
                <w:szCs w:val="24"/>
              </w:rPr>
              <w:fldChar w:fldCharType="end"/>
            </w:r>
          </w:hyperlink>
        </w:p>
        <w:p w14:paraId="6D999890" w14:textId="04F6BB63"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40" w:history="1">
            <w:r w:rsidR="00A72CC9" w:rsidRPr="002A77FC">
              <w:rPr>
                <w:rStyle w:val="Hyperlink"/>
                <w:rFonts w:ascii="Arial" w:eastAsiaTheme="majorEastAsia" w:hAnsi="Arial" w:cs="Arial"/>
                <w:noProof/>
                <w:color w:val="auto"/>
                <w:sz w:val="24"/>
              </w:rPr>
              <w:t>3.6.1 Analysis Framework</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_Toc230268840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35</w:t>
            </w:r>
            <w:r w:rsidR="00A72CC9" w:rsidRPr="002A77FC">
              <w:rPr>
                <w:rFonts w:ascii="Arial" w:hAnsi="Arial" w:cs="Arial"/>
                <w:noProof/>
                <w:webHidden/>
                <w:sz w:val="24"/>
              </w:rPr>
              <w:fldChar w:fldCharType="end"/>
            </w:r>
          </w:hyperlink>
        </w:p>
        <w:p w14:paraId="387EBBF5" w14:textId="5EB6C170"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41" w:history="1">
            <w:r w:rsidR="00A72CC9" w:rsidRPr="002A77FC">
              <w:rPr>
                <w:rStyle w:val="Hyperlink"/>
                <w:rFonts w:ascii="Arial" w:eastAsiaTheme="majorEastAsia" w:hAnsi="Arial" w:cs="Arial"/>
                <w:noProof/>
                <w:color w:val="auto"/>
                <w:sz w:val="24"/>
              </w:rPr>
              <w:t>3.6.2 Within-Case Analysis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_Toc230268841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35</w:t>
            </w:r>
            <w:r w:rsidR="00A72CC9" w:rsidRPr="002A77FC">
              <w:rPr>
                <w:rFonts w:ascii="Arial" w:hAnsi="Arial" w:cs="Arial"/>
                <w:noProof/>
                <w:webHidden/>
                <w:sz w:val="24"/>
              </w:rPr>
              <w:fldChar w:fldCharType="end"/>
            </w:r>
          </w:hyperlink>
        </w:p>
        <w:p w14:paraId="70FD7234" w14:textId="5153B95E"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42" w:history="1">
            <w:r w:rsidR="00A72CC9" w:rsidRPr="002A77FC">
              <w:rPr>
                <w:rStyle w:val="Hyperlink"/>
                <w:rFonts w:ascii="Arial" w:eastAsiaTheme="majorEastAsia" w:hAnsi="Arial" w:cs="Arial"/>
                <w:noProof/>
                <w:color w:val="auto"/>
                <w:sz w:val="24"/>
              </w:rPr>
              <w:t>3.6.3 Cross-Analysis Logic</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_Toc230268842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36</w:t>
            </w:r>
            <w:r w:rsidR="00A72CC9" w:rsidRPr="002A77FC">
              <w:rPr>
                <w:rFonts w:ascii="Arial" w:hAnsi="Arial" w:cs="Arial"/>
                <w:noProof/>
                <w:webHidden/>
                <w:sz w:val="24"/>
              </w:rPr>
              <w:fldChar w:fldCharType="end"/>
            </w:r>
          </w:hyperlink>
        </w:p>
        <w:p w14:paraId="46132AAE" w14:textId="5C16EE54"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43" w:history="1">
            <w:r w:rsidR="00A72CC9" w:rsidRPr="002A77FC">
              <w:rPr>
                <w:rStyle w:val="Hyperlink"/>
                <w:rFonts w:ascii="Arial" w:eastAsiaTheme="majorEastAsia" w:hAnsi="Arial" w:cs="Arial"/>
                <w:b w:val="0"/>
                <w:bCs w:val="0"/>
                <w:noProof/>
                <w:color w:val="auto"/>
                <w:sz w:val="24"/>
                <w:szCs w:val="24"/>
              </w:rPr>
              <w:t>3.7 Research Quality and Rigour</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_Toc230268843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36</w:t>
            </w:r>
            <w:r w:rsidR="00A72CC9" w:rsidRPr="002A77FC">
              <w:rPr>
                <w:rFonts w:ascii="Arial" w:hAnsi="Arial" w:cs="Arial"/>
                <w:b w:val="0"/>
                <w:bCs w:val="0"/>
                <w:noProof/>
                <w:webHidden/>
                <w:sz w:val="24"/>
                <w:szCs w:val="24"/>
              </w:rPr>
              <w:fldChar w:fldCharType="end"/>
            </w:r>
          </w:hyperlink>
        </w:p>
        <w:p w14:paraId="68591D5D" w14:textId="5157837D"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44" w:history="1">
            <w:r w:rsidR="00A72CC9" w:rsidRPr="002A77FC">
              <w:rPr>
                <w:rStyle w:val="Hyperlink"/>
                <w:rFonts w:ascii="Arial" w:eastAsiaTheme="majorEastAsia" w:hAnsi="Arial" w:cs="Arial"/>
                <w:b w:val="0"/>
                <w:bCs w:val="0"/>
                <w:noProof/>
                <w:color w:val="auto"/>
                <w:sz w:val="24"/>
                <w:szCs w:val="24"/>
              </w:rPr>
              <w:t>3.8 Ethical Considerations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_Toc230268844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37</w:t>
            </w:r>
            <w:r w:rsidR="00A72CC9" w:rsidRPr="002A77FC">
              <w:rPr>
                <w:rFonts w:ascii="Arial" w:hAnsi="Arial" w:cs="Arial"/>
                <w:b w:val="0"/>
                <w:bCs w:val="0"/>
                <w:noProof/>
                <w:webHidden/>
                <w:sz w:val="24"/>
                <w:szCs w:val="24"/>
              </w:rPr>
              <w:fldChar w:fldCharType="end"/>
            </w:r>
          </w:hyperlink>
        </w:p>
        <w:p w14:paraId="3DC875EA" w14:textId="1590D18E"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45" w:history="1">
            <w:r w:rsidR="00A72CC9" w:rsidRPr="002A77FC">
              <w:rPr>
                <w:rStyle w:val="Hyperlink"/>
                <w:rFonts w:ascii="Arial" w:eastAsiaTheme="majorEastAsia" w:hAnsi="Arial" w:cs="Arial"/>
                <w:b w:val="0"/>
                <w:bCs w:val="0"/>
                <w:noProof/>
                <w:color w:val="auto"/>
                <w:sz w:val="24"/>
                <w:szCs w:val="24"/>
              </w:rPr>
              <w:t>3.9 Chapter Summary</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_Toc230268845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37</w:t>
            </w:r>
            <w:r w:rsidR="00A72CC9" w:rsidRPr="002A77FC">
              <w:rPr>
                <w:rFonts w:ascii="Arial" w:hAnsi="Arial" w:cs="Arial"/>
                <w:b w:val="0"/>
                <w:bCs w:val="0"/>
                <w:noProof/>
                <w:webHidden/>
                <w:sz w:val="24"/>
                <w:szCs w:val="24"/>
              </w:rPr>
              <w:fldChar w:fldCharType="end"/>
            </w:r>
          </w:hyperlink>
        </w:p>
        <w:p w14:paraId="4E6078E2" w14:textId="2DF33D6D"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46" w:history="1">
            <w:r w:rsidR="00A72CC9" w:rsidRPr="002A77FC">
              <w:rPr>
                <w:rStyle w:val="Hyperlink"/>
                <w:rFonts w:ascii="Arial" w:eastAsiaTheme="majorEastAsia" w:hAnsi="Arial" w:cs="Arial"/>
                <w:b w:val="0"/>
                <w:bCs w:val="0"/>
                <w:i w:val="0"/>
                <w:iCs w:val="0"/>
                <w:noProof/>
                <w:color w:val="auto"/>
                <w:szCs w:val="24"/>
              </w:rPr>
              <w:t>Chapter 4: Findings</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_Toc230268846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39</w:t>
            </w:r>
            <w:r w:rsidR="00A72CC9" w:rsidRPr="002A77FC">
              <w:rPr>
                <w:rFonts w:ascii="Arial" w:hAnsi="Arial" w:cs="Arial"/>
                <w:b w:val="0"/>
                <w:bCs w:val="0"/>
                <w:i w:val="0"/>
                <w:iCs w:val="0"/>
                <w:noProof/>
                <w:webHidden/>
                <w:szCs w:val="24"/>
              </w:rPr>
              <w:fldChar w:fldCharType="end"/>
            </w:r>
          </w:hyperlink>
        </w:p>
        <w:p w14:paraId="660A5F00" w14:textId="2FA98941"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47" w:history="1">
            <w:r w:rsidR="00A72CC9" w:rsidRPr="002A77FC">
              <w:rPr>
                <w:rStyle w:val="Hyperlink"/>
                <w:rFonts w:ascii="Arial" w:eastAsiaTheme="majorEastAsia" w:hAnsi="Arial" w:cs="Arial"/>
                <w:b w:val="0"/>
                <w:bCs w:val="0"/>
                <w:noProof/>
                <w:color w:val="auto"/>
                <w:sz w:val="24"/>
                <w:szCs w:val="24"/>
              </w:rPr>
              <w:t>4.1 Introduction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_Toc230268847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39</w:t>
            </w:r>
            <w:r w:rsidR="00A72CC9" w:rsidRPr="002A77FC">
              <w:rPr>
                <w:rFonts w:ascii="Arial" w:hAnsi="Arial" w:cs="Arial"/>
                <w:b w:val="0"/>
                <w:bCs w:val="0"/>
                <w:noProof/>
                <w:webHidden/>
                <w:sz w:val="24"/>
                <w:szCs w:val="24"/>
              </w:rPr>
              <w:fldChar w:fldCharType="end"/>
            </w:r>
          </w:hyperlink>
        </w:p>
        <w:p w14:paraId="36EB683B" w14:textId="18923AE2"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48" w:history="1">
            <w:r w:rsidR="00A72CC9" w:rsidRPr="002A77FC">
              <w:rPr>
                <w:rStyle w:val="Hyperlink"/>
                <w:rFonts w:ascii="Arial" w:eastAsiaTheme="majorEastAsia" w:hAnsi="Arial" w:cs="Arial"/>
                <w:b w:val="0"/>
                <w:bCs w:val="0"/>
                <w:noProof/>
                <w:color w:val="auto"/>
                <w:sz w:val="24"/>
                <w:szCs w:val="24"/>
              </w:rPr>
              <w:t>4.2 Case Study 1: Unilever UK</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_Toc230268848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39</w:t>
            </w:r>
            <w:r w:rsidR="00A72CC9" w:rsidRPr="002A77FC">
              <w:rPr>
                <w:rFonts w:ascii="Arial" w:hAnsi="Arial" w:cs="Arial"/>
                <w:b w:val="0"/>
                <w:bCs w:val="0"/>
                <w:noProof/>
                <w:webHidden/>
                <w:sz w:val="24"/>
                <w:szCs w:val="24"/>
              </w:rPr>
              <w:fldChar w:fldCharType="end"/>
            </w:r>
          </w:hyperlink>
        </w:p>
        <w:p w14:paraId="000A6220" w14:textId="7A593FD0"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49" w:history="1">
            <w:r w:rsidR="00A72CC9" w:rsidRPr="002A77FC">
              <w:rPr>
                <w:rStyle w:val="Hyperlink"/>
                <w:rFonts w:ascii="Arial" w:eastAsiaTheme="majorEastAsia" w:hAnsi="Arial" w:cs="Arial"/>
                <w:noProof/>
                <w:color w:val="auto"/>
                <w:sz w:val="24"/>
              </w:rPr>
              <w:t>4.2.1 Introduction and Background</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_Toc230268849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39</w:t>
            </w:r>
            <w:r w:rsidR="00A72CC9" w:rsidRPr="002A77FC">
              <w:rPr>
                <w:rFonts w:ascii="Arial" w:hAnsi="Arial" w:cs="Arial"/>
                <w:noProof/>
                <w:webHidden/>
                <w:sz w:val="24"/>
              </w:rPr>
              <w:fldChar w:fldCharType="end"/>
            </w:r>
          </w:hyperlink>
        </w:p>
        <w:p w14:paraId="29630C11" w14:textId="5AB8E6FE"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0" w:history="1">
            <w:r w:rsidR="00A72CC9" w:rsidRPr="002A77FC">
              <w:rPr>
                <w:rStyle w:val="Hyperlink"/>
                <w:rFonts w:ascii="Arial" w:eastAsiaTheme="majorEastAsia" w:hAnsi="Arial" w:cs="Arial"/>
                <w:noProof/>
                <w:color w:val="auto"/>
                <w:sz w:val="24"/>
              </w:rPr>
              <w:t>4.2.2 The Challenge or Opportunity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_Toc230268850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39</w:t>
            </w:r>
            <w:r w:rsidR="00A72CC9" w:rsidRPr="002A77FC">
              <w:rPr>
                <w:rFonts w:ascii="Arial" w:hAnsi="Arial" w:cs="Arial"/>
                <w:noProof/>
                <w:webHidden/>
                <w:sz w:val="24"/>
              </w:rPr>
              <w:fldChar w:fldCharType="end"/>
            </w:r>
          </w:hyperlink>
        </w:p>
        <w:p w14:paraId="57D2A29F" w14:textId="7D544718"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1" w:history="1">
            <w:r w:rsidR="00A72CC9" w:rsidRPr="002A77FC">
              <w:rPr>
                <w:rStyle w:val="Hyperlink"/>
                <w:rFonts w:ascii="Arial" w:eastAsiaTheme="majorEastAsia" w:hAnsi="Arial" w:cs="Arial"/>
                <w:noProof/>
                <w:color w:val="auto"/>
                <w:sz w:val="24"/>
              </w:rPr>
              <w:t>4.2.3 The Approach and Implementation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40</w:t>
            </w:r>
            <w:r w:rsidR="00A72CC9" w:rsidRPr="002A77FC">
              <w:rPr>
                <w:rFonts w:ascii="Arial" w:hAnsi="Arial" w:cs="Arial"/>
                <w:noProof/>
                <w:webHidden/>
                <w:sz w:val="24"/>
              </w:rPr>
              <w:fldChar w:fldCharType="end"/>
            </w:r>
          </w:hyperlink>
        </w:p>
        <w:p w14:paraId="46B588F3" w14:textId="1FE0F433"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2" w:history="1">
            <w:r w:rsidR="00A72CC9" w:rsidRPr="002A77FC">
              <w:rPr>
                <w:rStyle w:val="Hyperlink"/>
                <w:rFonts w:ascii="Arial" w:eastAsiaTheme="majorEastAsia" w:hAnsi="Arial" w:cs="Arial"/>
                <w:noProof/>
                <w:color w:val="auto"/>
                <w:sz w:val="24"/>
              </w:rPr>
              <w:t>4.2.4 Outcomes and Results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40</w:t>
            </w:r>
            <w:r w:rsidR="00A72CC9" w:rsidRPr="002A77FC">
              <w:rPr>
                <w:rFonts w:ascii="Arial" w:hAnsi="Arial" w:cs="Arial"/>
                <w:noProof/>
                <w:webHidden/>
                <w:sz w:val="24"/>
              </w:rPr>
              <w:fldChar w:fldCharType="end"/>
            </w:r>
          </w:hyperlink>
        </w:p>
        <w:p w14:paraId="3D53AE4A" w14:textId="31A2541E"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53" w:history="1">
            <w:r w:rsidR="00A72CC9" w:rsidRPr="002A77FC">
              <w:rPr>
                <w:rStyle w:val="Hyperlink"/>
                <w:rFonts w:ascii="Arial" w:eastAsiaTheme="majorEastAsia" w:hAnsi="Arial" w:cs="Arial"/>
                <w:b w:val="0"/>
                <w:bCs w:val="0"/>
                <w:noProof/>
                <w:color w:val="auto"/>
                <w:sz w:val="24"/>
                <w:szCs w:val="24"/>
              </w:rPr>
              <w:t>4.3 Case Study 2: Procter &amp; Gamble UK</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_Toc230268853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40</w:t>
            </w:r>
            <w:r w:rsidR="00A72CC9" w:rsidRPr="002A77FC">
              <w:rPr>
                <w:rFonts w:ascii="Arial" w:hAnsi="Arial" w:cs="Arial"/>
                <w:b w:val="0"/>
                <w:bCs w:val="0"/>
                <w:noProof/>
                <w:webHidden/>
                <w:sz w:val="24"/>
                <w:szCs w:val="24"/>
              </w:rPr>
              <w:fldChar w:fldCharType="end"/>
            </w:r>
          </w:hyperlink>
        </w:p>
        <w:p w14:paraId="4E5228D2" w14:textId="78A2BEA5"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4" w:history="1">
            <w:r w:rsidR="00A72CC9" w:rsidRPr="002A77FC">
              <w:rPr>
                <w:rStyle w:val="Hyperlink"/>
                <w:rFonts w:ascii="Arial" w:eastAsiaTheme="majorEastAsia" w:hAnsi="Arial" w:cs="Arial"/>
                <w:noProof/>
                <w:color w:val="auto"/>
                <w:sz w:val="24"/>
              </w:rPr>
              <w:t>4.3.1 Introduction and Background</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_Toc230268854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40</w:t>
            </w:r>
            <w:r w:rsidR="00A72CC9" w:rsidRPr="002A77FC">
              <w:rPr>
                <w:rFonts w:ascii="Arial" w:hAnsi="Arial" w:cs="Arial"/>
                <w:noProof/>
                <w:webHidden/>
                <w:sz w:val="24"/>
              </w:rPr>
              <w:fldChar w:fldCharType="end"/>
            </w:r>
          </w:hyperlink>
        </w:p>
        <w:p w14:paraId="40F4D542" w14:textId="47D218B8"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5" w:history="1">
            <w:r w:rsidR="00A72CC9" w:rsidRPr="002A77FC">
              <w:rPr>
                <w:rStyle w:val="Hyperlink"/>
                <w:rFonts w:ascii="Arial" w:eastAsiaTheme="majorEastAsia" w:hAnsi="Arial" w:cs="Arial"/>
                <w:noProof/>
                <w:color w:val="auto"/>
                <w:sz w:val="24"/>
              </w:rPr>
              <w:t>4.3.2 The Challenge or Opportunity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_Toc230268855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41</w:t>
            </w:r>
            <w:r w:rsidR="00A72CC9" w:rsidRPr="002A77FC">
              <w:rPr>
                <w:rFonts w:ascii="Arial" w:hAnsi="Arial" w:cs="Arial"/>
                <w:noProof/>
                <w:webHidden/>
                <w:sz w:val="24"/>
              </w:rPr>
              <w:fldChar w:fldCharType="end"/>
            </w:r>
          </w:hyperlink>
        </w:p>
        <w:p w14:paraId="0BA61E12" w14:textId="5B3A81BF"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6" w:history="1">
            <w:r w:rsidR="00A72CC9" w:rsidRPr="002A77FC">
              <w:rPr>
                <w:rStyle w:val="Hyperlink"/>
                <w:rFonts w:ascii="Arial" w:eastAsiaTheme="majorEastAsia" w:hAnsi="Arial" w:cs="Arial"/>
                <w:noProof/>
                <w:color w:val="auto"/>
                <w:sz w:val="24"/>
              </w:rPr>
              <w:t>4.3.3 The Approach and Implementation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_Toc230268856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41</w:t>
            </w:r>
            <w:r w:rsidR="00A72CC9" w:rsidRPr="002A77FC">
              <w:rPr>
                <w:rFonts w:ascii="Arial" w:hAnsi="Arial" w:cs="Arial"/>
                <w:noProof/>
                <w:webHidden/>
                <w:sz w:val="24"/>
              </w:rPr>
              <w:fldChar w:fldCharType="end"/>
            </w:r>
          </w:hyperlink>
        </w:p>
        <w:p w14:paraId="7EDC4AE3" w14:textId="346114F2"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7" w:history="1">
            <w:r w:rsidR="00A72CC9" w:rsidRPr="002A77FC">
              <w:rPr>
                <w:rStyle w:val="Hyperlink"/>
                <w:rFonts w:ascii="Arial" w:eastAsiaTheme="majorEastAsia" w:hAnsi="Arial" w:cs="Arial"/>
                <w:noProof/>
                <w:color w:val="auto"/>
                <w:sz w:val="24"/>
              </w:rPr>
              <w:t>4.3.4 Outcomes and Results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_Toc230268857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41</w:t>
            </w:r>
            <w:r w:rsidR="00A72CC9" w:rsidRPr="002A77FC">
              <w:rPr>
                <w:rFonts w:ascii="Arial" w:hAnsi="Arial" w:cs="Arial"/>
                <w:noProof/>
                <w:webHidden/>
                <w:sz w:val="24"/>
              </w:rPr>
              <w:fldChar w:fldCharType="end"/>
            </w:r>
          </w:hyperlink>
        </w:p>
        <w:p w14:paraId="6431E910" w14:textId="19E8DC3A"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58" w:history="1">
            <w:r w:rsidR="00A72CC9" w:rsidRPr="002A77FC">
              <w:rPr>
                <w:rStyle w:val="Hyperlink"/>
                <w:rFonts w:ascii="Arial" w:eastAsiaTheme="majorEastAsia" w:hAnsi="Arial" w:cs="Arial"/>
                <w:b w:val="0"/>
                <w:bCs w:val="0"/>
                <w:noProof/>
                <w:color w:val="auto"/>
                <w:sz w:val="24"/>
                <w:szCs w:val="24"/>
              </w:rPr>
              <w:t>4.4 Case Study 3: Nestlé UK</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_Toc230268858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42</w:t>
            </w:r>
            <w:r w:rsidR="00A72CC9" w:rsidRPr="002A77FC">
              <w:rPr>
                <w:rFonts w:ascii="Arial" w:hAnsi="Arial" w:cs="Arial"/>
                <w:b w:val="0"/>
                <w:bCs w:val="0"/>
                <w:noProof/>
                <w:webHidden/>
                <w:sz w:val="24"/>
                <w:szCs w:val="24"/>
              </w:rPr>
              <w:fldChar w:fldCharType="end"/>
            </w:r>
          </w:hyperlink>
        </w:p>
        <w:p w14:paraId="69C6FBBA" w14:textId="664E8EC2"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59" w:history="1">
            <w:r w:rsidR="00A72CC9" w:rsidRPr="002A77FC">
              <w:rPr>
                <w:rStyle w:val="Hyperlink"/>
                <w:rFonts w:ascii="Arial" w:eastAsiaTheme="majorEastAsia" w:hAnsi="Arial" w:cs="Arial"/>
                <w:noProof/>
                <w:color w:val="auto"/>
                <w:sz w:val="24"/>
              </w:rPr>
              <w:t>4.4.1 Introduction and Background</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_Toc230268859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42</w:t>
            </w:r>
            <w:r w:rsidR="00A72CC9" w:rsidRPr="002A77FC">
              <w:rPr>
                <w:rFonts w:ascii="Arial" w:hAnsi="Arial" w:cs="Arial"/>
                <w:noProof/>
                <w:webHidden/>
                <w:sz w:val="24"/>
              </w:rPr>
              <w:fldChar w:fldCharType="end"/>
            </w:r>
          </w:hyperlink>
        </w:p>
        <w:p w14:paraId="11B40483" w14:textId="5FC3939B"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0" w:history="1">
            <w:r w:rsidR="00A72CC9" w:rsidRPr="002A77FC">
              <w:rPr>
                <w:rStyle w:val="Hyperlink"/>
                <w:rFonts w:ascii="Arial" w:eastAsiaTheme="majorEastAsia" w:hAnsi="Arial" w:cs="Arial"/>
                <w:noProof/>
                <w:color w:val="auto"/>
                <w:sz w:val="24"/>
              </w:rPr>
              <w:t>4.4.2 The Challenge or Opportunity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_Toc230268860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42</w:t>
            </w:r>
            <w:r w:rsidR="00A72CC9" w:rsidRPr="002A77FC">
              <w:rPr>
                <w:rFonts w:ascii="Arial" w:hAnsi="Arial" w:cs="Arial"/>
                <w:noProof/>
                <w:webHidden/>
                <w:sz w:val="24"/>
              </w:rPr>
              <w:fldChar w:fldCharType="end"/>
            </w:r>
          </w:hyperlink>
        </w:p>
        <w:p w14:paraId="421DC552" w14:textId="128780C4"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1" w:history="1">
            <w:r w:rsidR="00A72CC9" w:rsidRPr="002A77FC">
              <w:rPr>
                <w:rStyle w:val="Hyperlink"/>
                <w:rFonts w:ascii="Arial" w:eastAsiaTheme="majorEastAsia" w:hAnsi="Arial" w:cs="Arial"/>
                <w:noProof/>
                <w:color w:val="auto"/>
                <w:sz w:val="24"/>
              </w:rPr>
              <w:t>4.4.3 The Approach and Implementation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42</w:t>
            </w:r>
            <w:r w:rsidR="00A72CC9" w:rsidRPr="002A77FC">
              <w:rPr>
                <w:rFonts w:ascii="Arial" w:hAnsi="Arial" w:cs="Arial"/>
                <w:noProof/>
                <w:webHidden/>
                <w:sz w:val="24"/>
              </w:rPr>
              <w:fldChar w:fldCharType="end"/>
            </w:r>
          </w:hyperlink>
        </w:p>
        <w:p w14:paraId="0B27A951" w14:textId="65DC504C"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2" w:history="1">
            <w:r w:rsidR="00A72CC9" w:rsidRPr="002A77FC">
              <w:rPr>
                <w:rStyle w:val="Hyperlink"/>
                <w:rFonts w:ascii="Arial" w:eastAsiaTheme="majorEastAsia" w:hAnsi="Arial" w:cs="Arial"/>
                <w:noProof/>
                <w:color w:val="auto"/>
                <w:sz w:val="24"/>
              </w:rPr>
              <w:t>4.4.4 Outcomes and Results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42</w:t>
            </w:r>
            <w:r w:rsidR="00A72CC9" w:rsidRPr="002A77FC">
              <w:rPr>
                <w:rFonts w:ascii="Arial" w:hAnsi="Arial" w:cs="Arial"/>
                <w:noProof/>
                <w:webHidden/>
                <w:sz w:val="24"/>
              </w:rPr>
              <w:fldChar w:fldCharType="end"/>
            </w:r>
          </w:hyperlink>
        </w:p>
        <w:p w14:paraId="0B9749B1" w14:textId="4E9338E9"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63" w:history="1">
            <w:r w:rsidR="00A72CC9" w:rsidRPr="002A77FC">
              <w:rPr>
                <w:rStyle w:val="Hyperlink"/>
                <w:rFonts w:ascii="Arial" w:eastAsiaTheme="majorEastAsia" w:hAnsi="Arial" w:cs="Arial"/>
                <w:b w:val="0"/>
                <w:bCs w:val="0"/>
                <w:noProof/>
                <w:color w:val="auto"/>
                <w:sz w:val="24"/>
                <w:szCs w:val="24"/>
              </w:rPr>
              <w:t>4.5 Case Study 4: Reckitt UK</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_Toc230268863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43</w:t>
            </w:r>
            <w:r w:rsidR="00A72CC9" w:rsidRPr="002A77FC">
              <w:rPr>
                <w:rFonts w:ascii="Arial" w:hAnsi="Arial" w:cs="Arial"/>
                <w:b w:val="0"/>
                <w:bCs w:val="0"/>
                <w:noProof/>
                <w:webHidden/>
                <w:sz w:val="24"/>
                <w:szCs w:val="24"/>
              </w:rPr>
              <w:fldChar w:fldCharType="end"/>
            </w:r>
          </w:hyperlink>
        </w:p>
        <w:p w14:paraId="45F2C6CB" w14:textId="762C87D1"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4" w:history="1">
            <w:r w:rsidR="00A72CC9" w:rsidRPr="002A77FC">
              <w:rPr>
                <w:rStyle w:val="Hyperlink"/>
                <w:rFonts w:ascii="Arial" w:eastAsiaTheme="majorEastAsia" w:hAnsi="Arial" w:cs="Arial"/>
                <w:noProof/>
                <w:color w:val="auto"/>
                <w:sz w:val="24"/>
              </w:rPr>
              <w:t>4.5.1 Introduction and Background</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_Toc230268864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43</w:t>
            </w:r>
            <w:r w:rsidR="00A72CC9" w:rsidRPr="002A77FC">
              <w:rPr>
                <w:rFonts w:ascii="Arial" w:hAnsi="Arial" w:cs="Arial"/>
                <w:noProof/>
                <w:webHidden/>
                <w:sz w:val="24"/>
              </w:rPr>
              <w:fldChar w:fldCharType="end"/>
            </w:r>
          </w:hyperlink>
        </w:p>
        <w:p w14:paraId="0DC13C21" w14:textId="2F3A4C0A"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5" w:history="1">
            <w:r w:rsidR="00A72CC9" w:rsidRPr="002A77FC">
              <w:rPr>
                <w:rStyle w:val="Hyperlink"/>
                <w:rFonts w:ascii="Arial" w:eastAsiaTheme="majorEastAsia" w:hAnsi="Arial" w:cs="Arial"/>
                <w:noProof/>
                <w:color w:val="auto"/>
                <w:sz w:val="24"/>
              </w:rPr>
              <w:t>4.5.2 The Challenge or Opportunity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_Toc230268865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43</w:t>
            </w:r>
            <w:r w:rsidR="00A72CC9" w:rsidRPr="002A77FC">
              <w:rPr>
                <w:rFonts w:ascii="Arial" w:hAnsi="Arial" w:cs="Arial"/>
                <w:noProof/>
                <w:webHidden/>
                <w:sz w:val="24"/>
              </w:rPr>
              <w:fldChar w:fldCharType="end"/>
            </w:r>
          </w:hyperlink>
        </w:p>
        <w:p w14:paraId="492C846C" w14:textId="05FA87A6"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6" w:history="1">
            <w:r w:rsidR="00A72CC9" w:rsidRPr="002A77FC">
              <w:rPr>
                <w:rStyle w:val="Hyperlink"/>
                <w:rFonts w:ascii="Arial" w:eastAsiaTheme="majorEastAsia" w:hAnsi="Arial" w:cs="Arial"/>
                <w:noProof/>
                <w:color w:val="auto"/>
                <w:sz w:val="24"/>
              </w:rPr>
              <w:t>4.5.3 The Approach and Implementation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_Toc230268866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43</w:t>
            </w:r>
            <w:r w:rsidR="00A72CC9" w:rsidRPr="002A77FC">
              <w:rPr>
                <w:rFonts w:ascii="Arial" w:hAnsi="Arial" w:cs="Arial"/>
                <w:noProof/>
                <w:webHidden/>
                <w:sz w:val="24"/>
              </w:rPr>
              <w:fldChar w:fldCharType="end"/>
            </w:r>
          </w:hyperlink>
        </w:p>
        <w:p w14:paraId="4BE0F32F" w14:textId="34FBD91F"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7" w:history="1">
            <w:r w:rsidR="00A72CC9" w:rsidRPr="002A77FC">
              <w:rPr>
                <w:rStyle w:val="Hyperlink"/>
                <w:rFonts w:ascii="Arial" w:eastAsiaTheme="majorEastAsia" w:hAnsi="Arial" w:cs="Arial"/>
                <w:noProof/>
                <w:color w:val="auto"/>
                <w:sz w:val="24"/>
              </w:rPr>
              <w:t>4.5.4 Outcomes and Results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_Toc230268867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44</w:t>
            </w:r>
            <w:r w:rsidR="00A72CC9" w:rsidRPr="002A77FC">
              <w:rPr>
                <w:rFonts w:ascii="Arial" w:hAnsi="Arial" w:cs="Arial"/>
                <w:noProof/>
                <w:webHidden/>
                <w:sz w:val="24"/>
              </w:rPr>
              <w:fldChar w:fldCharType="end"/>
            </w:r>
          </w:hyperlink>
        </w:p>
        <w:p w14:paraId="0FDE24A6" w14:textId="6F5ADBE7"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68" w:history="1">
            <w:r w:rsidR="00A72CC9" w:rsidRPr="002A77FC">
              <w:rPr>
                <w:rStyle w:val="Hyperlink"/>
                <w:rFonts w:ascii="Arial" w:eastAsiaTheme="majorEastAsia" w:hAnsi="Arial" w:cs="Arial"/>
                <w:b w:val="0"/>
                <w:bCs w:val="0"/>
                <w:noProof/>
                <w:color w:val="auto"/>
                <w:sz w:val="24"/>
                <w:szCs w:val="24"/>
              </w:rPr>
              <w:t xml:space="preserve">4.6 Case Study 5: </w:t>
            </w:r>
            <w:r w:rsidR="00A72CC9" w:rsidRPr="002A77FC">
              <w:rPr>
                <w:rStyle w:val="Hyperlink"/>
                <w:rFonts w:ascii="Arial" w:eastAsiaTheme="majorEastAsia" w:hAnsi="Arial" w:cs="Arial"/>
                <w:b w:val="0"/>
                <w:bCs w:val="0"/>
                <w:noProof/>
                <w:color w:val="auto"/>
                <w:sz w:val="24"/>
                <w:szCs w:val="24"/>
                <w:lang w:val="en-BD"/>
              </w:rPr>
              <w:t>Henkel</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_Toc230268868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44</w:t>
            </w:r>
            <w:r w:rsidR="00A72CC9" w:rsidRPr="002A77FC">
              <w:rPr>
                <w:rFonts w:ascii="Arial" w:hAnsi="Arial" w:cs="Arial"/>
                <w:b w:val="0"/>
                <w:bCs w:val="0"/>
                <w:noProof/>
                <w:webHidden/>
                <w:sz w:val="24"/>
                <w:szCs w:val="24"/>
              </w:rPr>
              <w:fldChar w:fldCharType="end"/>
            </w:r>
          </w:hyperlink>
        </w:p>
        <w:p w14:paraId="5830AE39" w14:textId="26956499"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69" w:history="1">
            <w:r w:rsidR="00A72CC9" w:rsidRPr="002A77FC">
              <w:rPr>
                <w:rStyle w:val="Hyperlink"/>
                <w:rFonts w:ascii="Arial" w:eastAsiaTheme="majorEastAsia" w:hAnsi="Arial" w:cs="Arial"/>
                <w:noProof/>
                <w:color w:val="auto"/>
                <w:sz w:val="24"/>
              </w:rPr>
              <w:t>4.6.1 Introduction and Background</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_Toc230268869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44</w:t>
            </w:r>
            <w:r w:rsidR="00A72CC9" w:rsidRPr="002A77FC">
              <w:rPr>
                <w:rFonts w:ascii="Arial" w:hAnsi="Arial" w:cs="Arial"/>
                <w:noProof/>
                <w:webHidden/>
                <w:sz w:val="24"/>
              </w:rPr>
              <w:fldChar w:fldCharType="end"/>
            </w:r>
          </w:hyperlink>
        </w:p>
        <w:p w14:paraId="5E98AA34" w14:textId="3FE06B2E"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70" w:history="1">
            <w:r w:rsidR="00A72CC9" w:rsidRPr="002A77FC">
              <w:rPr>
                <w:rStyle w:val="Hyperlink"/>
                <w:rFonts w:ascii="Arial" w:eastAsiaTheme="majorEastAsia" w:hAnsi="Arial" w:cs="Arial"/>
                <w:noProof/>
                <w:color w:val="auto"/>
                <w:sz w:val="24"/>
              </w:rPr>
              <w:t>4.6.2 The Challenge or Opportunity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_Toc230268870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44</w:t>
            </w:r>
            <w:r w:rsidR="00A72CC9" w:rsidRPr="002A77FC">
              <w:rPr>
                <w:rFonts w:ascii="Arial" w:hAnsi="Arial" w:cs="Arial"/>
                <w:noProof/>
                <w:webHidden/>
                <w:sz w:val="24"/>
              </w:rPr>
              <w:fldChar w:fldCharType="end"/>
            </w:r>
          </w:hyperlink>
        </w:p>
        <w:p w14:paraId="21C68381" w14:textId="6CDD01E0"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71" w:history="1">
            <w:r w:rsidR="00A72CC9" w:rsidRPr="002A77FC">
              <w:rPr>
                <w:rStyle w:val="Hyperlink"/>
                <w:rFonts w:ascii="Arial" w:eastAsiaTheme="majorEastAsia" w:hAnsi="Arial" w:cs="Arial"/>
                <w:noProof/>
                <w:color w:val="auto"/>
                <w:sz w:val="24"/>
              </w:rPr>
              <w:t>4.6.3 The Approach and Implementation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_Toc230268871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45</w:t>
            </w:r>
            <w:r w:rsidR="00A72CC9" w:rsidRPr="002A77FC">
              <w:rPr>
                <w:rFonts w:ascii="Arial" w:hAnsi="Arial" w:cs="Arial"/>
                <w:noProof/>
                <w:webHidden/>
                <w:sz w:val="24"/>
              </w:rPr>
              <w:fldChar w:fldCharType="end"/>
            </w:r>
          </w:hyperlink>
        </w:p>
        <w:p w14:paraId="57AFB3F1" w14:textId="54A33FEB"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72" w:history="1">
            <w:r w:rsidR="00A72CC9" w:rsidRPr="002A77FC">
              <w:rPr>
                <w:rStyle w:val="Hyperlink"/>
                <w:rFonts w:ascii="Arial" w:eastAsiaTheme="majorEastAsia" w:hAnsi="Arial" w:cs="Arial"/>
                <w:b w:val="0"/>
                <w:bCs w:val="0"/>
                <w:noProof/>
                <w:color w:val="auto"/>
                <w:sz w:val="24"/>
                <w:szCs w:val="24"/>
              </w:rPr>
              <w:t>4.7 Summary of Cross-Case Analysis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_Toc230268872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45</w:t>
            </w:r>
            <w:r w:rsidR="00A72CC9" w:rsidRPr="002A77FC">
              <w:rPr>
                <w:rFonts w:ascii="Arial" w:hAnsi="Arial" w:cs="Arial"/>
                <w:b w:val="0"/>
                <w:bCs w:val="0"/>
                <w:noProof/>
                <w:webHidden/>
                <w:sz w:val="24"/>
                <w:szCs w:val="24"/>
              </w:rPr>
              <w:fldChar w:fldCharType="end"/>
            </w:r>
          </w:hyperlink>
        </w:p>
        <w:p w14:paraId="0A971AB7" w14:textId="39682F12"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73" w:history="1">
            <w:r w:rsidR="00A72CC9" w:rsidRPr="002A77FC">
              <w:rPr>
                <w:rStyle w:val="Hyperlink"/>
                <w:rFonts w:ascii="Arial" w:eastAsiaTheme="majorEastAsia" w:hAnsi="Arial" w:cs="Arial"/>
                <w:noProof/>
                <w:color w:val="auto"/>
                <w:sz w:val="24"/>
              </w:rPr>
              <w:t>4.7.1 Recurring triggers across cases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_Toc230268873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45</w:t>
            </w:r>
            <w:r w:rsidR="00A72CC9" w:rsidRPr="002A77FC">
              <w:rPr>
                <w:rFonts w:ascii="Arial" w:hAnsi="Arial" w:cs="Arial"/>
                <w:noProof/>
                <w:webHidden/>
                <w:sz w:val="24"/>
              </w:rPr>
              <w:fldChar w:fldCharType="end"/>
            </w:r>
          </w:hyperlink>
        </w:p>
        <w:p w14:paraId="61E8A31D" w14:textId="0533324E"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74" w:history="1">
            <w:r w:rsidR="00A72CC9" w:rsidRPr="002A77FC">
              <w:rPr>
                <w:rStyle w:val="Hyperlink"/>
                <w:rFonts w:ascii="Arial" w:eastAsiaTheme="majorEastAsia" w:hAnsi="Arial" w:cs="Arial"/>
                <w:noProof/>
                <w:color w:val="auto"/>
                <w:sz w:val="24"/>
              </w:rPr>
              <w:t>4.7.2 Common response patterns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_Toc230268874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46</w:t>
            </w:r>
            <w:r w:rsidR="00A72CC9" w:rsidRPr="002A77FC">
              <w:rPr>
                <w:rFonts w:ascii="Arial" w:hAnsi="Arial" w:cs="Arial"/>
                <w:noProof/>
                <w:webHidden/>
                <w:sz w:val="24"/>
              </w:rPr>
              <w:fldChar w:fldCharType="end"/>
            </w:r>
          </w:hyperlink>
        </w:p>
        <w:p w14:paraId="34C67810" w14:textId="6AECE6BE"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75" w:history="1">
            <w:r w:rsidR="00A72CC9" w:rsidRPr="002A77FC">
              <w:rPr>
                <w:rStyle w:val="Hyperlink"/>
                <w:rFonts w:ascii="Arial" w:eastAsiaTheme="majorEastAsia" w:hAnsi="Arial" w:cs="Arial"/>
                <w:noProof/>
                <w:color w:val="auto"/>
                <w:sz w:val="24"/>
              </w:rPr>
              <w:t>4.7.3 Major differences between the five cases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_Toc230268875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46</w:t>
            </w:r>
            <w:r w:rsidR="00A72CC9" w:rsidRPr="002A77FC">
              <w:rPr>
                <w:rFonts w:ascii="Arial" w:hAnsi="Arial" w:cs="Arial"/>
                <w:noProof/>
                <w:webHidden/>
                <w:sz w:val="24"/>
              </w:rPr>
              <w:fldChar w:fldCharType="end"/>
            </w:r>
          </w:hyperlink>
        </w:p>
        <w:p w14:paraId="3CF8C033" w14:textId="653CAD0D"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76" w:history="1">
            <w:r w:rsidR="00A72CC9" w:rsidRPr="002A77FC">
              <w:rPr>
                <w:rStyle w:val="Hyperlink"/>
                <w:rFonts w:ascii="Arial" w:eastAsiaTheme="majorEastAsia" w:hAnsi="Arial" w:cs="Arial"/>
                <w:noProof/>
                <w:color w:val="auto"/>
                <w:sz w:val="24"/>
              </w:rPr>
              <w:t>4.7.4 Emerging relationship between execution and results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_Toc230268876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46</w:t>
            </w:r>
            <w:r w:rsidR="00A72CC9" w:rsidRPr="002A77FC">
              <w:rPr>
                <w:rFonts w:ascii="Arial" w:hAnsi="Arial" w:cs="Arial"/>
                <w:noProof/>
                <w:webHidden/>
                <w:sz w:val="24"/>
              </w:rPr>
              <w:fldChar w:fldCharType="end"/>
            </w:r>
          </w:hyperlink>
        </w:p>
        <w:p w14:paraId="2DF23BD2" w14:textId="2C158A16"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77" w:history="1">
            <w:r w:rsidR="00A72CC9" w:rsidRPr="002A77FC">
              <w:rPr>
                <w:rStyle w:val="Hyperlink"/>
                <w:rFonts w:ascii="Arial" w:eastAsiaTheme="majorEastAsia" w:hAnsi="Arial" w:cs="Arial"/>
                <w:b w:val="0"/>
                <w:bCs w:val="0"/>
                <w:noProof/>
                <w:color w:val="auto"/>
                <w:sz w:val="24"/>
                <w:szCs w:val="24"/>
              </w:rPr>
              <w:t>4.8 Chapter Summary</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_Toc230268877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47</w:t>
            </w:r>
            <w:r w:rsidR="00A72CC9" w:rsidRPr="002A77FC">
              <w:rPr>
                <w:rFonts w:ascii="Arial" w:hAnsi="Arial" w:cs="Arial"/>
                <w:b w:val="0"/>
                <w:bCs w:val="0"/>
                <w:noProof/>
                <w:webHidden/>
                <w:sz w:val="24"/>
                <w:szCs w:val="24"/>
              </w:rPr>
              <w:fldChar w:fldCharType="end"/>
            </w:r>
          </w:hyperlink>
        </w:p>
        <w:p w14:paraId="40EDB238" w14:textId="20E0B412"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78" w:history="1">
            <w:r w:rsidR="00A72CC9" w:rsidRPr="002A77FC">
              <w:rPr>
                <w:rStyle w:val="Hyperlink"/>
                <w:rFonts w:ascii="Arial" w:eastAsiaTheme="majorEastAsia" w:hAnsi="Arial" w:cs="Arial"/>
                <w:b w:val="0"/>
                <w:bCs w:val="0"/>
                <w:i w:val="0"/>
                <w:iCs w:val="0"/>
                <w:noProof/>
                <w:color w:val="auto"/>
                <w:szCs w:val="24"/>
              </w:rPr>
              <w:t>Chapter 5: Discussion and Analysis</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_Toc230268878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48</w:t>
            </w:r>
            <w:r w:rsidR="00A72CC9" w:rsidRPr="002A77FC">
              <w:rPr>
                <w:rFonts w:ascii="Arial" w:hAnsi="Arial" w:cs="Arial"/>
                <w:b w:val="0"/>
                <w:bCs w:val="0"/>
                <w:i w:val="0"/>
                <w:iCs w:val="0"/>
                <w:noProof/>
                <w:webHidden/>
                <w:szCs w:val="24"/>
              </w:rPr>
              <w:fldChar w:fldCharType="end"/>
            </w:r>
          </w:hyperlink>
        </w:p>
        <w:p w14:paraId="79DADA65" w14:textId="4866826A"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79" w:history="1">
            <w:r w:rsidR="00A72CC9" w:rsidRPr="002A77FC">
              <w:rPr>
                <w:rStyle w:val="Hyperlink"/>
                <w:rFonts w:ascii="Arial" w:eastAsiaTheme="majorEastAsia" w:hAnsi="Arial" w:cs="Arial"/>
                <w:b w:val="0"/>
                <w:bCs w:val="0"/>
                <w:noProof/>
                <w:color w:val="auto"/>
                <w:sz w:val="24"/>
                <w:szCs w:val="24"/>
              </w:rPr>
              <w:t>5.1 Purpose and Positioning</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_Toc230268879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48</w:t>
            </w:r>
            <w:r w:rsidR="00A72CC9" w:rsidRPr="002A77FC">
              <w:rPr>
                <w:rFonts w:ascii="Arial" w:hAnsi="Arial" w:cs="Arial"/>
                <w:b w:val="0"/>
                <w:bCs w:val="0"/>
                <w:noProof/>
                <w:webHidden/>
                <w:sz w:val="24"/>
                <w:szCs w:val="24"/>
              </w:rPr>
              <w:fldChar w:fldCharType="end"/>
            </w:r>
          </w:hyperlink>
        </w:p>
        <w:p w14:paraId="5BF93C8A" w14:textId="37A1F8AB"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80" w:history="1">
            <w:r w:rsidR="00A72CC9" w:rsidRPr="002A77FC">
              <w:rPr>
                <w:rStyle w:val="Hyperlink"/>
                <w:rFonts w:ascii="Arial" w:eastAsiaTheme="majorEastAsia" w:hAnsi="Arial" w:cs="Arial"/>
                <w:b w:val="0"/>
                <w:bCs w:val="0"/>
                <w:noProof/>
                <w:color w:val="auto"/>
                <w:sz w:val="24"/>
                <w:szCs w:val="24"/>
              </w:rPr>
              <w:t>5.2 Analytical Framework and Logic</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_Toc230268880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48</w:t>
            </w:r>
            <w:r w:rsidR="00A72CC9" w:rsidRPr="002A77FC">
              <w:rPr>
                <w:rFonts w:ascii="Arial" w:hAnsi="Arial" w:cs="Arial"/>
                <w:b w:val="0"/>
                <w:bCs w:val="0"/>
                <w:noProof/>
                <w:webHidden/>
                <w:sz w:val="24"/>
                <w:szCs w:val="24"/>
              </w:rPr>
              <w:fldChar w:fldCharType="end"/>
            </w:r>
          </w:hyperlink>
        </w:p>
        <w:p w14:paraId="039470E6" w14:textId="342D807C"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81" w:history="1">
            <w:r w:rsidR="00A72CC9" w:rsidRPr="002A77FC">
              <w:rPr>
                <w:rStyle w:val="Hyperlink"/>
                <w:rFonts w:ascii="Arial" w:eastAsiaTheme="majorEastAsia" w:hAnsi="Arial" w:cs="Arial"/>
                <w:b w:val="0"/>
                <w:bCs w:val="0"/>
                <w:noProof/>
                <w:color w:val="auto"/>
                <w:sz w:val="24"/>
                <w:szCs w:val="24"/>
              </w:rPr>
              <w:t>5.3 Cross-Case Synthesis: Compare and Contrast with Literature</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_Toc230268881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49</w:t>
            </w:r>
            <w:r w:rsidR="00A72CC9" w:rsidRPr="002A77FC">
              <w:rPr>
                <w:rFonts w:ascii="Arial" w:hAnsi="Arial" w:cs="Arial"/>
                <w:b w:val="0"/>
                <w:bCs w:val="0"/>
                <w:noProof/>
                <w:webHidden/>
                <w:sz w:val="24"/>
                <w:szCs w:val="24"/>
              </w:rPr>
              <w:fldChar w:fldCharType="end"/>
            </w:r>
          </w:hyperlink>
        </w:p>
        <w:p w14:paraId="70BBD735" w14:textId="2F2913DC"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82" w:history="1">
            <w:r w:rsidR="00A72CC9" w:rsidRPr="002A77FC">
              <w:rPr>
                <w:rStyle w:val="Hyperlink"/>
                <w:rFonts w:ascii="Arial" w:eastAsiaTheme="majorEastAsia" w:hAnsi="Arial" w:cs="Arial"/>
                <w:noProof/>
                <w:color w:val="auto"/>
                <w:sz w:val="24"/>
              </w:rPr>
              <w:t>5.3.1 Visibility, Scrutiny and the Reputation Paradox</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_Toc230268882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49</w:t>
            </w:r>
            <w:r w:rsidR="00A72CC9" w:rsidRPr="002A77FC">
              <w:rPr>
                <w:rFonts w:ascii="Arial" w:hAnsi="Arial" w:cs="Arial"/>
                <w:noProof/>
                <w:webHidden/>
                <w:sz w:val="24"/>
              </w:rPr>
              <w:fldChar w:fldCharType="end"/>
            </w:r>
          </w:hyperlink>
        </w:p>
        <w:p w14:paraId="713BFA2C" w14:textId="4B1D5305"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83" w:history="1">
            <w:r w:rsidR="00A72CC9" w:rsidRPr="002A77FC">
              <w:rPr>
                <w:rStyle w:val="Hyperlink"/>
                <w:rFonts w:ascii="Arial" w:eastAsiaTheme="majorEastAsia" w:hAnsi="Arial" w:cs="Arial"/>
                <w:noProof/>
                <w:color w:val="auto"/>
                <w:sz w:val="24"/>
              </w:rPr>
              <w:t>5.3.2 Authenticity, Evidence and the Quality of Signals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_Toc230268883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50</w:t>
            </w:r>
            <w:r w:rsidR="00A72CC9" w:rsidRPr="002A77FC">
              <w:rPr>
                <w:rFonts w:ascii="Arial" w:hAnsi="Arial" w:cs="Arial"/>
                <w:noProof/>
                <w:webHidden/>
                <w:sz w:val="24"/>
              </w:rPr>
              <w:fldChar w:fldCharType="end"/>
            </w:r>
          </w:hyperlink>
        </w:p>
        <w:p w14:paraId="24F955CF" w14:textId="3437F12B"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84" w:history="1">
            <w:r w:rsidR="00A72CC9" w:rsidRPr="002A77FC">
              <w:rPr>
                <w:rStyle w:val="Hyperlink"/>
                <w:rFonts w:ascii="Arial" w:eastAsiaTheme="majorEastAsia" w:hAnsi="Arial" w:cs="Arial"/>
                <w:noProof/>
                <w:color w:val="auto"/>
                <w:sz w:val="24"/>
              </w:rPr>
              <w:t>5.3.3 Product-Level Relevance and Consumer Interpretation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_Toc230268884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50</w:t>
            </w:r>
            <w:r w:rsidR="00A72CC9" w:rsidRPr="002A77FC">
              <w:rPr>
                <w:rFonts w:ascii="Arial" w:hAnsi="Arial" w:cs="Arial"/>
                <w:noProof/>
                <w:webHidden/>
                <w:sz w:val="24"/>
              </w:rPr>
              <w:fldChar w:fldCharType="end"/>
            </w:r>
          </w:hyperlink>
        </w:p>
        <w:p w14:paraId="0C5DA85D" w14:textId="0E21581F"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85" w:history="1">
            <w:r w:rsidR="00A72CC9" w:rsidRPr="002A77FC">
              <w:rPr>
                <w:rStyle w:val="Hyperlink"/>
                <w:rFonts w:ascii="Arial" w:eastAsiaTheme="majorEastAsia" w:hAnsi="Arial" w:cs="Arial"/>
                <w:noProof/>
                <w:color w:val="auto"/>
                <w:sz w:val="24"/>
              </w:rPr>
              <w:t>5.3.4 Historical Reputation, Governance and Path Dependence</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_Toc230268885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51</w:t>
            </w:r>
            <w:r w:rsidR="00A72CC9" w:rsidRPr="002A77FC">
              <w:rPr>
                <w:rFonts w:ascii="Arial" w:hAnsi="Arial" w:cs="Arial"/>
                <w:noProof/>
                <w:webHidden/>
                <w:sz w:val="24"/>
              </w:rPr>
              <w:fldChar w:fldCharType="end"/>
            </w:r>
          </w:hyperlink>
        </w:p>
        <w:p w14:paraId="0010BA2D" w14:textId="0B2B6A51"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886" w:history="1">
            <w:r w:rsidR="00A72CC9" w:rsidRPr="002A77FC">
              <w:rPr>
                <w:rStyle w:val="Hyperlink"/>
                <w:rFonts w:ascii="Arial" w:eastAsiaTheme="majorEastAsia" w:hAnsi="Arial" w:cs="Arial"/>
                <w:noProof/>
                <w:color w:val="auto"/>
                <w:sz w:val="24"/>
              </w:rPr>
              <w:t xml:space="preserve">5.3.5 </w:t>
            </w:r>
            <w:r w:rsidR="00A72CC9" w:rsidRPr="002A77FC">
              <w:rPr>
                <w:rStyle w:val="Hyperlink"/>
                <w:rFonts w:ascii="Arial" w:eastAsiaTheme="majorEastAsia" w:hAnsi="Arial" w:cs="Arial"/>
                <w:noProof/>
                <w:color w:val="auto"/>
                <w:sz w:val="24"/>
                <w:lang w:val="en-BD"/>
              </w:rPr>
              <w:t>Evidence, Visibility and the Limits of Technical Sustainability Communication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_Toc230268886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52</w:t>
            </w:r>
            <w:r w:rsidR="00A72CC9" w:rsidRPr="002A77FC">
              <w:rPr>
                <w:rFonts w:ascii="Arial" w:hAnsi="Arial" w:cs="Arial"/>
                <w:noProof/>
                <w:webHidden/>
                <w:sz w:val="24"/>
              </w:rPr>
              <w:fldChar w:fldCharType="end"/>
            </w:r>
          </w:hyperlink>
        </w:p>
        <w:p w14:paraId="1CC30147" w14:textId="698BE4D4"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87" w:history="1">
            <w:r w:rsidR="00A72CC9" w:rsidRPr="002A77FC">
              <w:rPr>
                <w:rStyle w:val="Hyperlink"/>
                <w:rFonts w:ascii="Arial" w:eastAsiaTheme="majorEastAsia" w:hAnsi="Arial" w:cs="Arial"/>
                <w:b w:val="0"/>
                <w:bCs w:val="0"/>
                <w:noProof/>
                <w:color w:val="auto"/>
                <w:sz w:val="24"/>
                <w:szCs w:val="24"/>
              </w:rPr>
              <w:t>5.4 Integration to Conceptual Model or Propositions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_Toc230268887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52</w:t>
            </w:r>
            <w:r w:rsidR="00A72CC9" w:rsidRPr="002A77FC">
              <w:rPr>
                <w:rFonts w:ascii="Arial" w:hAnsi="Arial" w:cs="Arial"/>
                <w:b w:val="0"/>
                <w:bCs w:val="0"/>
                <w:noProof/>
                <w:webHidden/>
                <w:sz w:val="24"/>
                <w:szCs w:val="24"/>
              </w:rPr>
              <w:fldChar w:fldCharType="end"/>
            </w:r>
          </w:hyperlink>
        </w:p>
        <w:p w14:paraId="0014CBBA" w14:textId="6D74615C"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88" w:history="1">
            <w:r w:rsidR="00A72CC9" w:rsidRPr="002A77FC">
              <w:rPr>
                <w:rStyle w:val="Hyperlink"/>
                <w:rFonts w:ascii="Arial" w:eastAsiaTheme="majorEastAsia" w:hAnsi="Arial" w:cs="Arial"/>
                <w:b w:val="0"/>
                <w:bCs w:val="0"/>
                <w:noProof/>
                <w:color w:val="auto"/>
                <w:sz w:val="24"/>
                <w:szCs w:val="24"/>
              </w:rPr>
              <w:t>5.5 Robustness Considerations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_Toc230268888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53</w:t>
            </w:r>
            <w:r w:rsidR="00A72CC9" w:rsidRPr="002A77FC">
              <w:rPr>
                <w:rFonts w:ascii="Arial" w:hAnsi="Arial" w:cs="Arial"/>
                <w:b w:val="0"/>
                <w:bCs w:val="0"/>
                <w:noProof/>
                <w:webHidden/>
                <w:sz w:val="24"/>
                <w:szCs w:val="24"/>
              </w:rPr>
              <w:fldChar w:fldCharType="end"/>
            </w:r>
          </w:hyperlink>
        </w:p>
        <w:p w14:paraId="38D851E6" w14:textId="65C0621E"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89" w:history="1">
            <w:r w:rsidR="00A72CC9" w:rsidRPr="002A77FC">
              <w:rPr>
                <w:rStyle w:val="Hyperlink"/>
                <w:rFonts w:ascii="Arial" w:eastAsiaTheme="majorEastAsia" w:hAnsi="Arial" w:cs="Arial"/>
                <w:b w:val="0"/>
                <w:bCs w:val="0"/>
                <w:noProof/>
                <w:color w:val="auto"/>
                <w:sz w:val="24"/>
                <w:szCs w:val="24"/>
              </w:rPr>
              <w:t>5.6 Practical Synthesis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_Toc230268889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54</w:t>
            </w:r>
            <w:r w:rsidR="00A72CC9" w:rsidRPr="002A77FC">
              <w:rPr>
                <w:rFonts w:ascii="Arial" w:hAnsi="Arial" w:cs="Arial"/>
                <w:b w:val="0"/>
                <w:bCs w:val="0"/>
                <w:noProof/>
                <w:webHidden/>
                <w:sz w:val="24"/>
                <w:szCs w:val="24"/>
              </w:rPr>
              <w:fldChar w:fldCharType="end"/>
            </w:r>
          </w:hyperlink>
        </w:p>
        <w:p w14:paraId="5DCAA84A" w14:textId="3FBF92BB"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0" w:history="1">
            <w:r w:rsidR="00A72CC9" w:rsidRPr="002A77FC">
              <w:rPr>
                <w:rStyle w:val="Hyperlink"/>
                <w:rFonts w:ascii="Arial" w:eastAsiaTheme="majorEastAsia" w:hAnsi="Arial" w:cs="Arial"/>
                <w:b w:val="0"/>
                <w:bCs w:val="0"/>
                <w:noProof/>
                <w:color w:val="auto"/>
                <w:sz w:val="24"/>
                <w:szCs w:val="24"/>
              </w:rPr>
              <w:t>5.7 Chapter Summary</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_Toc230268890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54</w:t>
            </w:r>
            <w:r w:rsidR="00A72CC9" w:rsidRPr="002A77FC">
              <w:rPr>
                <w:rFonts w:ascii="Arial" w:hAnsi="Arial" w:cs="Arial"/>
                <w:b w:val="0"/>
                <w:bCs w:val="0"/>
                <w:noProof/>
                <w:webHidden/>
                <w:sz w:val="24"/>
                <w:szCs w:val="24"/>
              </w:rPr>
              <w:fldChar w:fldCharType="end"/>
            </w:r>
          </w:hyperlink>
        </w:p>
        <w:p w14:paraId="42A70E27" w14:textId="2A308160"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91" w:history="1">
            <w:r w:rsidR="00A72CC9" w:rsidRPr="002A77FC">
              <w:rPr>
                <w:rStyle w:val="Hyperlink"/>
                <w:rFonts w:ascii="Arial" w:eastAsiaTheme="majorEastAsia" w:hAnsi="Arial" w:cs="Arial"/>
                <w:b w:val="0"/>
                <w:bCs w:val="0"/>
                <w:i w:val="0"/>
                <w:iCs w:val="0"/>
                <w:noProof/>
                <w:color w:val="auto"/>
                <w:szCs w:val="24"/>
              </w:rPr>
              <w:t>Chapter 6: Conclusion</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_Toc230268891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56</w:t>
            </w:r>
            <w:r w:rsidR="00A72CC9" w:rsidRPr="002A77FC">
              <w:rPr>
                <w:rFonts w:ascii="Arial" w:hAnsi="Arial" w:cs="Arial"/>
                <w:b w:val="0"/>
                <w:bCs w:val="0"/>
                <w:i w:val="0"/>
                <w:iCs w:val="0"/>
                <w:noProof/>
                <w:webHidden/>
                <w:szCs w:val="24"/>
              </w:rPr>
              <w:fldChar w:fldCharType="end"/>
            </w:r>
          </w:hyperlink>
        </w:p>
        <w:p w14:paraId="1DD6BDE5" w14:textId="036FC853"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2" w:history="1">
            <w:r w:rsidR="00A72CC9" w:rsidRPr="002A77FC">
              <w:rPr>
                <w:rStyle w:val="Hyperlink"/>
                <w:rFonts w:ascii="Arial" w:eastAsiaTheme="majorEastAsia" w:hAnsi="Arial" w:cs="Arial"/>
                <w:b w:val="0"/>
                <w:bCs w:val="0"/>
                <w:noProof/>
                <w:color w:val="auto"/>
                <w:sz w:val="24"/>
                <w:szCs w:val="24"/>
              </w:rPr>
              <w:t>6.1 Introduction</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_Toc230268892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56</w:t>
            </w:r>
            <w:r w:rsidR="00A72CC9" w:rsidRPr="002A77FC">
              <w:rPr>
                <w:rFonts w:ascii="Arial" w:hAnsi="Arial" w:cs="Arial"/>
                <w:b w:val="0"/>
                <w:bCs w:val="0"/>
                <w:noProof/>
                <w:webHidden/>
                <w:sz w:val="24"/>
                <w:szCs w:val="24"/>
              </w:rPr>
              <w:fldChar w:fldCharType="end"/>
            </w:r>
          </w:hyperlink>
        </w:p>
        <w:p w14:paraId="523FB7DB" w14:textId="5890D017"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3" w:history="1">
            <w:r w:rsidR="00A72CC9" w:rsidRPr="002A77FC">
              <w:rPr>
                <w:rStyle w:val="Hyperlink"/>
                <w:rFonts w:ascii="Arial" w:eastAsiaTheme="majorEastAsia" w:hAnsi="Arial" w:cs="Arial"/>
                <w:b w:val="0"/>
                <w:bCs w:val="0"/>
                <w:noProof/>
                <w:color w:val="auto"/>
                <w:sz w:val="24"/>
                <w:szCs w:val="24"/>
              </w:rPr>
              <w:t>6.2 Brief Summary of Key Findings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_Toc230268893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56</w:t>
            </w:r>
            <w:r w:rsidR="00A72CC9" w:rsidRPr="002A77FC">
              <w:rPr>
                <w:rFonts w:ascii="Arial" w:hAnsi="Arial" w:cs="Arial"/>
                <w:b w:val="0"/>
                <w:bCs w:val="0"/>
                <w:noProof/>
                <w:webHidden/>
                <w:sz w:val="24"/>
                <w:szCs w:val="24"/>
              </w:rPr>
              <w:fldChar w:fldCharType="end"/>
            </w:r>
          </w:hyperlink>
        </w:p>
        <w:p w14:paraId="717D3934" w14:textId="70F581F1"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4" w:history="1">
            <w:r w:rsidR="00A72CC9" w:rsidRPr="002A77FC">
              <w:rPr>
                <w:rStyle w:val="Hyperlink"/>
                <w:rFonts w:ascii="Arial" w:eastAsiaTheme="majorEastAsia" w:hAnsi="Arial" w:cs="Arial"/>
                <w:b w:val="0"/>
                <w:bCs w:val="0"/>
                <w:noProof/>
                <w:color w:val="auto"/>
                <w:sz w:val="24"/>
                <w:szCs w:val="24"/>
              </w:rPr>
              <w:t>6.3 Theoretical Implications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_Toc230268894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56</w:t>
            </w:r>
            <w:r w:rsidR="00A72CC9" w:rsidRPr="002A77FC">
              <w:rPr>
                <w:rFonts w:ascii="Arial" w:hAnsi="Arial" w:cs="Arial"/>
                <w:b w:val="0"/>
                <w:bCs w:val="0"/>
                <w:noProof/>
                <w:webHidden/>
                <w:sz w:val="24"/>
                <w:szCs w:val="24"/>
              </w:rPr>
              <w:fldChar w:fldCharType="end"/>
            </w:r>
          </w:hyperlink>
        </w:p>
        <w:p w14:paraId="6C086843" w14:textId="3AF95A00"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5" w:history="1">
            <w:r w:rsidR="00A72CC9" w:rsidRPr="002A77FC">
              <w:rPr>
                <w:rStyle w:val="Hyperlink"/>
                <w:rFonts w:ascii="Arial" w:eastAsiaTheme="majorEastAsia" w:hAnsi="Arial" w:cs="Arial"/>
                <w:b w:val="0"/>
                <w:bCs w:val="0"/>
                <w:noProof/>
                <w:color w:val="auto"/>
                <w:sz w:val="24"/>
                <w:szCs w:val="24"/>
              </w:rPr>
              <w:t>6.4 Managerial Implications</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_Toc230268895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58</w:t>
            </w:r>
            <w:r w:rsidR="00A72CC9" w:rsidRPr="002A77FC">
              <w:rPr>
                <w:rFonts w:ascii="Arial" w:hAnsi="Arial" w:cs="Arial"/>
                <w:b w:val="0"/>
                <w:bCs w:val="0"/>
                <w:noProof/>
                <w:webHidden/>
                <w:sz w:val="24"/>
                <w:szCs w:val="24"/>
              </w:rPr>
              <w:fldChar w:fldCharType="end"/>
            </w:r>
          </w:hyperlink>
        </w:p>
        <w:p w14:paraId="1994D398" w14:textId="60F5D8EB"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6" w:history="1">
            <w:r w:rsidR="00A72CC9" w:rsidRPr="002A77FC">
              <w:rPr>
                <w:rStyle w:val="Hyperlink"/>
                <w:rFonts w:ascii="Arial" w:eastAsiaTheme="majorEastAsia" w:hAnsi="Arial" w:cs="Arial"/>
                <w:b w:val="0"/>
                <w:bCs w:val="0"/>
                <w:noProof/>
                <w:color w:val="auto"/>
                <w:sz w:val="24"/>
                <w:szCs w:val="24"/>
              </w:rPr>
              <w:t>6.5 Limitations and Directions for Future Research</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_Toc230268896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59</w:t>
            </w:r>
            <w:r w:rsidR="00A72CC9" w:rsidRPr="002A77FC">
              <w:rPr>
                <w:rFonts w:ascii="Arial" w:hAnsi="Arial" w:cs="Arial"/>
                <w:b w:val="0"/>
                <w:bCs w:val="0"/>
                <w:noProof/>
                <w:webHidden/>
                <w:sz w:val="24"/>
                <w:szCs w:val="24"/>
              </w:rPr>
              <w:fldChar w:fldCharType="end"/>
            </w:r>
          </w:hyperlink>
        </w:p>
        <w:p w14:paraId="7D862E6E" w14:textId="2AFEB87A"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897" w:history="1">
            <w:r w:rsidR="00A72CC9" w:rsidRPr="002A77FC">
              <w:rPr>
                <w:rStyle w:val="Hyperlink"/>
                <w:rFonts w:ascii="Arial" w:eastAsiaTheme="majorEastAsia" w:hAnsi="Arial" w:cs="Arial"/>
                <w:b w:val="0"/>
                <w:bCs w:val="0"/>
                <w:noProof/>
                <w:color w:val="auto"/>
                <w:sz w:val="24"/>
                <w:szCs w:val="24"/>
              </w:rPr>
              <w:t>6.6 Closing Statement</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_Toc230268897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60</w:t>
            </w:r>
            <w:r w:rsidR="00A72CC9" w:rsidRPr="002A77FC">
              <w:rPr>
                <w:rFonts w:ascii="Arial" w:hAnsi="Arial" w:cs="Arial"/>
                <w:b w:val="0"/>
                <w:bCs w:val="0"/>
                <w:noProof/>
                <w:webHidden/>
                <w:sz w:val="24"/>
                <w:szCs w:val="24"/>
              </w:rPr>
              <w:fldChar w:fldCharType="end"/>
            </w:r>
          </w:hyperlink>
        </w:p>
        <w:p w14:paraId="1FB0255A" w14:textId="3D5CC526"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98" w:history="1">
            <w:r w:rsidR="00A72CC9" w:rsidRPr="002A77FC">
              <w:rPr>
                <w:rStyle w:val="Hyperlink"/>
                <w:rFonts w:ascii="Arial" w:eastAsiaTheme="majorEastAsia" w:hAnsi="Arial" w:cs="Arial"/>
                <w:b w:val="0"/>
                <w:bCs w:val="0"/>
                <w:i w:val="0"/>
                <w:iCs w:val="0"/>
                <w:noProof/>
                <w:color w:val="auto"/>
                <w:szCs w:val="24"/>
              </w:rPr>
              <w:t>Reference</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_Toc230268898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61</w:t>
            </w:r>
            <w:r w:rsidR="00A72CC9" w:rsidRPr="002A77FC">
              <w:rPr>
                <w:rFonts w:ascii="Arial" w:hAnsi="Arial" w:cs="Arial"/>
                <w:b w:val="0"/>
                <w:bCs w:val="0"/>
                <w:i w:val="0"/>
                <w:iCs w:val="0"/>
                <w:noProof/>
                <w:webHidden/>
                <w:szCs w:val="24"/>
              </w:rPr>
              <w:fldChar w:fldCharType="end"/>
            </w:r>
          </w:hyperlink>
        </w:p>
        <w:p w14:paraId="4395BD0B" w14:textId="2BEF9262" w:rsidR="00A72CC9" w:rsidRPr="002A77FC" w:rsidRDefault="00000000">
          <w:pPr>
            <w:pStyle w:val="TOC1"/>
            <w:tabs>
              <w:tab w:val="right" w:leader="dot" w:pos="9016"/>
            </w:tabs>
            <w:rPr>
              <w:rFonts w:ascii="Arial" w:eastAsiaTheme="minorEastAsia" w:hAnsi="Arial" w:cs="Arial"/>
              <w:b w:val="0"/>
              <w:bCs w:val="0"/>
              <w:i w:val="0"/>
              <w:iCs w:val="0"/>
              <w:noProof/>
              <w:szCs w:val="24"/>
              <w:lang w:val="en-BD" w:bidi="bn-IN"/>
            </w:rPr>
          </w:pPr>
          <w:hyperlink w:anchor="_Toc230268899" w:history="1">
            <w:r w:rsidR="00A72CC9" w:rsidRPr="002A77FC">
              <w:rPr>
                <w:rStyle w:val="Hyperlink"/>
                <w:rFonts w:ascii="Arial" w:eastAsiaTheme="majorEastAsia" w:hAnsi="Arial" w:cs="Arial"/>
                <w:b w:val="0"/>
                <w:bCs w:val="0"/>
                <w:i w:val="0"/>
                <w:iCs w:val="0"/>
                <w:noProof/>
                <w:color w:val="auto"/>
                <w:szCs w:val="24"/>
              </w:rPr>
              <w:t>Appendix</w:t>
            </w:r>
            <w:r w:rsidR="00A72CC9" w:rsidRPr="002A77FC">
              <w:rPr>
                <w:rFonts w:ascii="Arial" w:hAnsi="Arial" w:cs="Arial"/>
                <w:b w:val="0"/>
                <w:bCs w:val="0"/>
                <w:i w:val="0"/>
                <w:iCs w:val="0"/>
                <w:noProof/>
                <w:webHidden/>
                <w:szCs w:val="24"/>
              </w:rPr>
              <w:tab/>
            </w:r>
            <w:r w:rsidR="00A72CC9" w:rsidRPr="002A77FC">
              <w:rPr>
                <w:rFonts w:ascii="Arial" w:hAnsi="Arial" w:cs="Arial"/>
                <w:b w:val="0"/>
                <w:bCs w:val="0"/>
                <w:i w:val="0"/>
                <w:iCs w:val="0"/>
                <w:noProof/>
                <w:webHidden/>
                <w:szCs w:val="24"/>
              </w:rPr>
              <w:fldChar w:fldCharType="begin"/>
            </w:r>
            <w:r w:rsidR="00A72CC9" w:rsidRPr="002A77FC">
              <w:rPr>
                <w:rFonts w:ascii="Arial" w:hAnsi="Arial" w:cs="Arial"/>
                <w:b w:val="0"/>
                <w:bCs w:val="0"/>
                <w:i w:val="0"/>
                <w:iCs w:val="0"/>
                <w:noProof/>
                <w:webHidden/>
                <w:szCs w:val="24"/>
              </w:rPr>
              <w:instrText xml:space="preserve"> PAGEREF _Toc230268899 \h </w:instrText>
            </w:r>
            <w:r w:rsidR="00A72CC9" w:rsidRPr="002A77FC">
              <w:rPr>
                <w:rFonts w:ascii="Arial" w:hAnsi="Arial" w:cs="Arial"/>
                <w:b w:val="0"/>
                <w:bCs w:val="0"/>
                <w:i w:val="0"/>
                <w:iCs w:val="0"/>
                <w:noProof/>
                <w:webHidden/>
                <w:szCs w:val="24"/>
              </w:rPr>
            </w:r>
            <w:r w:rsidR="00A72CC9" w:rsidRPr="002A77FC">
              <w:rPr>
                <w:rFonts w:ascii="Arial" w:hAnsi="Arial" w:cs="Arial"/>
                <w:b w:val="0"/>
                <w:bCs w:val="0"/>
                <w:i w:val="0"/>
                <w:iCs w:val="0"/>
                <w:noProof/>
                <w:webHidden/>
                <w:szCs w:val="24"/>
              </w:rPr>
              <w:fldChar w:fldCharType="separate"/>
            </w:r>
            <w:r w:rsidR="004F410E" w:rsidRPr="002A77FC">
              <w:rPr>
                <w:rFonts w:ascii="Arial" w:hAnsi="Arial" w:cs="Arial"/>
                <w:b w:val="0"/>
                <w:bCs w:val="0"/>
                <w:i w:val="0"/>
                <w:iCs w:val="0"/>
                <w:noProof/>
                <w:webHidden/>
                <w:szCs w:val="24"/>
              </w:rPr>
              <w:t>70</w:t>
            </w:r>
            <w:r w:rsidR="00A72CC9" w:rsidRPr="002A77FC">
              <w:rPr>
                <w:rFonts w:ascii="Arial" w:hAnsi="Arial" w:cs="Arial"/>
                <w:b w:val="0"/>
                <w:bCs w:val="0"/>
                <w:i w:val="0"/>
                <w:iCs w:val="0"/>
                <w:noProof/>
                <w:webHidden/>
                <w:szCs w:val="24"/>
              </w:rPr>
              <w:fldChar w:fldCharType="end"/>
            </w:r>
          </w:hyperlink>
        </w:p>
        <w:p w14:paraId="6282368C" w14:textId="7BD15E3E" w:rsidR="00A72CC9" w:rsidRPr="002A77FC" w:rsidRDefault="00000000">
          <w:pPr>
            <w:pStyle w:val="TOC2"/>
            <w:tabs>
              <w:tab w:val="right" w:leader="dot" w:pos="9016"/>
            </w:tabs>
            <w:rPr>
              <w:rFonts w:ascii="Arial" w:eastAsiaTheme="minorEastAsia" w:hAnsi="Arial" w:cs="Arial"/>
              <w:b w:val="0"/>
              <w:bCs w:val="0"/>
              <w:noProof/>
              <w:sz w:val="24"/>
              <w:szCs w:val="24"/>
              <w:lang w:val="en-BD" w:bidi="bn-IN"/>
            </w:rPr>
          </w:pPr>
          <w:hyperlink w:anchor="_Toc230268900" w:history="1">
            <w:r w:rsidR="00A72CC9" w:rsidRPr="002A77FC">
              <w:rPr>
                <w:rStyle w:val="Hyperlink"/>
                <w:rFonts w:ascii="Arial" w:eastAsiaTheme="majorEastAsia" w:hAnsi="Arial" w:cs="Arial"/>
                <w:b w:val="0"/>
                <w:bCs w:val="0"/>
                <w:noProof/>
                <w:color w:val="auto"/>
                <w:sz w:val="24"/>
                <w:szCs w:val="24"/>
              </w:rPr>
              <w:t>Appendix A: Thematic Analysis Coding Framework</w:t>
            </w:r>
            <w:r w:rsidR="00A72CC9" w:rsidRPr="002A77FC">
              <w:rPr>
                <w:rFonts w:ascii="Arial" w:hAnsi="Arial" w:cs="Arial"/>
                <w:b w:val="0"/>
                <w:bCs w:val="0"/>
                <w:noProof/>
                <w:webHidden/>
                <w:sz w:val="24"/>
                <w:szCs w:val="24"/>
              </w:rPr>
              <w:tab/>
            </w:r>
            <w:r w:rsidR="00A72CC9" w:rsidRPr="002A77FC">
              <w:rPr>
                <w:rFonts w:ascii="Arial" w:hAnsi="Arial" w:cs="Arial"/>
                <w:b w:val="0"/>
                <w:bCs w:val="0"/>
                <w:noProof/>
                <w:webHidden/>
                <w:sz w:val="24"/>
                <w:szCs w:val="24"/>
              </w:rPr>
              <w:fldChar w:fldCharType="begin"/>
            </w:r>
            <w:r w:rsidR="00A72CC9" w:rsidRPr="002A77FC">
              <w:rPr>
                <w:rFonts w:ascii="Arial" w:hAnsi="Arial" w:cs="Arial"/>
                <w:b w:val="0"/>
                <w:bCs w:val="0"/>
                <w:noProof/>
                <w:webHidden/>
                <w:sz w:val="24"/>
                <w:szCs w:val="24"/>
              </w:rPr>
              <w:instrText xml:space="preserve"> PAGEREF _Toc230268900 \h </w:instrText>
            </w:r>
            <w:r w:rsidR="00A72CC9" w:rsidRPr="002A77FC">
              <w:rPr>
                <w:rFonts w:ascii="Arial" w:hAnsi="Arial" w:cs="Arial"/>
                <w:b w:val="0"/>
                <w:bCs w:val="0"/>
                <w:noProof/>
                <w:webHidden/>
                <w:sz w:val="24"/>
                <w:szCs w:val="24"/>
              </w:rPr>
            </w:r>
            <w:r w:rsidR="00A72CC9" w:rsidRPr="002A77FC">
              <w:rPr>
                <w:rFonts w:ascii="Arial" w:hAnsi="Arial" w:cs="Arial"/>
                <w:b w:val="0"/>
                <w:bCs w:val="0"/>
                <w:noProof/>
                <w:webHidden/>
                <w:sz w:val="24"/>
                <w:szCs w:val="24"/>
              </w:rPr>
              <w:fldChar w:fldCharType="separate"/>
            </w:r>
            <w:r w:rsidR="004F410E" w:rsidRPr="002A77FC">
              <w:rPr>
                <w:rFonts w:ascii="Arial" w:hAnsi="Arial" w:cs="Arial"/>
                <w:b w:val="0"/>
                <w:bCs w:val="0"/>
                <w:noProof/>
                <w:webHidden/>
                <w:sz w:val="24"/>
                <w:szCs w:val="24"/>
              </w:rPr>
              <w:t>70</w:t>
            </w:r>
            <w:r w:rsidR="00A72CC9" w:rsidRPr="002A77FC">
              <w:rPr>
                <w:rFonts w:ascii="Arial" w:hAnsi="Arial" w:cs="Arial"/>
                <w:b w:val="0"/>
                <w:bCs w:val="0"/>
                <w:noProof/>
                <w:webHidden/>
                <w:sz w:val="24"/>
                <w:szCs w:val="24"/>
              </w:rPr>
              <w:fldChar w:fldCharType="end"/>
            </w:r>
          </w:hyperlink>
        </w:p>
        <w:p w14:paraId="387373C0" w14:textId="4FEE7D53"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901" w:history="1">
            <w:r w:rsidR="00A72CC9" w:rsidRPr="002A77FC">
              <w:rPr>
                <w:rStyle w:val="Hyperlink"/>
                <w:rFonts w:ascii="Arial" w:eastAsiaTheme="majorEastAsia" w:hAnsi="Arial" w:cs="Arial"/>
                <w:noProof/>
                <w:color w:val="auto"/>
                <w:sz w:val="24"/>
              </w:rPr>
              <w:t>Appendix A1: Dataset and Approach</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_Toc230268901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70</w:t>
            </w:r>
            <w:r w:rsidR="00A72CC9" w:rsidRPr="002A77FC">
              <w:rPr>
                <w:rFonts w:ascii="Arial" w:hAnsi="Arial" w:cs="Arial"/>
                <w:noProof/>
                <w:webHidden/>
                <w:sz w:val="24"/>
              </w:rPr>
              <w:fldChar w:fldCharType="end"/>
            </w:r>
          </w:hyperlink>
        </w:p>
        <w:p w14:paraId="402C4CE4" w14:textId="74AAAB6D"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902" w:history="1">
            <w:r w:rsidR="00A72CC9" w:rsidRPr="002A77FC">
              <w:rPr>
                <w:rStyle w:val="Hyperlink"/>
                <w:rFonts w:ascii="Arial" w:eastAsiaTheme="majorEastAsia" w:hAnsi="Arial" w:cs="Arial"/>
                <w:noProof/>
                <w:color w:val="auto"/>
                <w:sz w:val="24"/>
              </w:rPr>
              <w:t>Appendix A2: Initial Codes</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_Toc230268902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70</w:t>
            </w:r>
            <w:r w:rsidR="00A72CC9" w:rsidRPr="002A77FC">
              <w:rPr>
                <w:rFonts w:ascii="Arial" w:hAnsi="Arial" w:cs="Arial"/>
                <w:noProof/>
                <w:webHidden/>
                <w:sz w:val="24"/>
              </w:rPr>
              <w:fldChar w:fldCharType="end"/>
            </w:r>
          </w:hyperlink>
        </w:p>
        <w:p w14:paraId="7E8E8CE2" w14:textId="2B0F08B6"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903" w:history="1">
            <w:r w:rsidR="00A72CC9" w:rsidRPr="002A77FC">
              <w:rPr>
                <w:rStyle w:val="Hyperlink"/>
                <w:rFonts w:ascii="Arial" w:eastAsiaTheme="majorEastAsia" w:hAnsi="Arial" w:cs="Arial"/>
                <w:noProof/>
                <w:color w:val="auto"/>
                <w:sz w:val="24"/>
              </w:rPr>
              <w:t>Appendix A3: Code-to-Theme Development</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_Toc230268903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71</w:t>
            </w:r>
            <w:r w:rsidR="00A72CC9" w:rsidRPr="002A77FC">
              <w:rPr>
                <w:rFonts w:ascii="Arial" w:hAnsi="Arial" w:cs="Arial"/>
                <w:noProof/>
                <w:webHidden/>
                <w:sz w:val="24"/>
              </w:rPr>
              <w:fldChar w:fldCharType="end"/>
            </w:r>
          </w:hyperlink>
        </w:p>
        <w:p w14:paraId="3DBFB3EF" w14:textId="16945966"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904" w:history="1">
            <w:r w:rsidR="00A72CC9" w:rsidRPr="002A77FC">
              <w:rPr>
                <w:rStyle w:val="Hyperlink"/>
                <w:rFonts w:ascii="Arial" w:eastAsiaTheme="majorEastAsia" w:hAnsi="Arial" w:cs="Arial"/>
                <w:noProof/>
                <w:color w:val="auto"/>
                <w:sz w:val="24"/>
              </w:rPr>
              <w:t>Appendix A4: Final Themes Linked to Research Question</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_Toc230268904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72</w:t>
            </w:r>
            <w:r w:rsidR="00A72CC9" w:rsidRPr="002A77FC">
              <w:rPr>
                <w:rFonts w:ascii="Arial" w:hAnsi="Arial" w:cs="Arial"/>
                <w:noProof/>
                <w:webHidden/>
                <w:sz w:val="24"/>
              </w:rPr>
              <w:fldChar w:fldCharType="end"/>
            </w:r>
          </w:hyperlink>
        </w:p>
        <w:p w14:paraId="7E66BEFF" w14:textId="09F7E441" w:rsidR="00A72CC9" w:rsidRPr="002A77FC" w:rsidRDefault="00000000">
          <w:pPr>
            <w:pStyle w:val="TOC3"/>
            <w:tabs>
              <w:tab w:val="right" w:leader="dot" w:pos="9016"/>
            </w:tabs>
            <w:rPr>
              <w:rFonts w:ascii="Arial" w:eastAsiaTheme="minorEastAsia" w:hAnsi="Arial" w:cs="Arial"/>
              <w:noProof/>
              <w:sz w:val="24"/>
              <w:lang w:val="en-BD" w:bidi="bn-IN"/>
            </w:rPr>
          </w:pPr>
          <w:hyperlink w:anchor="_Toc230268905" w:history="1">
            <w:r w:rsidR="00A72CC9" w:rsidRPr="002A77FC">
              <w:rPr>
                <w:rStyle w:val="Hyperlink"/>
                <w:rFonts w:ascii="Arial" w:eastAsiaTheme="majorEastAsia" w:hAnsi="Arial" w:cs="Arial"/>
                <w:noProof/>
                <w:color w:val="auto"/>
                <w:sz w:val="24"/>
              </w:rPr>
              <w:t>Appendix A5: Cross-Case Summary</w:t>
            </w:r>
            <w:r w:rsidR="00A72CC9" w:rsidRPr="002A77FC">
              <w:rPr>
                <w:rFonts w:ascii="Arial" w:hAnsi="Arial" w:cs="Arial"/>
                <w:noProof/>
                <w:webHidden/>
                <w:sz w:val="24"/>
              </w:rPr>
              <w:tab/>
            </w:r>
            <w:r w:rsidR="00A72CC9" w:rsidRPr="002A77FC">
              <w:rPr>
                <w:rFonts w:ascii="Arial" w:hAnsi="Arial" w:cs="Arial"/>
                <w:noProof/>
                <w:webHidden/>
                <w:sz w:val="24"/>
              </w:rPr>
              <w:fldChar w:fldCharType="begin"/>
            </w:r>
            <w:r w:rsidR="00A72CC9" w:rsidRPr="002A77FC">
              <w:rPr>
                <w:rFonts w:ascii="Arial" w:hAnsi="Arial" w:cs="Arial"/>
                <w:noProof/>
                <w:webHidden/>
                <w:sz w:val="24"/>
              </w:rPr>
              <w:instrText xml:space="preserve"> PAGEREF _Toc230268905 \h </w:instrText>
            </w:r>
            <w:r w:rsidR="00A72CC9" w:rsidRPr="002A77FC">
              <w:rPr>
                <w:rFonts w:ascii="Arial" w:hAnsi="Arial" w:cs="Arial"/>
                <w:noProof/>
                <w:webHidden/>
                <w:sz w:val="24"/>
              </w:rPr>
            </w:r>
            <w:r w:rsidR="00A72CC9" w:rsidRPr="002A77FC">
              <w:rPr>
                <w:rFonts w:ascii="Arial" w:hAnsi="Arial" w:cs="Arial"/>
                <w:noProof/>
                <w:webHidden/>
                <w:sz w:val="24"/>
              </w:rPr>
              <w:fldChar w:fldCharType="separate"/>
            </w:r>
            <w:r w:rsidR="004F410E" w:rsidRPr="002A77FC">
              <w:rPr>
                <w:rFonts w:ascii="Arial" w:hAnsi="Arial" w:cs="Arial"/>
                <w:noProof/>
                <w:webHidden/>
                <w:sz w:val="24"/>
              </w:rPr>
              <w:t>73</w:t>
            </w:r>
            <w:r w:rsidR="00A72CC9" w:rsidRPr="002A77FC">
              <w:rPr>
                <w:rFonts w:ascii="Arial" w:hAnsi="Arial" w:cs="Arial"/>
                <w:noProof/>
                <w:webHidden/>
                <w:sz w:val="24"/>
              </w:rPr>
              <w:fldChar w:fldCharType="end"/>
            </w:r>
          </w:hyperlink>
        </w:p>
        <w:p w14:paraId="256E4353" w14:textId="46BA4169" w:rsidR="004F4D92" w:rsidRPr="002A77FC" w:rsidRDefault="004F4D92" w:rsidP="00012868">
          <w:pPr>
            <w:spacing w:line="360" w:lineRule="auto"/>
            <w:jc w:val="both"/>
            <w:rPr>
              <w:rFonts w:ascii="Arial" w:hAnsi="Arial" w:cs="Arial"/>
            </w:rPr>
          </w:pPr>
          <w:r w:rsidRPr="002A77FC">
            <w:rPr>
              <w:rFonts w:ascii="Arial" w:hAnsi="Arial" w:cs="Arial"/>
              <w:noProof/>
            </w:rPr>
            <w:fldChar w:fldCharType="end"/>
          </w:r>
        </w:p>
      </w:sdtContent>
    </w:sdt>
    <w:p w14:paraId="65E1A281" w14:textId="2B200D0C" w:rsidR="00101928" w:rsidRPr="002A77FC" w:rsidRDefault="00101928" w:rsidP="00012868">
      <w:pPr>
        <w:spacing w:after="160" w:line="360" w:lineRule="auto"/>
        <w:jc w:val="both"/>
        <w:rPr>
          <w:rFonts w:ascii="Arial" w:hAnsi="Arial" w:cs="Arial"/>
        </w:rPr>
      </w:pPr>
    </w:p>
    <w:p w14:paraId="2FD5D763" w14:textId="77777777" w:rsidR="00101928" w:rsidRPr="002A77FC" w:rsidRDefault="00101928" w:rsidP="00012868">
      <w:pPr>
        <w:spacing w:after="160" w:line="360" w:lineRule="auto"/>
        <w:jc w:val="both"/>
        <w:rPr>
          <w:rFonts w:ascii="Arial" w:hAnsi="Arial" w:cs="Arial"/>
        </w:rPr>
      </w:pPr>
    </w:p>
    <w:p w14:paraId="67D51281" w14:textId="77777777" w:rsidR="00101928" w:rsidRPr="002A77FC" w:rsidRDefault="00101928" w:rsidP="00012868">
      <w:pPr>
        <w:spacing w:after="160" w:line="360" w:lineRule="auto"/>
        <w:jc w:val="both"/>
        <w:rPr>
          <w:rFonts w:ascii="Arial" w:hAnsi="Arial" w:cs="Arial"/>
        </w:rPr>
      </w:pPr>
      <w:r w:rsidRPr="002A77FC">
        <w:rPr>
          <w:rFonts w:ascii="Arial" w:hAnsi="Arial" w:cs="Arial"/>
        </w:rPr>
        <w:br w:type="page"/>
      </w:r>
    </w:p>
    <w:p w14:paraId="7EE11B5A" w14:textId="2A167979" w:rsidR="00101928" w:rsidRPr="002A77FC" w:rsidRDefault="00101928" w:rsidP="00A808C0">
      <w:pPr>
        <w:pStyle w:val="Heading1"/>
        <w:rPr>
          <w:sz w:val="24"/>
        </w:rPr>
      </w:pPr>
      <w:bookmarkStart w:id="6" w:name="_Toc230268805"/>
      <w:r w:rsidRPr="002A77FC">
        <w:lastRenderedPageBreak/>
        <w:t xml:space="preserve">Chapter 1: Introduction </w:t>
      </w:r>
      <w:r w:rsidR="00195BAC" w:rsidRPr="002A77FC">
        <w:t>a</w:t>
      </w:r>
      <w:r w:rsidRPr="002A77FC">
        <w:t>nd Rationale</w:t>
      </w:r>
      <w:bookmarkEnd w:id="6"/>
    </w:p>
    <w:p w14:paraId="1CE33D84" w14:textId="77777777" w:rsidR="00101928" w:rsidRPr="002A77FC" w:rsidRDefault="00101928" w:rsidP="00012868">
      <w:pPr>
        <w:pStyle w:val="Heading2"/>
        <w:rPr>
          <w:rFonts w:ascii="Arial" w:hAnsi="Arial" w:cs="Arial"/>
          <w:color w:val="auto"/>
        </w:rPr>
      </w:pPr>
      <w:bookmarkStart w:id="7" w:name="_Toc230268806"/>
      <w:r w:rsidRPr="002A77FC">
        <w:rPr>
          <w:rFonts w:ascii="Arial" w:hAnsi="Arial" w:cs="Arial"/>
          <w:color w:val="auto"/>
        </w:rPr>
        <w:t>1.1 Research Background</w:t>
      </w:r>
      <w:bookmarkEnd w:id="7"/>
    </w:p>
    <w:p w14:paraId="54BBA122" w14:textId="133B31EF" w:rsidR="00101928" w:rsidRPr="002A77FC" w:rsidRDefault="00101928" w:rsidP="00012868">
      <w:pPr>
        <w:spacing w:line="360" w:lineRule="auto"/>
        <w:jc w:val="both"/>
        <w:rPr>
          <w:rFonts w:ascii="Arial" w:hAnsi="Arial" w:cs="Arial"/>
        </w:rPr>
      </w:pPr>
      <w:r w:rsidRPr="002A77FC">
        <w:rPr>
          <w:rFonts w:ascii="Arial" w:hAnsi="Arial" w:cs="Arial"/>
        </w:rPr>
        <w:t>The UK FMCG market is a business in a highly competitive and environmentally friendly state. Businesses are faced with difficult ESR policies, net-zero goals, and shareholder pressure from regulators and activists. Being sustainable is no longer a compulsory process but a strategic requirement</w:t>
      </w:r>
      <w:r w:rsidR="00926E9A" w:rsidRPr="002A77FC">
        <w:rPr>
          <w:rFonts w:ascii="Arial" w:hAnsi="Arial" w:cs="Arial"/>
        </w:rPr>
        <w:t xml:space="preserve"> (Hasani et al., 2022)</w:t>
      </w:r>
      <w:r w:rsidRPr="002A77FC">
        <w:rPr>
          <w:rFonts w:ascii="Arial" w:hAnsi="Arial" w:cs="Arial"/>
        </w:rPr>
        <w:t>. Digital transformation has also contested towards the achievement of transparency since consumers can easily access and test claims of a corporation. This is a chance and a threat. Commercial companies like Unilever are increasingly promoting sustainability so as to make sure that they remain pertinent in the market. But this merit is being thinned out</w:t>
      </w:r>
      <w:r w:rsidR="00926E9A" w:rsidRPr="002A77FC">
        <w:rPr>
          <w:rFonts w:ascii="Arial" w:hAnsi="Arial" w:cs="Arial"/>
        </w:rPr>
        <w:t xml:space="preserve"> (Bodenheimer and Leidenberger, 2020)</w:t>
      </w:r>
      <w:r w:rsidRPr="002A77FC">
        <w:rPr>
          <w:rFonts w:ascii="Arial" w:hAnsi="Arial" w:cs="Arial"/>
        </w:rPr>
        <w:t>. This type of sustainability positioning is being followed by numerous competitors, and it cannot be discriminated against easily. This means that the idea of sustainability will become a mere anticipation, rather than a location strategic tool.</w:t>
      </w:r>
    </w:p>
    <w:p w14:paraId="3D216753" w14:textId="5DF36B43" w:rsidR="00101928" w:rsidRPr="002A77FC" w:rsidRDefault="00101928" w:rsidP="00012868">
      <w:pPr>
        <w:spacing w:line="360" w:lineRule="auto"/>
        <w:jc w:val="both"/>
        <w:rPr>
          <w:rFonts w:ascii="Arial" w:hAnsi="Arial" w:cs="Arial"/>
        </w:rPr>
      </w:pPr>
      <w:r w:rsidRPr="002A77FC">
        <w:rPr>
          <w:rFonts w:ascii="Arial" w:hAnsi="Arial" w:cs="Arial"/>
        </w:rPr>
        <w:t>Sustainability communication is the manner in which companies influence their stakeholders on their environmental, social and governance operations. It is important in building the brand image of a product and affecting perception by the consumer. Theoretically, the existence of trust and enhancement of long-term relations should be achieved by means of clear and transparent communications</w:t>
      </w:r>
      <w:r w:rsidR="00926E9A" w:rsidRPr="002A77FC">
        <w:rPr>
          <w:rFonts w:ascii="Arial" w:hAnsi="Arial" w:cs="Arial"/>
        </w:rPr>
        <w:t xml:space="preserve"> (Dessart and Standaert, 2023)</w:t>
      </w:r>
      <w:r w:rsidRPr="002A77FC">
        <w:rPr>
          <w:rFonts w:ascii="Arial" w:hAnsi="Arial" w:cs="Arial"/>
        </w:rPr>
        <w:t>. It also helps in competition positioning in the ethically conscious markets. However, in most instances, this assumption has been overridden. Credibility does not necessarily come about through the act of communication. Whenever the messages are too promotional, consumers can choose to doubt the realness of corporate assertions. In the case of Unilever, high sustainability stories could still be sceptical when they are considered to be more marketing-oriented than value-oriented.</w:t>
      </w:r>
    </w:p>
    <w:p w14:paraId="4585AA0D" w14:textId="739D6D65" w:rsidR="00101928" w:rsidRPr="002A77FC" w:rsidRDefault="00101928" w:rsidP="00012868">
      <w:pPr>
        <w:spacing w:line="360" w:lineRule="auto"/>
        <w:jc w:val="both"/>
        <w:rPr>
          <w:rFonts w:ascii="Arial" w:hAnsi="Arial" w:cs="Arial"/>
        </w:rPr>
      </w:pPr>
      <w:r w:rsidRPr="002A77FC">
        <w:rPr>
          <w:rFonts w:ascii="Arial" w:hAnsi="Arial" w:cs="Arial"/>
        </w:rPr>
        <w:t>Due to the increasing climate concerns and the growing trends towards ethical consumption, sustainability has emerged as a pressing issue. ESG investing has led to increased accountability by corporations. In the meantime, sustainability narratives grow with the influence of online information and social media. They can help the firms to approach the consumers directly</w:t>
      </w:r>
      <w:r w:rsidR="00926E9A" w:rsidRPr="002A77FC">
        <w:rPr>
          <w:rFonts w:ascii="Arial" w:hAnsi="Arial" w:cs="Arial"/>
        </w:rPr>
        <w:t xml:space="preserve"> (Lock and Seele, 2015)</w:t>
      </w:r>
      <w:r w:rsidRPr="002A77FC">
        <w:rPr>
          <w:rFonts w:ascii="Arial" w:hAnsi="Arial" w:cs="Arial"/>
        </w:rPr>
        <w:t xml:space="preserve">. Nevertheless, they also subject firms to unlimited criticism. Corporate claims are refutable, and more information is given to consumers. This increased exposure brings about a paradox. </w:t>
      </w:r>
      <w:r w:rsidRPr="002A77FC">
        <w:rPr>
          <w:rFonts w:ascii="Arial" w:hAnsi="Arial" w:cs="Arial"/>
        </w:rPr>
        <w:lastRenderedPageBreak/>
        <w:t>Although communication can assist the firms in building a formidable reputation, they are also likely to encounter increased reputation risk. Such communication regarding sustainability is not only necessary but also a destructive issue in the case of companies such as Unilever.</w:t>
      </w:r>
    </w:p>
    <w:p w14:paraId="33D998D4" w14:textId="02307924" w:rsidR="00101928" w:rsidRPr="002A77FC" w:rsidRDefault="00101928" w:rsidP="00012868">
      <w:pPr>
        <w:spacing w:line="360" w:lineRule="auto"/>
        <w:jc w:val="both"/>
        <w:rPr>
          <w:rFonts w:ascii="Arial" w:hAnsi="Arial" w:cs="Arial"/>
        </w:rPr>
      </w:pPr>
      <w:r w:rsidRPr="002A77FC">
        <w:rPr>
          <w:rFonts w:ascii="Arial" w:hAnsi="Arial" w:cs="Arial"/>
        </w:rPr>
        <w:t>One of the issues is the clash between actual communication and greenwashing. Companies have to become sustainable, so as to be competitive, but too much promulgation will decrease credibility. This is a dilemma for strategy. As long as the companies do an under-communication, they fail to enjoy the reputational benefits. In case they communicate excessively, they might be termed as misleading. Such an imbalance between the assertions and actual practices worsens this issue</w:t>
      </w:r>
      <w:r w:rsidR="00926E9A" w:rsidRPr="002A77FC">
        <w:rPr>
          <w:rFonts w:ascii="Arial" w:hAnsi="Arial" w:cs="Arial"/>
        </w:rPr>
        <w:t xml:space="preserve"> (Neumann, Martinez and Martinez, 2021)</w:t>
      </w:r>
      <w:r w:rsidRPr="002A77FC">
        <w:rPr>
          <w:rFonts w:ascii="Arial" w:hAnsi="Arial" w:cs="Arial"/>
        </w:rPr>
        <w:t>. Disagreements may be construed to mean deliberate deceit by consumers. It undermines trust and negatively impacts brand reputation. Thus, sustainability communication can be considered a two-sided approach. It has the ability to bolster or degrade reputation, depending on perceptions.</w:t>
      </w:r>
    </w:p>
    <w:p w14:paraId="3DC8CA44" w14:textId="5F28BF94" w:rsidR="00101928" w:rsidRPr="002A77FC" w:rsidRDefault="00101928" w:rsidP="00012868">
      <w:pPr>
        <w:spacing w:line="360" w:lineRule="auto"/>
        <w:jc w:val="both"/>
        <w:rPr>
          <w:rFonts w:ascii="Arial" w:hAnsi="Arial" w:cs="Arial"/>
        </w:rPr>
      </w:pPr>
      <w:r w:rsidRPr="002A77FC">
        <w:rPr>
          <w:rFonts w:ascii="Arial" w:hAnsi="Arial" w:cs="Arial"/>
        </w:rPr>
        <w:t>The literature is biased towards the discussion of either brand reputation or sustainability practices alone. Very little consideration is given to how these elements relate to each other by communication. Studies infrequently lump together such research as communication, perception and reputation</w:t>
      </w:r>
      <w:r w:rsidR="00926E9A" w:rsidRPr="002A77FC">
        <w:rPr>
          <w:rFonts w:ascii="Arial" w:hAnsi="Arial" w:cs="Arial"/>
        </w:rPr>
        <w:t xml:space="preserve"> (Marques and Mauro, 2025)</w:t>
      </w:r>
      <w:r w:rsidRPr="002A77FC">
        <w:rPr>
          <w:rFonts w:ascii="Arial" w:hAnsi="Arial" w:cs="Arial"/>
        </w:rPr>
        <w:t>. Also, much of the literature is not context-specific. The UK market is the one that is special, as it is characterised by high consumer awareness and control. This provides reasons why sustainability communication may be utilised in a different manner. The example of Unilever is applicable since the brand possesses a formidable reputation in the area of sustainability and can be noticed by people. How its communication is impacting perception and reputation remains, however, an unexplored way.</w:t>
      </w:r>
    </w:p>
    <w:p w14:paraId="5B0476F5" w14:textId="77777777" w:rsidR="00101928" w:rsidRPr="002A77FC" w:rsidRDefault="00101928" w:rsidP="00012868">
      <w:pPr>
        <w:spacing w:line="360" w:lineRule="auto"/>
        <w:jc w:val="both"/>
        <w:rPr>
          <w:rFonts w:ascii="Arial" w:hAnsi="Arial" w:cs="Arial"/>
        </w:rPr>
      </w:pPr>
    </w:p>
    <w:p w14:paraId="55547031" w14:textId="77777777" w:rsidR="00101928" w:rsidRPr="002A77FC" w:rsidRDefault="00101928" w:rsidP="00012868">
      <w:pPr>
        <w:pStyle w:val="Heading2"/>
        <w:rPr>
          <w:rFonts w:ascii="Arial" w:hAnsi="Arial" w:cs="Arial"/>
          <w:color w:val="auto"/>
        </w:rPr>
      </w:pPr>
      <w:bookmarkStart w:id="8" w:name="_Toc230268807"/>
      <w:r w:rsidRPr="002A77FC">
        <w:rPr>
          <w:rFonts w:ascii="Arial" w:hAnsi="Arial" w:cs="Arial"/>
          <w:color w:val="auto"/>
        </w:rPr>
        <w:t>1.2 Research Rationale</w:t>
      </w:r>
      <w:bookmarkEnd w:id="8"/>
    </w:p>
    <w:p w14:paraId="2360E3D1" w14:textId="77777777" w:rsidR="00101928" w:rsidRPr="002A77FC" w:rsidRDefault="00101928" w:rsidP="00012868">
      <w:pPr>
        <w:pStyle w:val="Heading3"/>
        <w:rPr>
          <w:rFonts w:ascii="Arial" w:hAnsi="Arial" w:cs="Arial"/>
          <w:color w:val="auto"/>
        </w:rPr>
      </w:pPr>
      <w:bookmarkStart w:id="9" w:name="_Toc230268808"/>
      <w:r w:rsidRPr="002A77FC">
        <w:rPr>
          <w:rFonts w:ascii="Arial" w:hAnsi="Arial" w:cs="Arial"/>
          <w:color w:val="auto"/>
        </w:rPr>
        <w:t>1.2.1 Theoretical Justification</w:t>
      </w:r>
      <w:bookmarkEnd w:id="9"/>
    </w:p>
    <w:p w14:paraId="57107E80" w14:textId="04BBFE3F" w:rsidR="00101928" w:rsidRPr="002A77FC" w:rsidRDefault="00101928" w:rsidP="00012868">
      <w:pPr>
        <w:spacing w:line="360" w:lineRule="auto"/>
        <w:jc w:val="both"/>
        <w:rPr>
          <w:rFonts w:ascii="Arial" w:hAnsi="Arial" w:cs="Arial"/>
        </w:rPr>
      </w:pPr>
      <w:r w:rsidRPr="002A77FC">
        <w:rPr>
          <w:rFonts w:ascii="Arial" w:hAnsi="Arial" w:cs="Arial"/>
        </w:rPr>
        <w:t>Available literature elucidates a lot on sustainability communication using various theories which prevail. Stakeholder Theory states that to gain legitimacy and keep its value in the long-term, companies must meet the needs of the diverse stakeholders. By addressing the concerns of the stakeholders, such as environmental responsibility, it assumes, therefore, an improvement in relationships and trust</w:t>
      </w:r>
      <w:r w:rsidR="00926E9A" w:rsidRPr="002A77FC">
        <w:rPr>
          <w:rFonts w:ascii="Arial" w:hAnsi="Arial" w:cs="Arial"/>
        </w:rPr>
        <w:t xml:space="preserve"> (Luo et al., 2020)</w:t>
      </w:r>
      <w:r w:rsidRPr="002A77FC">
        <w:rPr>
          <w:rFonts w:ascii="Arial" w:hAnsi="Arial" w:cs="Arial"/>
        </w:rPr>
        <w:t xml:space="preserve">. </w:t>
      </w:r>
      <w:r w:rsidRPr="002A77FC">
        <w:rPr>
          <w:rFonts w:ascii="Arial" w:hAnsi="Arial" w:cs="Arial"/>
        </w:rPr>
        <w:lastRenderedPageBreak/>
        <w:t>More specific to the legitimacy theory, it is suggested that organisations resort to sustainability communication as they have to adapt themselves according to the social rules and have to be approved in society. In this manner, communication will be the language of implied justification of corporate actions and their acceptance</w:t>
      </w:r>
      <w:r w:rsidR="00926E9A" w:rsidRPr="002A77FC">
        <w:rPr>
          <w:rFonts w:ascii="Arial" w:hAnsi="Arial" w:cs="Arial"/>
        </w:rPr>
        <w:t xml:space="preserve"> (Ragab and Arisha, 2017)</w:t>
      </w:r>
      <w:r w:rsidRPr="002A77FC">
        <w:rPr>
          <w:rFonts w:ascii="Arial" w:hAnsi="Arial" w:cs="Arial"/>
        </w:rPr>
        <w:t>. Likewise, Signalling Theory depicts that sustainability disclosures are signals of corporate responsibility that decrease the information asymmetry between enterprises and stakeholders. Constant and robust cues are bound to achieve credibility. Alongside this is the Brand Equity Theory that emerges in attributing the results to these processes. It implies that brand name loyalty and brand image will be enhanced through the positive perceptions and trust over time. Throughout these schools of thought, there is a similar assumption. Consistency and openness to communication are the means of building trust and reputation</w:t>
      </w:r>
      <w:r w:rsidR="00926E9A" w:rsidRPr="002A77FC">
        <w:rPr>
          <w:rFonts w:ascii="Arial" w:hAnsi="Arial" w:cs="Arial"/>
        </w:rPr>
        <w:t xml:space="preserve"> (Singh et al., 2020)</w:t>
      </w:r>
      <w:r w:rsidRPr="002A77FC">
        <w:rPr>
          <w:rFonts w:ascii="Arial" w:hAnsi="Arial" w:cs="Arial"/>
        </w:rPr>
        <w:t>. This has given rise to the integration of sustainability communication in bigger strategic communication frameworks. However, this accord has a bias to perceive communication as inherently effective with minimal questioning of how the stakeholders will make sense of these messages in a practical manner, especially in the uncertain and complex market like that in the UK.</w:t>
      </w:r>
    </w:p>
    <w:p w14:paraId="2ED1C978" w14:textId="261D93F6" w:rsidR="00101928" w:rsidRPr="002A77FC" w:rsidRDefault="00101928" w:rsidP="00012868">
      <w:pPr>
        <w:spacing w:line="360" w:lineRule="auto"/>
        <w:jc w:val="both"/>
        <w:rPr>
          <w:rFonts w:ascii="Arial" w:hAnsi="Arial" w:cs="Arial"/>
        </w:rPr>
      </w:pPr>
      <w:r w:rsidRPr="002A77FC">
        <w:rPr>
          <w:rFonts w:ascii="Arial" w:hAnsi="Arial" w:cs="Arial"/>
        </w:rPr>
        <w:t>Despite the fact that it is underpinned by a sufficient amount of theory, it has many limitations. According to Stakeholder Theory, the stakeholders have a rational response to the corporate activities. This assumption is weak in the modern markets where perception is enlightened by emotion, scepticism, and the media discourses. Sustainability claims are not consistently objectively measured by consumers</w:t>
      </w:r>
      <w:r w:rsidR="00926E9A" w:rsidRPr="002A77FC">
        <w:rPr>
          <w:rFonts w:ascii="Arial" w:hAnsi="Arial" w:cs="Arial"/>
        </w:rPr>
        <w:t xml:space="preserve"> (Reilly and Hynan, 2014)</w:t>
      </w:r>
      <w:r w:rsidRPr="002A77FC">
        <w:rPr>
          <w:rFonts w:ascii="Arial" w:hAnsi="Arial" w:cs="Arial"/>
        </w:rPr>
        <w:t>. There are also limits to the Legitimacy Theory. It is concerned with gaining the likes of society, yet it is not much concerned with the development of distrust. Corporate motives may not augur well with the stakeholders in highly conscious markets, but they may confront them. Signalling Theory is also based on the assumption of a believable and appropriate perception of signals. In practice, indicators are open to misinterpretation or distortion. This leaves open areas of greenwashing. It is also simplified by Brand Equity Theory</w:t>
      </w:r>
      <w:r w:rsidR="00926E9A" w:rsidRPr="002A77FC">
        <w:rPr>
          <w:rFonts w:ascii="Arial" w:hAnsi="Arial" w:cs="Arial"/>
        </w:rPr>
        <w:t xml:space="preserve"> (Wæraas and Dahle, 2020)</w:t>
      </w:r>
      <w:r w:rsidRPr="002A77FC">
        <w:rPr>
          <w:rFonts w:ascii="Arial" w:hAnsi="Arial" w:cs="Arial"/>
        </w:rPr>
        <w:t xml:space="preserve">. It will prefer to view the perception as being a straight line between communication and trust, and accordingly, to reputation. Nevertheless, perception is discontinuous and affected by the outside influences like media, activism and previous brand information. Empirical evidence, too, is incongruent. Sustainability communication has positive impacts and has been proven as positive in certain research, though its </w:t>
      </w:r>
      <w:r w:rsidRPr="002A77FC">
        <w:rPr>
          <w:rFonts w:ascii="Arial" w:hAnsi="Arial" w:cs="Arial"/>
        </w:rPr>
        <w:lastRenderedPageBreak/>
        <w:t>impacts are doubtful and include a backlash. Besides, the context-specific analysis is not included in a considerable part of the literature</w:t>
      </w:r>
      <w:r w:rsidR="00926E9A" w:rsidRPr="002A77FC">
        <w:rPr>
          <w:rFonts w:ascii="Arial" w:hAnsi="Arial" w:cs="Arial"/>
        </w:rPr>
        <w:t xml:space="preserve"> (Thomas, Bhatt and Patel, 2024)</w:t>
      </w:r>
      <w:r w:rsidRPr="002A77FC">
        <w:rPr>
          <w:rFonts w:ascii="Arial" w:hAnsi="Arial" w:cs="Arial"/>
        </w:rPr>
        <w:t>. The massively saturated UK market, with its well-informed consumers, is hardly taken into consideration. These gaps indicate that the current theories are not comprehensive enough to describe the operation of sustainability communication in the field.</w:t>
      </w:r>
    </w:p>
    <w:p w14:paraId="412AD9AF" w14:textId="76E7D171" w:rsidR="00101928" w:rsidRPr="002A77FC" w:rsidRDefault="00101928" w:rsidP="00012868">
      <w:pPr>
        <w:spacing w:line="360" w:lineRule="auto"/>
        <w:jc w:val="both"/>
        <w:rPr>
          <w:rFonts w:ascii="Arial" w:hAnsi="Arial" w:cs="Arial"/>
        </w:rPr>
      </w:pPr>
      <w:r w:rsidRPr="002A77FC">
        <w:rPr>
          <w:rFonts w:ascii="Arial" w:hAnsi="Arial" w:cs="Arial"/>
        </w:rPr>
        <w:t>In addition to these weaknesses, a weak gap in research is apparent. The issue of the absence of an integrated framework, which can inform how sustainability communication may be changed in perception, trust and brand reputation, is a problem that is present. The ongoing studies have a tendency to concentrate towards the individual aspects rather than addressing them as processes which are interconnected</w:t>
      </w:r>
      <w:r w:rsidR="00926E9A" w:rsidRPr="002A77FC">
        <w:rPr>
          <w:rFonts w:ascii="Arial" w:hAnsi="Arial" w:cs="Arial"/>
        </w:rPr>
        <w:t xml:space="preserve"> (Runge et al., 2021)</w:t>
      </w:r>
      <w:r w:rsidRPr="002A77FC">
        <w:rPr>
          <w:rFonts w:ascii="Arial" w:hAnsi="Arial" w:cs="Arial"/>
        </w:rPr>
        <w:t>. Moreover, the issue of consumer scepticism has not been studied properly. Scepticism may be a dampening reaction and change the impact of communication. This holds more especially in terms of companies such as Unilever that have very high sustainability statements that are more than usually monitored. More so, little empirical focus has been put on the existence of multinational firms in the UK setting. This brings a loophole in the unravelling of the role of communication strategies in a very critical market</w:t>
      </w:r>
      <w:r w:rsidR="00926E9A" w:rsidRPr="002A77FC">
        <w:rPr>
          <w:rFonts w:ascii="Arial" w:hAnsi="Arial" w:cs="Arial"/>
        </w:rPr>
        <w:t xml:space="preserve"> (Welch et al., 2022)</w:t>
      </w:r>
      <w:r w:rsidRPr="002A77FC">
        <w:rPr>
          <w:rFonts w:ascii="Arial" w:hAnsi="Arial" w:cs="Arial"/>
        </w:rPr>
        <w:t>. The second big argument is the lack of clarity of the circumstances in which sustainability communication has been effective or unsuccessful. People do not think that existing theories can adequately explain why various contexts yield varying results with similar strategies employed. This results in a lack of full comprehension of the mechanisms. Thus, this paper will fill these gaps by creating a more integrated and context-sensitive definition of sustainability communication and its effects on brand reputation.</w:t>
      </w:r>
    </w:p>
    <w:p w14:paraId="78CEDE1E" w14:textId="77777777" w:rsidR="00101928" w:rsidRPr="002A77FC" w:rsidRDefault="00101928" w:rsidP="00012868">
      <w:pPr>
        <w:pStyle w:val="Heading3"/>
        <w:rPr>
          <w:rFonts w:ascii="Arial" w:hAnsi="Arial" w:cs="Arial"/>
          <w:color w:val="auto"/>
        </w:rPr>
      </w:pPr>
      <w:bookmarkStart w:id="10" w:name="_Toc230268809"/>
      <w:r w:rsidRPr="002A77FC">
        <w:rPr>
          <w:rFonts w:ascii="Arial" w:hAnsi="Arial" w:cs="Arial"/>
          <w:color w:val="auto"/>
        </w:rPr>
        <w:t>1.2.2 Practical Justification</w:t>
      </w:r>
      <w:bookmarkEnd w:id="10"/>
    </w:p>
    <w:p w14:paraId="332C15BE" w14:textId="2E9696F0" w:rsidR="00101928" w:rsidRPr="002A77FC" w:rsidRDefault="00101928" w:rsidP="00012868">
      <w:pPr>
        <w:spacing w:line="360" w:lineRule="auto"/>
        <w:jc w:val="both"/>
        <w:rPr>
          <w:rFonts w:ascii="Arial" w:hAnsi="Arial" w:cs="Arial"/>
        </w:rPr>
      </w:pPr>
      <w:r w:rsidRPr="002A77FC">
        <w:rPr>
          <w:rFonts w:ascii="Arial" w:hAnsi="Arial" w:cs="Arial"/>
        </w:rPr>
        <w:t>Pragmatically, sustainability communication is being invested in highly by organisations as a strategic positioning exercise. Other companies, such as Unilever, make a lot of investment in keeping sustainability campaigns, reporting, and branding. How effective these investments will be is doubtful, however. There is no simple guarantee that will result in increased trust or reputation in communication</w:t>
      </w:r>
      <w:r w:rsidR="00926E9A" w:rsidRPr="002A77FC">
        <w:rPr>
          <w:rFonts w:ascii="Arial" w:hAnsi="Arial" w:cs="Arial"/>
        </w:rPr>
        <w:t xml:space="preserve"> (Veh, Göbel and Vogel, 2019)</w:t>
      </w:r>
      <w:r w:rsidRPr="002A77FC">
        <w:rPr>
          <w:rFonts w:ascii="Arial" w:hAnsi="Arial" w:cs="Arial"/>
        </w:rPr>
        <w:t xml:space="preserve">. Quite on the contrary, businesses get riskier and riskier. When people suspect that statements of sustainability are false or possibly exaggerated, then that may elicit a reaction of greenwashing. This can be in the form of reputational </w:t>
      </w:r>
      <w:r w:rsidRPr="002A77FC">
        <w:rPr>
          <w:rFonts w:ascii="Arial" w:hAnsi="Arial" w:cs="Arial"/>
        </w:rPr>
        <w:lastRenderedPageBreak/>
        <w:t>loss, retaliation by customers and loss of credibility. Managers are confronted with many issues in formulating sustainability communication strategies. One of the key problems is how to balance promotion and authenticity. Overly promotional messages can lessen the credibility, and cautious messages can restrict effectiveness</w:t>
      </w:r>
      <w:r w:rsidR="00926E9A" w:rsidRPr="002A77FC">
        <w:rPr>
          <w:rFonts w:ascii="Arial" w:hAnsi="Arial" w:cs="Arial"/>
        </w:rPr>
        <w:t xml:space="preserve"> (Oghazi et al., 2018)</w:t>
      </w:r>
      <w:r w:rsidRPr="002A77FC">
        <w:rPr>
          <w:rFonts w:ascii="Arial" w:hAnsi="Arial" w:cs="Arial"/>
        </w:rPr>
        <w:t>. The payback of investment is also difficult to assess. Reputation and trust are elusive, and they are dependent on diverse factors. The managers also need to answer the various expectations of different stakeholders, which in most cases are contradictory. You may, so, have an ethically oriented consumer, and a performance-oriented investor. In addition, doubt is on the rise and hinders the building of trust. Consumers are increasingly becoming sceptical of corporate intentions, especially of such high-profile companies as Unilever. Although these are present, there also exist great opportunities</w:t>
      </w:r>
      <w:r w:rsidR="00926E9A" w:rsidRPr="002A77FC">
        <w:rPr>
          <w:rFonts w:ascii="Arial" w:hAnsi="Arial" w:cs="Arial"/>
        </w:rPr>
        <w:t xml:space="preserve"> (Kendall et al., 2019)</w:t>
      </w:r>
      <w:r w:rsidRPr="002A77FC">
        <w:rPr>
          <w:rFonts w:ascii="Arial" w:hAnsi="Arial" w:cs="Arial"/>
        </w:rPr>
        <w:t>. Loss of competitive advantages may be caused by insufficient communication. Firms with ineffective communication of sustainability may not attain all the value of their operations. Trust and differentiation, on the other hand, can be strengthened through the generation of communication that appeals to the user and is consistent. This underscores the value of harmonising communications to practice. The ability to successfully implement this alignment can create a reputational as well as a strategic advantage on a long-term basis for businesses like Unilever.</w:t>
      </w:r>
    </w:p>
    <w:p w14:paraId="3D4AE2A1" w14:textId="77777777" w:rsidR="00101928" w:rsidRPr="002A77FC" w:rsidRDefault="00101928" w:rsidP="00012868">
      <w:pPr>
        <w:pStyle w:val="Heading2"/>
        <w:rPr>
          <w:rFonts w:ascii="Arial" w:hAnsi="Arial" w:cs="Arial"/>
          <w:color w:val="auto"/>
        </w:rPr>
      </w:pPr>
      <w:bookmarkStart w:id="11" w:name="_Toc230268810"/>
      <w:r w:rsidRPr="002A77FC">
        <w:rPr>
          <w:rFonts w:ascii="Arial" w:hAnsi="Arial" w:cs="Arial"/>
          <w:color w:val="auto"/>
        </w:rPr>
        <w:t>1.3 Research Contribution and Motivation</w:t>
      </w:r>
      <w:bookmarkEnd w:id="11"/>
    </w:p>
    <w:p w14:paraId="7CE514B3" w14:textId="6421A056" w:rsidR="00101928" w:rsidRPr="002A77FC" w:rsidRDefault="00101928" w:rsidP="00012868">
      <w:pPr>
        <w:spacing w:line="360" w:lineRule="auto"/>
        <w:jc w:val="both"/>
        <w:rPr>
          <w:rFonts w:ascii="Arial" w:hAnsi="Arial" w:cs="Arial"/>
        </w:rPr>
      </w:pPr>
      <w:r w:rsidRPr="002A77FC">
        <w:rPr>
          <w:rFonts w:ascii="Arial" w:hAnsi="Arial" w:cs="Arial"/>
        </w:rPr>
        <w:t>The present research will contribute since the various theoretical approaches are combined to form a more logical approach. The existing literature is inclined to study the Stakeholder Theory, Legitimacy Theory, Signalling Theory and Brand Equity Theory separately. The consequence of this is shattered explanations of sustainability communications. As these two perspectives allow, the study can have a more multifaceted perspective of the influence of communication on perception and reputation</w:t>
      </w:r>
      <w:r w:rsidR="00926E9A" w:rsidRPr="002A77FC">
        <w:rPr>
          <w:rFonts w:ascii="Arial" w:hAnsi="Arial" w:cs="Arial"/>
        </w:rPr>
        <w:t xml:space="preserve"> (Dang, Nguyen and Pervan, 2020)</w:t>
      </w:r>
      <w:r w:rsidRPr="002A77FC">
        <w:rPr>
          <w:rFonts w:ascii="Arial" w:hAnsi="Arial" w:cs="Arial"/>
        </w:rPr>
        <w:t>. It also expounds sustainability communication as an indirect process and not an outcome. The theories, which are dominant, assume that with the presence of communication, trust will be certain, but this bond cannot be maintained at the same level. Good sustainability messages do not necessarily have a positive impact on perceptions in the case of Unilever. This implies that moderating factors need to be taken into consideration</w:t>
      </w:r>
      <w:r w:rsidR="00926E9A" w:rsidRPr="002A77FC">
        <w:rPr>
          <w:rFonts w:ascii="Arial" w:hAnsi="Arial" w:cs="Arial"/>
        </w:rPr>
        <w:t xml:space="preserve"> (Aksoy and Misci </w:t>
      </w:r>
      <w:r w:rsidR="00926E9A" w:rsidRPr="002A77FC">
        <w:rPr>
          <w:rFonts w:ascii="Arial" w:hAnsi="Arial" w:cs="Arial"/>
        </w:rPr>
        <w:lastRenderedPageBreak/>
        <w:t>Kip, 2025)</w:t>
      </w:r>
      <w:r w:rsidRPr="002A77FC">
        <w:rPr>
          <w:rFonts w:ascii="Arial" w:hAnsi="Arial" w:cs="Arial"/>
        </w:rPr>
        <w:t>. Scepticism and perceived authenticity are thus core conditions which are raised in the research. This is because such factors lead to failure or success in communication. This puts the linear models of brand equity to the test and adds to the more sophisticated approach to perception-based reputation formation.</w:t>
      </w:r>
    </w:p>
    <w:p w14:paraId="7B580B8A" w14:textId="1E025932" w:rsidR="00101928" w:rsidRPr="002A77FC" w:rsidRDefault="00101928" w:rsidP="00012868">
      <w:pPr>
        <w:spacing w:line="360" w:lineRule="auto"/>
        <w:jc w:val="both"/>
        <w:rPr>
          <w:rFonts w:ascii="Arial" w:hAnsi="Arial" w:cs="Arial"/>
        </w:rPr>
      </w:pPr>
      <w:r w:rsidRPr="002A77FC">
        <w:rPr>
          <w:rFonts w:ascii="Arial" w:hAnsi="Arial" w:cs="Arial"/>
        </w:rPr>
        <w:t xml:space="preserve">As part of the empirical approach, the study adopts a </w:t>
      </w:r>
      <w:r w:rsidR="00057CF8" w:rsidRPr="002A77FC">
        <w:rPr>
          <w:rFonts w:ascii="Arial" w:hAnsi="Arial" w:cs="Arial"/>
        </w:rPr>
        <w:t xml:space="preserve">multiple </w:t>
      </w:r>
      <w:r w:rsidRPr="002A77FC">
        <w:rPr>
          <w:rFonts w:ascii="Arial" w:hAnsi="Arial" w:cs="Arial"/>
        </w:rPr>
        <w:t>case study approach (qualitative) in the research of sustainability communication as one of the most profound factors. The methodology can be used to engage in a comprehensive and contextual analysis that is hard to determine in quantitative research</w:t>
      </w:r>
      <w:r w:rsidR="00926E9A" w:rsidRPr="002A77FC">
        <w:rPr>
          <w:rFonts w:ascii="Arial" w:hAnsi="Arial" w:cs="Arial"/>
        </w:rPr>
        <w:t xml:space="preserve"> (Casado-Molina et al., 2020)</w:t>
      </w:r>
      <w:r w:rsidRPr="002A77FC">
        <w:rPr>
          <w:rFonts w:ascii="Arial" w:hAnsi="Arial" w:cs="Arial"/>
        </w:rPr>
        <w:t>. The study has a high level of awareness and suspicion in the UK market due to its focus on Unilever</w:t>
      </w:r>
      <w:r w:rsidR="00057CF8" w:rsidRPr="002A77FC">
        <w:rPr>
          <w:rFonts w:ascii="Arial" w:hAnsi="Arial" w:cs="Arial"/>
        </w:rPr>
        <w:t xml:space="preserve"> and its other competitors</w:t>
      </w:r>
      <w:r w:rsidRPr="002A77FC">
        <w:rPr>
          <w:rFonts w:ascii="Arial" w:hAnsi="Arial" w:cs="Arial"/>
        </w:rPr>
        <w:t>. This is important because, except in the sporadic studies that have been done, high levels of generalised or cross-country data were used in the available studies. Such methods do not normally concern themselves with contextual differences</w:t>
      </w:r>
      <w:r w:rsidR="00926E9A" w:rsidRPr="002A77FC">
        <w:rPr>
          <w:rFonts w:ascii="Arial" w:hAnsi="Arial" w:cs="Arial"/>
        </w:rPr>
        <w:t xml:space="preserve"> (Crumley et al., 2022)</w:t>
      </w:r>
      <w:r w:rsidRPr="002A77FC">
        <w:rPr>
          <w:rFonts w:ascii="Arial" w:hAnsi="Arial" w:cs="Arial"/>
        </w:rPr>
        <w:t>. The case study design is capable of determining the trends, contradictions and reality problems of practical strategies of real-world communication. It also contributes to the limited research that is UK-specific. The technique, however, is limited by the weaknesses, which include low generalisability. However, it is an incredibly learned origin that is indispensable in order to enjoy detailed communication relationships.</w:t>
      </w:r>
    </w:p>
    <w:p w14:paraId="7BBF985A" w14:textId="14429F74" w:rsidR="00101928" w:rsidRPr="002A77FC" w:rsidRDefault="00101928" w:rsidP="00012868">
      <w:pPr>
        <w:spacing w:line="360" w:lineRule="auto"/>
        <w:jc w:val="both"/>
        <w:rPr>
          <w:rFonts w:ascii="Arial" w:hAnsi="Arial" w:cs="Arial"/>
        </w:rPr>
      </w:pPr>
      <w:r w:rsidRPr="002A77FC">
        <w:rPr>
          <w:rFonts w:ascii="Arial" w:hAnsi="Arial" w:cs="Arial"/>
        </w:rPr>
        <w:t>Practically, the study will provide practical advice to managers. It emphasises the necessity of harmonising the communication on sustainability and the real practice. Striking a balance between credibility and promotion is a problem for most companies</w:t>
      </w:r>
      <w:r w:rsidR="00926E9A" w:rsidRPr="002A77FC">
        <w:rPr>
          <w:rFonts w:ascii="Arial" w:hAnsi="Arial" w:cs="Arial"/>
        </w:rPr>
        <w:t xml:space="preserve"> (Armstrong and Reynolds, 2023)</w:t>
      </w:r>
      <w:r w:rsidRPr="002A77FC">
        <w:rPr>
          <w:rFonts w:ascii="Arial" w:hAnsi="Arial" w:cs="Arial"/>
        </w:rPr>
        <w:t xml:space="preserve">. This paper provides some insight </w:t>
      </w:r>
      <w:r w:rsidR="00926E9A" w:rsidRPr="002A77FC">
        <w:rPr>
          <w:rFonts w:ascii="Arial" w:hAnsi="Arial" w:cs="Arial"/>
        </w:rPr>
        <w:t>into</w:t>
      </w:r>
      <w:r w:rsidRPr="002A77FC">
        <w:rPr>
          <w:rFonts w:ascii="Arial" w:hAnsi="Arial" w:cs="Arial"/>
        </w:rPr>
        <w:t xml:space="preserve"> how to develop genuine and more transparent messaging plans. It is also concerned with the consumer perception in the determination of results. What is said does not necessarily mean anything to managers in Unilever, though, in how it is understood. Being sensitive to scepticism and lack of trust, companies will be able to enhance their image and get better communication results.</w:t>
      </w:r>
    </w:p>
    <w:p w14:paraId="0044B234" w14:textId="67C810AD" w:rsidR="00101928" w:rsidRPr="002A77FC" w:rsidRDefault="00101928" w:rsidP="00012868">
      <w:pPr>
        <w:spacing w:line="360" w:lineRule="auto"/>
        <w:jc w:val="both"/>
        <w:rPr>
          <w:rFonts w:ascii="Arial" w:hAnsi="Arial" w:cs="Arial"/>
        </w:rPr>
      </w:pPr>
      <w:r w:rsidRPr="002A77FC">
        <w:rPr>
          <w:rFonts w:ascii="Arial" w:hAnsi="Arial" w:cs="Arial"/>
        </w:rPr>
        <w:t>This study is a combination of theory and background, and this is its originality. It addresses communication as a strategic process as opposed to a supportive process. The reason behind this is to close the gap between the theoretical assumptions and realities with regard to sustainability communication.</w:t>
      </w:r>
    </w:p>
    <w:p w14:paraId="390A5F45" w14:textId="71526274" w:rsidR="00101928" w:rsidRPr="002A77FC" w:rsidRDefault="00101928" w:rsidP="00012868">
      <w:pPr>
        <w:pStyle w:val="Heading2"/>
        <w:rPr>
          <w:rFonts w:ascii="Arial" w:hAnsi="Arial" w:cs="Arial"/>
          <w:color w:val="auto"/>
        </w:rPr>
      </w:pPr>
      <w:bookmarkStart w:id="12" w:name="_Toc230268811"/>
      <w:r w:rsidRPr="002A77FC">
        <w:rPr>
          <w:rFonts w:ascii="Arial" w:hAnsi="Arial" w:cs="Arial"/>
          <w:color w:val="auto"/>
        </w:rPr>
        <w:lastRenderedPageBreak/>
        <w:t>1.4 Research Aim, Objectives, and Questions</w:t>
      </w:r>
      <w:bookmarkEnd w:id="12"/>
    </w:p>
    <w:p w14:paraId="5DF5A511" w14:textId="77777777" w:rsidR="00101928" w:rsidRPr="002A77FC" w:rsidRDefault="00101928" w:rsidP="00012868">
      <w:pPr>
        <w:pStyle w:val="Heading3"/>
        <w:rPr>
          <w:rFonts w:ascii="Arial" w:hAnsi="Arial" w:cs="Arial"/>
          <w:color w:val="auto"/>
        </w:rPr>
      </w:pPr>
      <w:bookmarkStart w:id="13" w:name="_Toc230268812"/>
      <w:r w:rsidRPr="002A77FC">
        <w:rPr>
          <w:rFonts w:ascii="Arial" w:hAnsi="Arial" w:cs="Arial"/>
          <w:color w:val="auto"/>
        </w:rPr>
        <w:t>1.4.1 Research Aim</w:t>
      </w:r>
      <w:bookmarkEnd w:id="13"/>
    </w:p>
    <w:p w14:paraId="33CA7690" w14:textId="77777777" w:rsidR="00101928" w:rsidRPr="002A77FC" w:rsidRDefault="00101928" w:rsidP="00012868">
      <w:pPr>
        <w:spacing w:line="360" w:lineRule="auto"/>
        <w:jc w:val="both"/>
        <w:rPr>
          <w:rFonts w:ascii="Arial" w:hAnsi="Arial" w:cs="Arial"/>
        </w:rPr>
      </w:pPr>
      <w:r w:rsidRPr="002A77FC">
        <w:rPr>
          <w:rFonts w:ascii="Arial" w:hAnsi="Arial" w:cs="Arial"/>
        </w:rPr>
        <w:t>This research aims to explore how Unilever UK strategically uses sustainability communications to manage and enhance its brand reputation, examining the impact of sustainability initiatives on consumer perceptions and brand image.</w:t>
      </w:r>
    </w:p>
    <w:p w14:paraId="3BB8F6FC" w14:textId="77777777" w:rsidR="00101928" w:rsidRPr="002A77FC" w:rsidRDefault="00101928" w:rsidP="00012868">
      <w:pPr>
        <w:pStyle w:val="Heading3"/>
        <w:rPr>
          <w:rFonts w:ascii="Arial" w:hAnsi="Arial" w:cs="Arial"/>
          <w:color w:val="auto"/>
        </w:rPr>
      </w:pPr>
      <w:bookmarkStart w:id="14" w:name="_Toc230268813"/>
      <w:r w:rsidRPr="002A77FC">
        <w:rPr>
          <w:rFonts w:ascii="Arial" w:hAnsi="Arial" w:cs="Arial"/>
          <w:color w:val="auto"/>
        </w:rPr>
        <w:t>1.4.2 Research Objectives</w:t>
      </w:r>
      <w:bookmarkEnd w:id="14"/>
    </w:p>
    <w:p w14:paraId="41E7F40B" w14:textId="77777777" w:rsidR="00101928" w:rsidRPr="002A77FC" w:rsidRDefault="00101928" w:rsidP="00012868">
      <w:pPr>
        <w:spacing w:line="360" w:lineRule="auto"/>
        <w:jc w:val="both"/>
        <w:rPr>
          <w:rFonts w:ascii="Arial" w:hAnsi="Arial" w:cs="Arial"/>
        </w:rPr>
      </w:pPr>
      <w:r w:rsidRPr="002A77FC">
        <w:rPr>
          <w:rFonts w:ascii="Arial" w:hAnsi="Arial" w:cs="Arial"/>
        </w:rPr>
        <w:t>The objectives of this study are:</w:t>
      </w:r>
    </w:p>
    <w:p w14:paraId="5207C640" w14:textId="2A5BEBF1" w:rsidR="00182DBB" w:rsidRPr="002A77FC" w:rsidRDefault="00182DBB" w:rsidP="00012868">
      <w:pPr>
        <w:pStyle w:val="ListParagraph"/>
        <w:numPr>
          <w:ilvl w:val="0"/>
          <w:numId w:val="53"/>
        </w:numPr>
        <w:rPr>
          <w:rFonts w:ascii="Arial" w:hAnsi="Arial" w:cs="Arial"/>
          <w:szCs w:val="24"/>
          <w:lang w:val="en-BD"/>
        </w:rPr>
      </w:pPr>
      <w:r w:rsidRPr="002A77FC">
        <w:rPr>
          <w:rFonts w:ascii="Arial" w:hAnsi="Arial" w:cs="Arial"/>
          <w:szCs w:val="24"/>
          <w:lang w:val="en-BD"/>
        </w:rPr>
        <w:t>To analyse how Unilever uses sustainability communication strategies to influence consumer perception and trust in the UK market.</w:t>
      </w:r>
    </w:p>
    <w:p w14:paraId="212DCD3C" w14:textId="7860885A" w:rsidR="00101928" w:rsidRPr="002A77FC" w:rsidRDefault="00182DBB" w:rsidP="00012868">
      <w:pPr>
        <w:pStyle w:val="ListParagraph"/>
        <w:numPr>
          <w:ilvl w:val="0"/>
          <w:numId w:val="53"/>
        </w:numPr>
        <w:rPr>
          <w:rFonts w:ascii="Arial" w:hAnsi="Arial" w:cs="Arial"/>
          <w:szCs w:val="24"/>
        </w:rPr>
      </w:pPr>
      <w:r w:rsidRPr="002A77FC">
        <w:rPr>
          <w:rFonts w:ascii="Arial" w:hAnsi="Arial" w:cs="Arial"/>
          <w:szCs w:val="24"/>
          <w:lang w:val="en-BD"/>
        </w:rPr>
        <w:t>To evaluate the conditions under which sustainability communication enhances or undermines brand reputation, with particular attention to authenticity and consumer scepticism</w:t>
      </w:r>
      <w:r w:rsidR="00101928" w:rsidRPr="002A77FC">
        <w:rPr>
          <w:rFonts w:ascii="Arial" w:hAnsi="Arial" w:cs="Arial"/>
          <w:szCs w:val="24"/>
        </w:rPr>
        <w:t>.</w:t>
      </w:r>
    </w:p>
    <w:p w14:paraId="752730B7" w14:textId="77777777" w:rsidR="00101928" w:rsidRPr="002A77FC" w:rsidRDefault="00101928" w:rsidP="00012868">
      <w:pPr>
        <w:spacing w:line="360" w:lineRule="auto"/>
        <w:jc w:val="both"/>
        <w:rPr>
          <w:rFonts w:ascii="Arial" w:hAnsi="Arial" w:cs="Arial"/>
        </w:rPr>
      </w:pPr>
    </w:p>
    <w:p w14:paraId="7B84C5FA" w14:textId="77777777" w:rsidR="00101928" w:rsidRPr="002A77FC" w:rsidRDefault="00101928" w:rsidP="00012868">
      <w:pPr>
        <w:pStyle w:val="Heading3"/>
        <w:rPr>
          <w:rFonts w:ascii="Arial" w:hAnsi="Arial" w:cs="Arial"/>
          <w:color w:val="auto"/>
        </w:rPr>
      </w:pPr>
      <w:bookmarkStart w:id="15" w:name="_Toc230268814"/>
      <w:r w:rsidRPr="002A77FC">
        <w:rPr>
          <w:rFonts w:ascii="Arial" w:hAnsi="Arial" w:cs="Arial"/>
          <w:color w:val="auto"/>
        </w:rPr>
        <w:t>1.4.3 Research Questions</w:t>
      </w:r>
      <w:bookmarkEnd w:id="15"/>
    </w:p>
    <w:p w14:paraId="57DE63A7" w14:textId="6C245716" w:rsidR="00101928" w:rsidRPr="002A77FC" w:rsidRDefault="00182DBB" w:rsidP="00012868">
      <w:pPr>
        <w:pStyle w:val="ListParagraph"/>
        <w:numPr>
          <w:ilvl w:val="0"/>
          <w:numId w:val="54"/>
        </w:numPr>
        <w:rPr>
          <w:rFonts w:ascii="Arial" w:hAnsi="Arial" w:cs="Arial"/>
          <w:szCs w:val="24"/>
          <w:lang w:val="en-BD"/>
        </w:rPr>
      </w:pPr>
      <w:r w:rsidRPr="002A77FC">
        <w:rPr>
          <w:rFonts w:ascii="Arial" w:hAnsi="Arial" w:cs="Arial"/>
          <w:szCs w:val="24"/>
          <w:lang w:val="en-BD"/>
        </w:rPr>
        <w:t>How do sustainability communication strategies influence consumer perception, trust, and brand reputation in Unilever within the UK context, and under what conditions are these effects strengthened or weakened</w:t>
      </w:r>
      <w:r w:rsidR="00101928" w:rsidRPr="002A77FC">
        <w:rPr>
          <w:rFonts w:ascii="Arial" w:hAnsi="Arial" w:cs="Arial"/>
          <w:szCs w:val="24"/>
        </w:rPr>
        <w:t>?</w:t>
      </w:r>
    </w:p>
    <w:p w14:paraId="09A1E692" w14:textId="77777777" w:rsidR="00101928" w:rsidRPr="002A77FC" w:rsidRDefault="00101928" w:rsidP="00012868">
      <w:pPr>
        <w:spacing w:line="360" w:lineRule="auto"/>
        <w:jc w:val="both"/>
        <w:rPr>
          <w:rFonts w:ascii="Arial" w:hAnsi="Arial" w:cs="Arial"/>
        </w:rPr>
      </w:pPr>
    </w:p>
    <w:p w14:paraId="23172DE8" w14:textId="77777777" w:rsidR="00101928" w:rsidRPr="002A77FC" w:rsidRDefault="00101928" w:rsidP="00012868">
      <w:pPr>
        <w:pStyle w:val="Heading2"/>
        <w:rPr>
          <w:rFonts w:ascii="Arial" w:hAnsi="Arial" w:cs="Arial"/>
          <w:color w:val="auto"/>
        </w:rPr>
      </w:pPr>
      <w:bookmarkStart w:id="16" w:name="_Toc230268815"/>
      <w:r w:rsidRPr="002A77FC">
        <w:rPr>
          <w:rFonts w:ascii="Arial" w:hAnsi="Arial" w:cs="Arial"/>
          <w:color w:val="auto"/>
        </w:rPr>
        <w:t>1.5 Dissertation Structure</w:t>
      </w:r>
      <w:bookmarkEnd w:id="16"/>
    </w:p>
    <w:p w14:paraId="4B48DFF8" w14:textId="04008A73" w:rsidR="00101928" w:rsidRPr="002A77FC" w:rsidRDefault="00101928" w:rsidP="00012868">
      <w:pPr>
        <w:spacing w:line="360" w:lineRule="auto"/>
        <w:jc w:val="both"/>
        <w:rPr>
          <w:rFonts w:ascii="Arial" w:hAnsi="Arial" w:cs="Arial"/>
        </w:rPr>
      </w:pPr>
      <w:r w:rsidRPr="002A77FC">
        <w:rPr>
          <w:rFonts w:ascii="Arial" w:hAnsi="Arial" w:cs="Arial"/>
        </w:rPr>
        <w:t xml:space="preserve">Chapter 1 provides the background of the research, its reasoning and purpose and critically makes key assumptions. The question arises as to whether sustainability communication improves the reputation in every situation. Chapter 2 evaluates the literature and engages in the creation of a conceptual framework, but also criticises current theories as being highly linear and context-insensitive. Chapter 3 gives an outline of the research design and methodology and admits the shortcomings of qualitative and secondary data. In Chapter 4, thematic findings are given, which are an analysis of evidence relating to theory and pointing out contradictions. Chapter 5 concludes with findings, implications and recommendations, but also reflects on some </w:t>
      </w:r>
      <w:r w:rsidRPr="002A77FC">
        <w:rPr>
          <w:rFonts w:ascii="Arial" w:hAnsi="Arial" w:cs="Arial"/>
        </w:rPr>
        <w:lastRenderedPageBreak/>
        <w:t>limits to the generalisability, especially in the method of extrapolating the findings elsewhere in the UK market context, not with Unilever.</w:t>
      </w:r>
    </w:p>
    <w:p w14:paraId="56F75A86" w14:textId="39B4CACE" w:rsidR="007D6B3E" w:rsidRPr="002A77FC" w:rsidRDefault="007D6B3E" w:rsidP="00012868">
      <w:pPr>
        <w:spacing w:after="160" w:line="360" w:lineRule="auto"/>
        <w:jc w:val="both"/>
        <w:rPr>
          <w:rFonts w:ascii="Arial" w:hAnsi="Arial" w:cs="Arial"/>
        </w:rPr>
      </w:pPr>
      <w:r w:rsidRPr="002A77FC">
        <w:rPr>
          <w:rFonts w:ascii="Arial" w:hAnsi="Arial" w:cs="Arial"/>
        </w:rPr>
        <w:br w:type="page"/>
      </w:r>
    </w:p>
    <w:p w14:paraId="7AE08B9E" w14:textId="7F0B211D" w:rsidR="005201EC" w:rsidRPr="002A77FC" w:rsidRDefault="005201EC" w:rsidP="00A808C0">
      <w:pPr>
        <w:pStyle w:val="Heading1"/>
      </w:pPr>
      <w:bookmarkStart w:id="17" w:name="_Toc225905057"/>
      <w:bookmarkStart w:id="18" w:name="_Toc230268816"/>
      <w:r w:rsidRPr="002A77FC">
        <w:lastRenderedPageBreak/>
        <w:t>Chapter 2: Literature Review</w:t>
      </w:r>
      <w:bookmarkEnd w:id="17"/>
      <w:bookmarkEnd w:id="18"/>
    </w:p>
    <w:p w14:paraId="3941C629" w14:textId="77777777" w:rsidR="00AA01AD" w:rsidRPr="002A77FC" w:rsidRDefault="00AA01AD" w:rsidP="00012868">
      <w:pPr>
        <w:pStyle w:val="Heading2"/>
        <w:rPr>
          <w:rFonts w:ascii="Arial" w:hAnsi="Arial" w:cs="Arial"/>
          <w:color w:val="auto"/>
        </w:rPr>
      </w:pPr>
      <w:bookmarkStart w:id="19" w:name="_Toc230268817"/>
      <w:r w:rsidRPr="002A77FC">
        <w:rPr>
          <w:rFonts w:ascii="Arial" w:hAnsi="Arial" w:cs="Arial"/>
          <w:color w:val="auto"/>
        </w:rPr>
        <w:t>2.1 Introduction</w:t>
      </w:r>
      <w:bookmarkEnd w:id="19"/>
    </w:p>
    <w:p w14:paraId="2B5BDBA7" w14:textId="60D42147" w:rsidR="00AA01AD" w:rsidRPr="002A77FC" w:rsidRDefault="00AA01AD" w:rsidP="00012868">
      <w:pPr>
        <w:spacing w:line="360" w:lineRule="auto"/>
        <w:jc w:val="both"/>
        <w:rPr>
          <w:rFonts w:ascii="Arial" w:hAnsi="Arial" w:cs="Arial"/>
        </w:rPr>
      </w:pPr>
      <w:r w:rsidRPr="002A77FC">
        <w:rPr>
          <w:rFonts w:ascii="Arial" w:hAnsi="Arial" w:cs="Arial"/>
        </w:rPr>
        <w:t xml:space="preserve">The chapter comprehensively appraises sustainability communication, perception and brand reputation among consumers in a critical manner. It lays the theoretical basis of the research as it challenges mainstream assumptions in the literature. In </w:t>
      </w:r>
      <w:r w:rsidR="00F27EC0" w:rsidRPr="002A77FC">
        <w:rPr>
          <w:rFonts w:ascii="Arial" w:hAnsi="Arial" w:cs="Arial"/>
        </w:rPr>
        <w:t>prior research, communication, perception, and reputation are generally discussed as separate constructs, thereby diminishing their</w:t>
      </w:r>
      <w:r w:rsidRPr="002A77FC">
        <w:rPr>
          <w:rFonts w:ascii="Arial" w:hAnsi="Arial" w:cs="Arial"/>
        </w:rPr>
        <w:t xml:space="preserve"> explanatory potential</w:t>
      </w:r>
      <w:r w:rsidR="00926E9A" w:rsidRPr="002A77FC">
        <w:rPr>
          <w:rFonts w:ascii="Arial" w:hAnsi="Arial" w:cs="Arial"/>
        </w:rPr>
        <w:t xml:space="preserve"> (Borges et al., 2023)</w:t>
      </w:r>
      <w:r w:rsidRPr="002A77FC">
        <w:rPr>
          <w:rFonts w:ascii="Arial" w:hAnsi="Arial" w:cs="Arial"/>
        </w:rPr>
        <w:t xml:space="preserve">. This gap, in this chapter, is addressed by emphasising their relationship to each other in a sceptical UK environment. </w:t>
      </w:r>
      <w:r w:rsidR="00057CF8" w:rsidRPr="002A77FC">
        <w:rPr>
          <w:rFonts w:ascii="Arial" w:hAnsi="Arial" w:cs="Arial"/>
        </w:rPr>
        <w:t xml:space="preserve">While prior studies often examine sustainability communication within single organisational contexts, this study adopts a multi-case perspective within the UK FMCG sector.  </w:t>
      </w:r>
      <w:r w:rsidRPr="002A77FC">
        <w:rPr>
          <w:rFonts w:ascii="Arial" w:hAnsi="Arial" w:cs="Arial"/>
        </w:rPr>
        <w:t>It takes into account message-making of sustainability, credibility, reputation and ESG signalling but does not take into account technical measurement models, which add little strategic insight. The complexity of a company like Unilever, however, may not always be the same on these theories. The chapter has been subdivided into thematic analysis, theoretical foundation and conceptual framework.</w:t>
      </w:r>
    </w:p>
    <w:p w14:paraId="7E065774" w14:textId="77777777" w:rsidR="00AA01AD" w:rsidRPr="002A77FC" w:rsidRDefault="00AA01AD" w:rsidP="00012868">
      <w:pPr>
        <w:pStyle w:val="Heading2"/>
        <w:rPr>
          <w:rFonts w:ascii="Arial" w:hAnsi="Arial" w:cs="Arial"/>
          <w:color w:val="auto"/>
        </w:rPr>
      </w:pPr>
      <w:bookmarkStart w:id="20" w:name="_Toc230268818"/>
      <w:r w:rsidRPr="002A77FC">
        <w:rPr>
          <w:rFonts w:ascii="Arial" w:hAnsi="Arial" w:cs="Arial"/>
          <w:color w:val="auto"/>
        </w:rPr>
        <w:t>2.2 Thematic Overview of the Literature</w:t>
      </w:r>
      <w:bookmarkEnd w:id="20"/>
    </w:p>
    <w:p w14:paraId="5455E969" w14:textId="77777777" w:rsidR="00AA01AD" w:rsidRPr="002A77FC" w:rsidRDefault="00AA01AD" w:rsidP="00012868">
      <w:pPr>
        <w:pStyle w:val="Heading3"/>
        <w:rPr>
          <w:rFonts w:ascii="Arial" w:hAnsi="Arial" w:cs="Arial"/>
          <w:color w:val="auto"/>
        </w:rPr>
      </w:pPr>
      <w:bookmarkStart w:id="21" w:name="_Toc230268819"/>
      <w:r w:rsidRPr="002A77FC">
        <w:rPr>
          <w:rFonts w:ascii="Arial" w:hAnsi="Arial" w:cs="Arial"/>
          <w:color w:val="auto"/>
        </w:rPr>
        <w:t>2.2.1 Sustainability Communication as Strategic Practice</w:t>
      </w:r>
      <w:bookmarkEnd w:id="21"/>
    </w:p>
    <w:p w14:paraId="7EE84D1D" w14:textId="7DD0240D" w:rsidR="00AA01AD" w:rsidRPr="002A77FC" w:rsidRDefault="00AA01AD" w:rsidP="00012868">
      <w:pPr>
        <w:spacing w:line="360" w:lineRule="auto"/>
        <w:jc w:val="both"/>
        <w:rPr>
          <w:rFonts w:ascii="Arial" w:hAnsi="Arial" w:cs="Arial"/>
        </w:rPr>
      </w:pPr>
      <w:r w:rsidRPr="002A77FC">
        <w:rPr>
          <w:rFonts w:ascii="Arial" w:hAnsi="Arial" w:cs="Arial"/>
        </w:rPr>
        <w:t>Sustainability communication entails how organisations report their environmental, social and governance policies to the stakeholders. It is no longer an outlying message but a strategic type of corporate messaging. It is applied by firms to construct the brand identity, create responsibility, and maintain legitimacy</w:t>
      </w:r>
      <w:r w:rsidR="00926E9A" w:rsidRPr="002A77FC">
        <w:rPr>
          <w:rFonts w:ascii="Arial" w:hAnsi="Arial" w:cs="Arial"/>
        </w:rPr>
        <w:t xml:space="preserve"> (Golob, Podnar and Zabkar, 2023)</w:t>
      </w:r>
      <w:r w:rsidRPr="002A77FC">
        <w:rPr>
          <w:rFonts w:ascii="Arial" w:hAnsi="Arial" w:cs="Arial"/>
        </w:rPr>
        <w:t>. The optimal scenario is that good communication results in image and goodwill enhancement for the stakeholders. It also helps in competition positioning in the markets, which are structured according to sustainability. However, a perception like this is not an easy one. Communication does not necessarily reflect actual practices. Even the gigantic sustainability communication that can be found in companies like Unilever can be called into question in the event that it does not appear substantial but conspicuously appears to be some kind of advertisement.</w:t>
      </w:r>
    </w:p>
    <w:p w14:paraId="30E347EC" w14:textId="01745BFE" w:rsidR="00AA01AD" w:rsidRPr="002A77FC" w:rsidRDefault="00AA01AD" w:rsidP="00012868">
      <w:pPr>
        <w:spacing w:line="360" w:lineRule="auto"/>
        <w:jc w:val="both"/>
        <w:rPr>
          <w:rFonts w:ascii="Arial" w:hAnsi="Arial" w:cs="Arial"/>
        </w:rPr>
      </w:pPr>
      <w:r w:rsidRPr="002A77FC">
        <w:rPr>
          <w:rFonts w:ascii="Arial" w:hAnsi="Arial" w:cs="Arial"/>
        </w:rPr>
        <w:lastRenderedPageBreak/>
        <w:t>Corporate communication theory puts messaging at the core of the organisational strategy and interaction with the stakeholders. In this assumption, it is assumed that when there is good and regular communication, the relationships will get better and improve organisational performance</w:t>
      </w:r>
      <w:r w:rsidR="00926E9A" w:rsidRPr="002A77FC">
        <w:rPr>
          <w:rFonts w:ascii="Arial" w:hAnsi="Arial" w:cs="Arial"/>
        </w:rPr>
        <w:t xml:space="preserve"> (Kalogiannidis et al., 2025)</w:t>
      </w:r>
      <w:r w:rsidRPr="002A77FC">
        <w:rPr>
          <w:rFonts w:ascii="Arial" w:hAnsi="Arial" w:cs="Arial"/>
        </w:rPr>
        <w:t>. The legitimacy theory also postulates that companies engage in sustainability communication in an attempt to harmonise with the expectations and attain acceptance in society. In the same tone, the aspect of transparency and disclosure is important in CSR communication models because of the importance of building trust</w:t>
      </w:r>
      <w:r w:rsidR="00926E9A" w:rsidRPr="002A77FC">
        <w:rPr>
          <w:rFonts w:ascii="Arial" w:hAnsi="Arial" w:cs="Arial"/>
        </w:rPr>
        <w:t xml:space="preserve"> (Kalogiannidis et al., 2025)</w:t>
      </w:r>
      <w:r w:rsidRPr="002A77FC">
        <w:rPr>
          <w:rFonts w:ascii="Arial" w:hAnsi="Arial" w:cs="Arial"/>
        </w:rPr>
        <w:t>. Despite being viable backgrounds, the theories have their flaws. They would make an assumption that corporate messages are taken at face value by the stakeholders. This is a very flawed assumption in highly sceptical markets. In the case of Unilever, there will be questions on the minds of the stakeholders as to whether communication is shown as an act of dedication or an act of handling the image. The present study indicates how sustainability marketing and communication practices are rapidly increasing</w:t>
      </w:r>
      <w:r w:rsidR="00926E9A" w:rsidRPr="002A77FC">
        <w:rPr>
          <w:rFonts w:ascii="Arial" w:hAnsi="Arial" w:cs="Arial"/>
        </w:rPr>
        <w:t xml:space="preserve"> (Meijer et al., 2021)</w:t>
      </w:r>
      <w:r w:rsidRPr="002A77FC">
        <w:rPr>
          <w:rFonts w:ascii="Arial" w:hAnsi="Arial" w:cs="Arial"/>
        </w:rPr>
        <w:t>. Organisations are also adopting digital storytelling, ESG reporting, and social media campaigns as a way of communicating their initiatives. These tools are aimed at enhancing transparency and engaging the stakeholders. This type of communication has proven to have the capability of improving brand perception and awareness. However, findings are not consistent. Some studies demonstrate positive results, whereas others display an increase in sceptical consumers</w:t>
      </w:r>
      <w:r w:rsidR="00926E9A" w:rsidRPr="002A77FC">
        <w:rPr>
          <w:rFonts w:ascii="Arial" w:hAnsi="Arial" w:cs="Arial"/>
        </w:rPr>
        <w:t xml:space="preserve"> (Graham and Cascio, 2018)</w:t>
      </w:r>
      <w:r w:rsidRPr="002A77FC">
        <w:rPr>
          <w:rFonts w:ascii="Arial" w:hAnsi="Arial" w:cs="Arial"/>
        </w:rPr>
        <w:t>. Internet sources also increase the criticism since the interested parties can fact-check the allegations and propagate criticism throughout the board. This gives it a very complicated environment wherein the reputation may be enhanced and destroyed by the same communication to corporations like Unilever. This is a sign of symbolic communication where the communication outperforms performance.</w:t>
      </w:r>
    </w:p>
    <w:p w14:paraId="1A4B0247" w14:textId="26725DA3" w:rsidR="00AA01AD" w:rsidRPr="002A77FC" w:rsidRDefault="00AA01AD" w:rsidP="00012868">
      <w:pPr>
        <w:spacing w:line="360" w:lineRule="auto"/>
        <w:jc w:val="both"/>
        <w:rPr>
          <w:rFonts w:ascii="Arial" w:hAnsi="Arial" w:cs="Arial"/>
        </w:rPr>
      </w:pPr>
      <w:r w:rsidRPr="002A77FC">
        <w:rPr>
          <w:rFonts w:ascii="Arial" w:hAnsi="Arial" w:cs="Arial"/>
        </w:rPr>
        <w:t>Although this has been extensively researched, there are gaps that exist. The majority of research works are dedicated to the communication practices and not their efficiency. Little is also known about consumer perceptions of sustainability messages. There is a loose study of the correlation between perception and communication, which is critical in key markets.</w:t>
      </w:r>
    </w:p>
    <w:p w14:paraId="4AA31397" w14:textId="77777777" w:rsidR="00AA01AD" w:rsidRPr="002A77FC" w:rsidRDefault="00AA01AD" w:rsidP="00012868">
      <w:pPr>
        <w:pStyle w:val="Heading3"/>
        <w:rPr>
          <w:rFonts w:ascii="Arial" w:hAnsi="Arial" w:cs="Arial"/>
          <w:color w:val="auto"/>
        </w:rPr>
      </w:pPr>
      <w:bookmarkStart w:id="22" w:name="_Toc230268820"/>
      <w:r w:rsidRPr="002A77FC">
        <w:rPr>
          <w:rFonts w:ascii="Arial" w:hAnsi="Arial" w:cs="Arial"/>
          <w:color w:val="auto"/>
        </w:rPr>
        <w:t xml:space="preserve">2.2.2 Consumer Perception, Trust, and </w:t>
      </w:r>
      <w:proofErr w:type="spellStart"/>
      <w:r w:rsidRPr="002A77FC">
        <w:rPr>
          <w:rFonts w:ascii="Arial" w:hAnsi="Arial" w:cs="Arial"/>
          <w:color w:val="auto"/>
        </w:rPr>
        <w:t>Scepticism</w:t>
      </w:r>
      <w:bookmarkEnd w:id="22"/>
      <w:proofErr w:type="spellEnd"/>
    </w:p>
    <w:p w14:paraId="6D3371BA" w14:textId="436B8153" w:rsidR="00AA01AD" w:rsidRPr="002A77FC" w:rsidRDefault="00AA01AD" w:rsidP="00012868">
      <w:pPr>
        <w:spacing w:line="360" w:lineRule="auto"/>
        <w:jc w:val="both"/>
        <w:rPr>
          <w:rFonts w:ascii="Arial" w:hAnsi="Arial" w:cs="Arial"/>
        </w:rPr>
      </w:pPr>
      <w:r w:rsidRPr="002A77FC">
        <w:rPr>
          <w:rFonts w:ascii="Arial" w:hAnsi="Arial" w:cs="Arial"/>
        </w:rPr>
        <w:t xml:space="preserve">Consumer perception is said to be the opinion of individuals regarding the information that envelops a brand. It is non-objective. It is also affected by prior beliefs, emotions </w:t>
      </w:r>
      <w:r w:rsidRPr="002A77FC">
        <w:rPr>
          <w:rFonts w:ascii="Arial" w:hAnsi="Arial" w:cs="Arial"/>
        </w:rPr>
        <w:lastRenderedPageBreak/>
        <w:t>and the influence of society. The notion of perception, in terms of sustainability, the acceptability or the scepticism of corporate utterances. One of the outcomes of such a process is trust. It conveys confidence in the will and actions of a firm</w:t>
      </w:r>
      <w:r w:rsidR="00926E9A" w:rsidRPr="002A77FC">
        <w:rPr>
          <w:rFonts w:ascii="Arial" w:hAnsi="Arial" w:cs="Arial"/>
        </w:rPr>
        <w:t xml:space="preserve"> (Genç, 2017)</w:t>
      </w:r>
      <w:r w:rsidRPr="002A77FC">
        <w:rPr>
          <w:rFonts w:ascii="Arial" w:hAnsi="Arial" w:cs="Arial"/>
        </w:rPr>
        <w:t>. Having a good reputation and loyalty can be boosted as a result of good trust. However, vision is diffuse. Although home to such decent sustainability messaging as that of Unilever, the high probability of such a message being interpreted in a rather mixed way concerning different groups of consumers persists.</w:t>
      </w:r>
    </w:p>
    <w:p w14:paraId="699EDFA8" w14:textId="6AE174DD" w:rsidR="00AA01AD" w:rsidRPr="002A77FC" w:rsidRDefault="00AA01AD" w:rsidP="00012868">
      <w:pPr>
        <w:spacing w:line="360" w:lineRule="auto"/>
        <w:jc w:val="both"/>
        <w:rPr>
          <w:rFonts w:ascii="Arial" w:hAnsi="Arial" w:cs="Arial"/>
        </w:rPr>
      </w:pPr>
      <w:r w:rsidRPr="002A77FC">
        <w:rPr>
          <w:rFonts w:ascii="Arial" w:hAnsi="Arial" w:cs="Arial"/>
        </w:rPr>
        <w:t>The pattern of information processing and decision-making is described by the consumer behaviour theory. It is inclined to think that consumers make rational decisions regarding the information. This is the basis of the theory of trust</w:t>
      </w:r>
      <w:r w:rsidR="00926E9A" w:rsidRPr="002A77FC">
        <w:rPr>
          <w:rFonts w:ascii="Arial" w:hAnsi="Arial" w:cs="Arial"/>
        </w:rPr>
        <w:t>,</w:t>
      </w:r>
      <w:r w:rsidRPr="002A77FC">
        <w:rPr>
          <w:rFonts w:ascii="Arial" w:hAnsi="Arial" w:cs="Arial"/>
        </w:rPr>
        <w:t xml:space="preserve"> </w:t>
      </w:r>
      <w:r w:rsidR="00926E9A" w:rsidRPr="002A77FC">
        <w:rPr>
          <w:rFonts w:ascii="Arial" w:hAnsi="Arial" w:cs="Arial"/>
        </w:rPr>
        <w:t>which</w:t>
      </w:r>
      <w:r w:rsidRPr="002A77FC">
        <w:rPr>
          <w:rFonts w:ascii="Arial" w:hAnsi="Arial" w:cs="Arial"/>
        </w:rPr>
        <w:t xml:space="preserve"> suggests </w:t>
      </w:r>
      <w:r w:rsidR="00926E9A" w:rsidRPr="002A77FC">
        <w:rPr>
          <w:rFonts w:ascii="Arial" w:hAnsi="Arial" w:cs="Arial"/>
        </w:rPr>
        <w:t xml:space="preserve">that </w:t>
      </w:r>
      <w:r w:rsidRPr="002A77FC">
        <w:rPr>
          <w:rFonts w:ascii="Arial" w:hAnsi="Arial" w:cs="Arial"/>
        </w:rPr>
        <w:t>when information is consistent and credible, t</w:t>
      </w:r>
      <w:r w:rsidR="00926E9A" w:rsidRPr="002A77FC">
        <w:rPr>
          <w:rFonts w:ascii="Arial" w:hAnsi="Arial" w:cs="Arial"/>
        </w:rPr>
        <w:t>rust</w:t>
      </w:r>
      <w:r w:rsidRPr="002A77FC">
        <w:rPr>
          <w:rFonts w:ascii="Arial" w:hAnsi="Arial" w:cs="Arial"/>
        </w:rPr>
        <w:t xml:space="preserve"> will be </w:t>
      </w:r>
      <w:r w:rsidR="00926E9A" w:rsidRPr="002A77FC">
        <w:rPr>
          <w:rFonts w:ascii="Arial" w:hAnsi="Arial" w:cs="Arial"/>
        </w:rPr>
        <w:t>established (Ahmad and Guzmán, 2021)</w:t>
      </w:r>
      <w:r w:rsidRPr="002A77FC">
        <w:rPr>
          <w:rFonts w:ascii="Arial" w:hAnsi="Arial" w:cs="Arial"/>
        </w:rPr>
        <w:t>. The information processing models also assume that consumers can make evaluations of the quality of messages and the credibility of the source before attaching an attitude. The theories provide a systematic exposition of perception and trust. They do have their limitations, though. They do not pay much attention to emotional and social aspects. As a matter of fact, consumers are not always rational. In the case of brands such as Unilever, these perceptions might be guided by the media accounts, the cultural values, and the message content itself might not be the most important factors</w:t>
      </w:r>
      <w:r w:rsidR="00926E9A" w:rsidRPr="002A77FC">
        <w:rPr>
          <w:rFonts w:ascii="Arial" w:hAnsi="Arial" w:cs="Arial"/>
        </w:rPr>
        <w:t xml:space="preserve"> (Kargbo et al., 2025)</w:t>
      </w:r>
      <w:r w:rsidRPr="002A77FC">
        <w:rPr>
          <w:rFonts w:ascii="Arial" w:hAnsi="Arial" w:cs="Arial"/>
        </w:rPr>
        <w:t>. This is because recent studies indicate that ethical consumption is increasingly becoming hugely significant. Sustainable brands have become a favourite among most consumers. In the meantime, there has been an increase in scepticism. Customers are increasingly conscious of greenwashing and doubt the intentions of corporations. Social media adds a lot to such perceptions. It enables the quick exchange of information, which can either be positive or negative. Research shows that it is more probable that bad news is spread than positive statements</w:t>
      </w:r>
      <w:r w:rsidR="00926E9A" w:rsidRPr="002A77FC">
        <w:rPr>
          <w:rFonts w:ascii="Arial" w:hAnsi="Arial" w:cs="Arial"/>
        </w:rPr>
        <w:t xml:space="preserve"> (Siegrist, 2021)</w:t>
      </w:r>
      <w:r w:rsidRPr="002A77FC">
        <w:rPr>
          <w:rFonts w:ascii="Arial" w:hAnsi="Arial" w:cs="Arial"/>
        </w:rPr>
        <w:t>. This poses difficulties for companies that are expressing sustainability. Some of the studies suggest that their trust is enhanced, but in others it suggests that they are beginning to lose trust in corporate messages. In the case of Unilever, this implies that effective communication might not necessarily have an impact.</w:t>
      </w:r>
    </w:p>
    <w:p w14:paraId="0EF7303D" w14:textId="13D3E39A" w:rsidR="00AA01AD" w:rsidRPr="002A77FC" w:rsidRDefault="00AA01AD" w:rsidP="00012868">
      <w:pPr>
        <w:spacing w:line="360" w:lineRule="auto"/>
        <w:jc w:val="both"/>
        <w:rPr>
          <w:rFonts w:ascii="Arial" w:hAnsi="Arial" w:cs="Arial"/>
        </w:rPr>
      </w:pPr>
      <w:r w:rsidRPr="002A77FC">
        <w:rPr>
          <w:rFonts w:ascii="Arial" w:hAnsi="Arial" w:cs="Arial"/>
        </w:rPr>
        <w:t>Although the research has increased, there are still some significant gaps. Very scanty research has been done on the moderation of scepticism. The majority of studies lack an explanation of how scepticism changes perception and trust. It also has little context-specific research. More markets should be analysed, e.g. the UK market.</w:t>
      </w:r>
    </w:p>
    <w:p w14:paraId="3D49B7FC" w14:textId="77777777" w:rsidR="00AA01AD" w:rsidRPr="002A77FC" w:rsidRDefault="00AA01AD" w:rsidP="00012868">
      <w:pPr>
        <w:pStyle w:val="Heading3"/>
        <w:rPr>
          <w:rFonts w:ascii="Arial" w:hAnsi="Arial" w:cs="Arial"/>
          <w:color w:val="auto"/>
        </w:rPr>
      </w:pPr>
      <w:bookmarkStart w:id="23" w:name="_Toc230268821"/>
      <w:r w:rsidRPr="002A77FC">
        <w:rPr>
          <w:rFonts w:ascii="Arial" w:hAnsi="Arial" w:cs="Arial"/>
          <w:color w:val="auto"/>
        </w:rPr>
        <w:lastRenderedPageBreak/>
        <w:t>2.2.3 Sustainability Communication and Brand Reputation</w:t>
      </w:r>
      <w:bookmarkEnd w:id="23"/>
    </w:p>
    <w:p w14:paraId="50240CC5" w14:textId="3282AC0C" w:rsidR="00AA01AD" w:rsidRPr="002A77FC" w:rsidRDefault="00AA01AD" w:rsidP="00012868">
      <w:pPr>
        <w:spacing w:line="360" w:lineRule="auto"/>
        <w:jc w:val="both"/>
        <w:rPr>
          <w:rFonts w:ascii="Arial" w:hAnsi="Arial" w:cs="Arial"/>
        </w:rPr>
      </w:pPr>
      <w:r w:rsidRPr="002A77FC">
        <w:rPr>
          <w:rFonts w:ascii="Arial" w:hAnsi="Arial" w:cs="Arial"/>
        </w:rPr>
        <w:t>Brand reputation is how the stakeholders perceive the company in terms of how they feel about it within a given time. It is subject to exposure to repeat interactions, experiences and the flow of information. The sustainability initiatives are considered a source of reputation. Firms are able to channel their responsibility and ethical communication through sustainability communication</w:t>
      </w:r>
      <w:r w:rsidR="00926E9A" w:rsidRPr="002A77FC">
        <w:rPr>
          <w:rFonts w:ascii="Arial" w:hAnsi="Arial" w:cs="Arial"/>
        </w:rPr>
        <w:t xml:space="preserve"> (Snyder, 2019)</w:t>
      </w:r>
      <w:r w:rsidRPr="002A77FC">
        <w:rPr>
          <w:rFonts w:ascii="Arial" w:hAnsi="Arial" w:cs="Arial"/>
        </w:rPr>
        <w:t xml:space="preserve">. Theoretically, this enhances good perception and trust. But reputation </w:t>
      </w:r>
      <w:r w:rsidR="00926E9A" w:rsidRPr="002A77FC">
        <w:rPr>
          <w:rFonts w:ascii="Arial" w:hAnsi="Arial" w:cs="Arial"/>
        </w:rPr>
        <w:t>cannot</w:t>
      </w:r>
      <w:r w:rsidRPr="002A77FC">
        <w:rPr>
          <w:rFonts w:ascii="Arial" w:hAnsi="Arial" w:cs="Arial"/>
        </w:rPr>
        <w:t xml:space="preserve"> be completely controlled. It falls into the external account and stakeholder sense. In the case of such companies as Unilever, a robust sustainability positioning can continue to bring dissimilar reputational effects on various audiences.</w:t>
      </w:r>
    </w:p>
    <w:p w14:paraId="120AD3AF" w14:textId="7343C9E5" w:rsidR="00AA01AD" w:rsidRPr="002A77FC" w:rsidRDefault="00AA01AD" w:rsidP="00012868">
      <w:pPr>
        <w:spacing w:line="360" w:lineRule="auto"/>
        <w:jc w:val="both"/>
        <w:rPr>
          <w:rFonts w:ascii="Arial" w:hAnsi="Arial" w:cs="Arial"/>
        </w:rPr>
      </w:pPr>
      <w:r w:rsidRPr="002A77FC">
        <w:rPr>
          <w:rFonts w:ascii="Arial" w:hAnsi="Arial" w:cs="Arial"/>
        </w:rPr>
        <w:t>The brand equity theory, where Keller was the first to expound the theory, would explain the theory of brand equity and, more specifically, brand knowledge and associations and how they can influence consumer decisions</w:t>
      </w:r>
      <w:r w:rsidR="00926E9A" w:rsidRPr="002A77FC">
        <w:rPr>
          <w:rFonts w:ascii="Arial" w:hAnsi="Arial" w:cs="Arial"/>
        </w:rPr>
        <w:t xml:space="preserve"> (Rahman and Nguyen</w:t>
      </w:r>
      <w:r w:rsidR="00926E9A" w:rsidRPr="002A77FC">
        <w:rPr>
          <w:rFonts w:ascii="Cambria Math" w:hAnsi="Cambria Math" w:cs="Cambria Math"/>
        </w:rPr>
        <w:t>‐</w:t>
      </w:r>
      <w:r w:rsidR="00926E9A" w:rsidRPr="002A77FC">
        <w:rPr>
          <w:rFonts w:ascii="Arial" w:hAnsi="Arial" w:cs="Arial"/>
        </w:rPr>
        <w:t>Viet, 2023)</w:t>
      </w:r>
      <w:r w:rsidRPr="002A77FC">
        <w:rPr>
          <w:rFonts w:ascii="Arial" w:hAnsi="Arial" w:cs="Arial"/>
        </w:rPr>
        <w:t>. It assumes that a better brand equity and reputation are achieved through positive, consistent messaging. Another theory, whose role can be identified in the perspective of reputation management theory, is strategic communication, which serves to enhance the perception of the stakeholders. It considers reputation as a result of planned and controlled communicative practices. Despite the valuable information in these theories, they are limited. They tend to think about a linear process with the communication and resultant perception to a subsequent reputation. This is too simplistic an assumption</w:t>
      </w:r>
      <w:r w:rsidR="00926E9A" w:rsidRPr="002A77FC">
        <w:rPr>
          <w:rFonts w:ascii="Arial" w:hAnsi="Arial" w:cs="Arial"/>
        </w:rPr>
        <w:t xml:space="preserve"> (Rashid et al., 2019)</w:t>
      </w:r>
      <w:r w:rsidRPr="002A77FC">
        <w:rPr>
          <w:rFonts w:ascii="Arial" w:hAnsi="Arial" w:cs="Arial"/>
        </w:rPr>
        <w:t>. Practically, messages are received differently by the stakeholders. In the case of Unilever, the concepts of reputation are not only shaped by corporate communication, but also through the externalised critique, media and previous brand behaviour</w:t>
      </w:r>
      <w:r w:rsidR="00926E9A" w:rsidRPr="002A77FC">
        <w:rPr>
          <w:rFonts w:ascii="Arial" w:hAnsi="Arial" w:cs="Arial"/>
        </w:rPr>
        <w:t xml:space="preserve"> (Unilever PLC, 2026b)</w:t>
      </w:r>
      <w:r w:rsidRPr="002A77FC">
        <w:rPr>
          <w:rFonts w:ascii="Arial" w:hAnsi="Arial" w:cs="Arial"/>
        </w:rPr>
        <w:t>. The empirical literature suggests that brand reputation is positively correlated with sustainability initiatives. Environmentally and socially responsible companies are seen in a much better light. Sustainability communication can be used to assist firms in enhancing brand image in competitive markets as well as differentiating the firms. However, recent research on cases paints a confusing picture. Some yet others get scepticism or backlash, and there are organisations which gain their reputation</w:t>
      </w:r>
      <w:r w:rsidR="00926E9A" w:rsidRPr="002A77FC">
        <w:rPr>
          <w:rFonts w:ascii="Arial" w:hAnsi="Arial" w:cs="Arial"/>
        </w:rPr>
        <w:t xml:space="preserve"> (Rashid et al., 2019)</w:t>
      </w:r>
      <w:r w:rsidRPr="002A77FC">
        <w:rPr>
          <w:rFonts w:ascii="Arial" w:hAnsi="Arial" w:cs="Arial"/>
        </w:rPr>
        <w:t xml:space="preserve">. </w:t>
      </w:r>
      <w:r w:rsidR="00926E9A" w:rsidRPr="002A77FC">
        <w:rPr>
          <w:rFonts w:ascii="Arial" w:hAnsi="Arial" w:cs="Arial"/>
        </w:rPr>
        <w:t>The research</w:t>
      </w:r>
      <w:r w:rsidRPr="002A77FC">
        <w:rPr>
          <w:rFonts w:ascii="Arial" w:hAnsi="Arial" w:cs="Arial"/>
        </w:rPr>
        <w:t xml:space="preserve"> ha</w:t>
      </w:r>
      <w:r w:rsidR="00926E9A" w:rsidRPr="002A77FC">
        <w:rPr>
          <w:rFonts w:ascii="Arial" w:hAnsi="Arial" w:cs="Arial"/>
        </w:rPr>
        <w:t>s</w:t>
      </w:r>
      <w:r w:rsidRPr="002A77FC">
        <w:rPr>
          <w:rFonts w:ascii="Arial" w:hAnsi="Arial" w:cs="Arial"/>
        </w:rPr>
        <w:t xml:space="preserve"> this difference that leads to the significance of context and perception. This relationship is even more difficult with digital media. The stakeholders can ask their questions and incorporate alternative stories into the corporation swiftly. </w:t>
      </w:r>
      <w:r w:rsidRPr="002A77FC">
        <w:rPr>
          <w:rFonts w:ascii="Arial" w:hAnsi="Arial" w:cs="Arial"/>
        </w:rPr>
        <w:lastRenderedPageBreak/>
        <w:t>It leaves companies like Unilever in a position where merely communicating with each other will not suffice to make sure that reputations can be enhanced.</w:t>
      </w:r>
    </w:p>
    <w:p w14:paraId="4467AC8D" w14:textId="764625B1" w:rsidR="00AA01AD" w:rsidRPr="002A77FC" w:rsidRDefault="00AA01AD" w:rsidP="00012868">
      <w:pPr>
        <w:spacing w:line="360" w:lineRule="auto"/>
        <w:jc w:val="both"/>
        <w:rPr>
          <w:rFonts w:ascii="Arial" w:hAnsi="Arial" w:cs="Arial"/>
        </w:rPr>
      </w:pPr>
      <w:r w:rsidRPr="002A77FC">
        <w:rPr>
          <w:rFonts w:ascii="Arial" w:hAnsi="Arial" w:cs="Arial"/>
        </w:rPr>
        <w:t>Despite the many studies carried out, some incredibly significant gaps persist. There is little information available to say how communication and reputation are related. The motivation of various results of comparable strategies is infrequently clarified in available studies. There is also poor cases that are not well explored.</w:t>
      </w:r>
    </w:p>
    <w:p w14:paraId="1619A655" w14:textId="77777777" w:rsidR="00AA01AD" w:rsidRPr="002A77FC" w:rsidRDefault="00AA01AD" w:rsidP="00012868">
      <w:pPr>
        <w:pStyle w:val="Heading3"/>
        <w:rPr>
          <w:rFonts w:ascii="Arial" w:hAnsi="Arial" w:cs="Arial"/>
          <w:color w:val="auto"/>
        </w:rPr>
      </w:pPr>
      <w:bookmarkStart w:id="24" w:name="_Toc230268822"/>
      <w:r w:rsidRPr="002A77FC">
        <w:rPr>
          <w:rFonts w:ascii="Arial" w:hAnsi="Arial" w:cs="Arial"/>
          <w:color w:val="auto"/>
        </w:rPr>
        <w:t>2.2.4 Greenwashing, Authenticity, and Strategic Risk</w:t>
      </w:r>
      <w:bookmarkEnd w:id="24"/>
    </w:p>
    <w:p w14:paraId="710EBA28" w14:textId="361A8277" w:rsidR="00AA01AD" w:rsidRPr="002A77FC" w:rsidRDefault="00AA01AD" w:rsidP="00012868">
      <w:pPr>
        <w:spacing w:line="360" w:lineRule="auto"/>
        <w:jc w:val="both"/>
        <w:rPr>
          <w:rFonts w:ascii="Arial" w:hAnsi="Arial" w:cs="Arial"/>
        </w:rPr>
      </w:pPr>
      <w:r w:rsidRPr="002A77FC">
        <w:rPr>
          <w:rFonts w:ascii="Arial" w:hAnsi="Arial" w:cs="Arial"/>
        </w:rPr>
        <w:t>Any misleading or exaggerated sustainability reporting purporting to be accountable is called greenwashing. It occurs when the companies promote assertions on environmental matters that have not been fully supported by the practice at hand</w:t>
      </w:r>
      <w:r w:rsidR="00926E9A" w:rsidRPr="002A77FC">
        <w:rPr>
          <w:rFonts w:ascii="Arial" w:hAnsi="Arial" w:cs="Arial"/>
        </w:rPr>
        <w:t xml:space="preserve"> (Arli et al., 2021)</w:t>
      </w:r>
      <w:r w:rsidRPr="002A77FC">
        <w:rPr>
          <w:rFonts w:ascii="Arial" w:hAnsi="Arial" w:cs="Arial"/>
        </w:rPr>
        <w:t>. Correspondence Relation- Authenticity demonstrates the perceived or perceived goodness of the correspondence of communication with actual action. It is also a key determinant in establishing the level of trust of sustainability messages by the stakeholders. Theoretically, credibility and reputation are enhanced by authentic communication. But it is easy to blur the line between real messaging and greenwashing</w:t>
      </w:r>
      <w:r w:rsidR="003942EE" w:rsidRPr="002A77FC">
        <w:rPr>
          <w:rFonts w:ascii="Arial" w:hAnsi="Arial" w:cs="Arial"/>
        </w:rPr>
        <w:t xml:space="preserve"> (Altaf, 2022)</w:t>
      </w:r>
      <w:r w:rsidRPr="002A77FC">
        <w:rPr>
          <w:rFonts w:ascii="Arial" w:hAnsi="Arial" w:cs="Arial"/>
        </w:rPr>
        <w:t>. The same case with companies like Unilever is that high visibility increases the demands and challenges of authenticity in its operations, which makes it extremely difficult to sustain over time across multiple operations</w:t>
      </w:r>
      <w:r w:rsidR="00926E9A" w:rsidRPr="002A77FC">
        <w:rPr>
          <w:rFonts w:ascii="Arial" w:hAnsi="Arial" w:cs="Arial"/>
        </w:rPr>
        <w:t xml:space="preserve"> (Unilever PLC, 2026b)</w:t>
      </w:r>
      <w:r w:rsidRPr="002A77FC">
        <w:rPr>
          <w:rFonts w:ascii="Arial" w:hAnsi="Arial" w:cs="Arial"/>
        </w:rPr>
        <w:t>.</w:t>
      </w:r>
    </w:p>
    <w:p w14:paraId="5D0881F9" w14:textId="5FB49F95" w:rsidR="00AA01AD" w:rsidRPr="002A77FC" w:rsidRDefault="00AA01AD" w:rsidP="00012868">
      <w:pPr>
        <w:spacing w:line="360" w:lineRule="auto"/>
        <w:jc w:val="both"/>
        <w:rPr>
          <w:rFonts w:ascii="Arial" w:hAnsi="Arial" w:cs="Arial"/>
        </w:rPr>
      </w:pPr>
      <w:r w:rsidRPr="002A77FC">
        <w:rPr>
          <w:rFonts w:ascii="Arial" w:hAnsi="Arial" w:cs="Arial"/>
        </w:rPr>
        <w:t>Signalling theory refers to a sign of sustainability communication as a quality signal of corporate responsibility. Signals assist companies in relieving the information asymmetry and establishing trust. This is plugged by institutional theory, which assumes that organisations are capable of adopting sustainability practices in the hopes of complying with the social norms and regulatory requirements</w:t>
      </w:r>
      <w:r w:rsidR="003942EE" w:rsidRPr="002A77FC">
        <w:rPr>
          <w:rFonts w:ascii="Arial" w:hAnsi="Arial" w:cs="Arial"/>
        </w:rPr>
        <w:t xml:space="preserve"> (Aguinis, Bergh and Molina-Azorin, 2022)</w:t>
      </w:r>
      <w:r w:rsidRPr="002A77FC">
        <w:rPr>
          <w:rFonts w:ascii="Arial" w:hAnsi="Arial" w:cs="Arial"/>
        </w:rPr>
        <w:t>. These theories provide tips to keep in mind on why businesses speak about sustainability. They are limited, however. The Signaling theory assumes that the signals become believable and are well comprehended by the stakeholders. This does not necessarily happen so. The institutional theory is conformative and economical in terms of institutional settings and does not put much attention on strategic manipulation. In practice, tensions between one hand and another may arise between the sincerity hand and the compliance hand, as is the case with such companies as Unilever</w:t>
      </w:r>
      <w:r w:rsidR="00926E9A" w:rsidRPr="002A77FC">
        <w:rPr>
          <w:rFonts w:ascii="Arial" w:hAnsi="Arial" w:cs="Arial"/>
        </w:rPr>
        <w:t xml:space="preserve"> (Unilever PLC, 2026b)</w:t>
      </w:r>
      <w:r w:rsidRPr="002A77FC">
        <w:rPr>
          <w:rFonts w:ascii="Arial" w:hAnsi="Arial" w:cs="Arial"/>
        </w:rPr>
        <w:t xml:space="preserve">. Recent research reveals an increasing amount of consumer awareness about greenwashing. Consumers are </w:t>
      </w:r>
      <w:r w:rsidRPr="002A77FC">
        <w:rPr>
          <w:rFonts w:ascii="Arial" w:hAnsi="Arial" w:cs="Arial"/>
        </w:rPr>
        <w:lastRenderedPageBreak/>
        <w:t>increasingly concerned with sustainability pronouncements and have doubts about business motives. Stricter guidelines to curb misleading communication were also put in place by regulatory bodies. This has been increased by at least media scrutiny that points out the inconsistencies between what gets said and done. As empirical studies have pointed out, perceived greenwashing could have a devastating impact on trust and reputation</w:t>
      </w:r>
      <w:r w:rsidR="003942EE" w:rsidRPr="002A77FC">
        <w:rPr>
          <w:rFonts w:ascii="Arial" w:hAnsi="Arial" w:cs="Arial"/>
        </w:rPr>
        <w:t xml:space="preserve"> (Prieto et al., 2024)</w:t>
      </w:r>
      <w:r w:rsidRPr="002A77FC">
        <w:rPr>
          <w:rFonts w:ascii="Arial" w:hAnsi="Arial" w:cs="Arial"/>
        </w:rPr>
        <w:t>. However, the variance is also found. Firms' credibility can be built, but equally, the loss of reputation is seen to be very rapid in the case of other firms. The digital platforms further boost such dynamics. In the case of companies such as Unilever, this presents a multifaceted risk environment with a situation where communication can easily change to be both a liability and an asset.</w:t>
      </w:r>
    </w:p>
    <w:p w14:paraId="2A6F0773" w14:textId="567CBFD3" w:rsidR="00AA01AD" w:rsidRPr="002A77FC" w:rsidRDefault="00AA01AD" w:rsidP="00012868">
      <w:pPr>
        <w:spacing w:line="360" w:lineRule="auto"/>
        <w:jc w:val="both"/>
        <w:rPr>
          <w:rFonts w:ascii="Arial" w:hAnsi="Arial" w:cs="Arial"/>
        </w:rPr>
      </w:pPr>
      <w:r w:rsidRPr="002A77FC">
        <w:rPr>
          <w:rFonts w:ascii="Arial" w:hAnsi="Arial" w:cs="Arial"/>
        </w:rPr>
        <w:t>It is gaining more and more attention, but considerable gaps exist. A framework of authenticity for reputational results is not clear. Most of the studies lack an explanation of the perception and measurement of authenticity. An analysis on the firm level is also limited, particularly when a multinational situation is involved and is not a straightforward scenario.</w:t>
      </w:r>
    </w:p>
    <w:p w14:paraId="007D8007" w14:textId="77777777" w:rsidR="00AA01AD" w:rsidRPr="002A77FC" w:rsidRDefault="00AA01AD" w:rsidP="00012868">
      <w:pPr>
        <w:pStyle w:val="Heading3"/>
        <w:rPr>
          <w:rFonts w:ascii="Arial" w:hAnsi="Arial" w:cs="Arial"/>
          <w:color w:val="auto"/>
        </w:rPr>
      </w:pPr>
      <w:bookmarkStart w:id="25" w:name="_Toc230268823"/>
      <w:r w:rsidRPr="002A77FC">
        <w:rPr>
          <w:rFonts w:ascii="Arial" w:hAnsi="Arial" w:cs="Arial"/>
          <w:color w:val="auto"/>
        </w:rPr>
        <w:t>2.2.5 Contextual Dynamics: UK Market and Multinational Firms</w:t>
      </w:r>
      <w:bookmarkEnd w:id="25"/>
    </w:p>
    <w:p w14:paraId="69A53753" w14:textId="1CCD3449" w:rsidR="00AA01AD" w:rsidRPr="002A77FC" w:rsidRDefault="00AA01AD" w:rsidP="00012868">
      <w:pPr>
        <w:spacing w:line="360" w:lineRule="auto"/>
        <w:jc w:val="both"/>
        <w:rPr>
          <w:rFonts w:ascii="Arial" w:hAnsi="Arial" w:cs="Arial"/>
        </w:rPr>
      </w:pPr>
      <w:r w:rsidRPr="002A77FC">
        <w:rPr>
          <w:rFonts w:ascii="Arial" w:hAnsi="Arial" w:cs="Arial"/>
        </w:rPr>
        <w:t>The UK is a highly consumer-aware country, a highly controlled market and has a high degree of societal debate about sustainability. There is increased awareness and criticism of corporate behaviour among consumers. There is also a need to have more transparency and responsibility in regulatory frameworks</w:t>
      </w:r>
      <w:r w:rsidR="003942EE" w:rsidRPr="002A77FC">
        <w:rPr>
          <w:rFonts w:ascii="Arial" w:hAnsi="Arial" w:cs="Arial"/>
        </w:rPr>
        <w:t xml:space="preserve"> (Altaf, 2022)</w:t>
      </w:r>
      <w:r w:rsidRPr="002A77FC">
        <w:rPr>
          <w:rFonts w:ascii="Arial" w:hAnsi="Arial" w:cs="Arial"/>
        </w:rPr>
        <w:t>. This presents a difficult situation for sustainability communication. Major actors in this scenario are multinational companies, which have stores in different markets but have international brands. Strategy is hard with this two-fold pressure. In the case of some companies, such as Unilever, the global messaging and local expectations issue becomes a major challenge.</w:t>
      </w:r>
    </w:p>
    <w:p w14:paraId="0248607F" w14:textId="4616970B" w:rsidR="00AA01AD" w:rsidRPr="002A77FC" w:rsidRDefault="00AA01AD" w:rsidP="00012868">
      <w:pPr>
        <w:spacing w:line="360" w:lineRule="auto"/>
        <w:jc w:val="both"/>
        <w:rPr>
          <w:rFonts w:ascii="Arial" w:hAnsi="Arial" w:cs="Arial"/>
        </w:rPr>
      </w:pPr>
      <w:r w:rsidRPr="002A77FC">
        <w:rPr>
          <w:rFonts w:ascii="Arial" w:hAnsi="Arial" w:cs="Arial"/>
        </w:rPr>
        <w:t>The approach that explains the response of organisations to regulatory, normative and cultural pressures within specific environments is referred to as institutional theory. It speculates that companies mess about to acquire legitimacy in various settings. The stakeholder theory supplements this by stating the importance of dealing with various expectations of the stakeholders</w:t>
      </w:r>
      <w:r w:rsidR="003942EE" w:rsidRPr="002A77FC">
        <w:rPr>
          <w:rFonts w:ascii="Arial" w:hAnsi="Arial" w:cs="Arial"/>
        </w:rPr>
        <w:t xml:space="preserve"> (Li et al., 2021)</w:t>
      </w:r>
      <w:r w:rsidRPr="002A77FC">
        <w:rPr>
          <w:rFonts w:ascii="Arial" w:hAnsi="Arial" w:cs="Arial"/>
        </w:rPr>
        <w:t xml:space="preserve">. Together, these theories can provide a successful model used to explain multinational behaviour. There are restrictions, however, on them. The institutional theory tends to assume active adaptation as opposed to strategic decision-making. Stakeholder theory assumes that organisations </w:t>
      </w:r>
      <w:r w:rsidRPr="002A77FC">
        <w:rPr>
          <w:rFonts w:ascii="Arial" w:hAnsi="Arial" w:cs="Arial"/>
        </w:rPr>
        <w:lastRenderedPageBreak/>
        <w:t>should be able to successfully balance conflicting interests. In real life, these assumptions are not worth holding on to. In the case of Unilever, the global and local pressures have been conflicting, which can result in inconsistent communication strategies</w:t>
      </w:r>
      <w:r w:rsidR="00926E9A" w:rsidRPr="002A77FC">
        <w:rPr>
          <w:rFonts w:ascii="Arial" w:hAnsi="Arial" w:cs="Arial"/>
        </w:rPr>
        <w:t xml:space="preserve"> (Unilever PLC, 2026a)</w:t>
      </w:r>
      <w:r w:rsidRPr="002A77FC">
        <w:rPr>
          <w:rFonts w:ascii="Arial" w:hAnsi="Arial" w:cs="Arial"/>
        </w:rPr>
        <w:t>. Empirical studies indicate that in the UK, consumers are more sceptical than in a lot of other markets. They are quite agile at questioning matters of corporate sustainability and consult numerous sources of information. Accountability is also promoted through powerful regulatory mechanisms like advertising standards and disclosure rules of ESG. Research also indicates that because of their size and visibility, multinational firms are faced with increased scrutiny. Online services refine this query by being able to relay both bad and good news quite fast</w:t>
      </w:r>
      <w:r w:rsidR="003942EE" w:rsidRPr="002A77FC">
        <w:rPr>
          <w:rFonts w:ascii="Arial" w:hAnsi="Arial" w:cs="Arial"/>
        </w:rPr>
        <w:t xml:space="preserve"> (van der Werff et al., 2019)</w:t>
      </w:r>
      <w:r w:rsidRPr="002A77FC">
        <w:rPr>
          <w:rFonts w:ascii="Arial" w:hAnsi="Arial" w:cs="Arial"/>
        </w:rPr>
        <w:t>. Other companies can find it difficult to accommodate homogeneity, whilst some companies can also accommodate the requirements of the local. This poses a thorny environment to companies such as Unilever, in which communication strategies ought to be kept changing.</w:t>
      </w:r>
    </w:p>
    <w:p w14:paraId="03ADD865" w14:textId="2EF54082" w:rsidR="00AA01AD" w:rsidRPr="002A77FC" w:rsidRDefault="00AA01AD" w:rsidP="00012868">
      <w:pPr>
        <w:spacing w:line="360" w:lineRule="auto"/>
        <w:jc w:val="both"/>
        <w:rPr>
          <w:rFonts w:ascii="Arial" w:hAnsi="Arial" w:cs="Arial"/>
        </w:rPr>
      </w:pPr>
      <w:r w:rsidRPr="002A77FC">
        <w:rPr>
          <w:rFonts w:ascii="Arial" w:hAnsi="Arial" w:cs="Arial"/>
        </w:rPr>
        <w:t>Despite these insights, there are still important gap areas. Most of the literature has been placed in a global context, and it has not taken into account the local dynamics. There is a poor comprehension of the role of context in the effectiveness of communication.</w:t>
      </w:r>
    </w:p>
    <w:p w14:paraId="3F535F40" w14:textId="77777777" w:rsidR="00AA01AD" w:rsidRPr="002A77FC" w:rsidRDefault="00AA01AD" w:rsidP="00012868">
      <w:pPr>
        <w:pStyle w:val="Heading2"/>
        <w:rPr>
          <w:rFonts w:ascii="Arial" w:hAnsi="Arial" w:cs="Arial"/>
          <w:color w:val="auto"/>
        </w:rPr>
      </w:pPr>
      <w:bookmarkStart w:id="26" w:name="_Toc230268824"/>
      <w:r w:rsidRPr="002A77FC">
        <w:rPr>
          <w:rFonts w:ascii="Arial" w:hAnsi="Arial" w:cs="Arial"/>
          <w:color w:val="auto"/>
        </w:rPr>
        <w:t>2.3 Theoretical Foundation and Contribution</w:t>
      </w:r>
      <w:bookmarkEnd w:id="26"/>
    </w:p>
    <w:p w14:paraId="5A18EE03" w14:textId="6613DFF2" w:rsidR="00704FBA" w:rsidRPr="002A77FC" w:rsidRDefault="00704FBA" w:rsidP="00704FBA">
      <w:pPr>
        <w:spacing w:line="360" w:lineRule="auto"/>
        <w:jc w:val="both"/>
        <w:rPr>
          <w:rFonts w:ascii="Arial" w:hAnsi="Arial" w:cs="Arial"/>
        </w:rPr>
      </w:pPr>
      <w:r w:rsidRPr="002A77FC">
        <w:rPr>
          <w:rFonts w:ascii="Arial" w:hAnsi="Arial" w:cs="Arial"/>
        </w:rPr>
        <w:t xml:space="preserve">This is a study underpinned by Signalling Theory. The theory is used to describe a situation where there is </w:t>
      </w:r>
      <w:r w:rsidRPr="002A77FC">
        <w:rPr>
          <w:rFonts w:ascii="Arial" w:hAnsi="Arial" w:cs="Arial"/>
          <w:lang w:val="en-US"/>
        </w:rPr>
        <w:t xml:space="preserve">an </w:t>
      </w:r>
      <w:r w:rsidRPr="002A77FC">
        <w:rPr>
          <w:rFonts w:ascii="Arial" w:hAnsi="Arial" w:cs="Arial"/>
        </w:rPr>
        <w:t>information imbalance</w:t>
      </w:r>
      <w:r w:rsidRPr="002A77FC">
        <w:rPr>
          <w:rFonts w:ascii="Arial" w:hAnsi="Arial" w:cs="Arial"/>
          <w:lang w:val="en-US"/>
        </w:rPr>
        <w:t>,</w:t>
      </w:r>
      <w:r w:rsidRPr="002A77FC">
        <w:rPr>
          <w:rFonts w:ascii="Arial" w:hAnsi="Arial" w:cs="Arial"/>
        </w:rPr>
        <w:t xml:space="preserve"> and the organisations have a way to indicate information to the stakeholders. Sustainability communication manifests itself on a wide range of levels, with the companies' reports and sustainability targets, labels, campaigns and the making of product claims demonstrating the companies' responsibility (van der Werff et al., 2019). Only signals that are clear, credible, and connected with real action can be useful. When the signal is fuzzy or overdone, it can lead to mistrust, rather than trust. This means that the theory applies to the study of sustainability communication within the UK FMCG sector.</w:t>
      </w:r>
    </w:p>
    <w:p w14:paraId="096FCE79" w14:textId="2383367C" w:rsidR="00704FBA" w:rsidRPr="002A77FC" w:rsidRDefault="00704FBA" w:rsidP="00704FBA">
      <w:pPr>
        <w:spacing w:line="360" w:lineRule="auto"/>
        <w:jc w:val="both"/>
        <w:rPr>
          <w:rFonts w:ascii="Arial" w:hAnsi="Arial" w:cs="Arial"/>
        </w:rPr>
      </w:pPr>
      <w:r w:rsidRPr="002A77FC">
        <w:rPr>
          <w:rFonts w:ascii="Arial" w:hAnsi="Arial" w:cs="Arial"/>
        </w:rPr>
        <w:t xml:space="preserve">The fundamental elements are sender, signal, receiver and interpretation. The company is the sender of the information. Communication is the signal, with a sustainability message. The receivers are consumers, regulators, investors and media. How these groups determine if the message is credible (Weder, 2022). The </w:t>
      </w:r>
      <w:r w:rsidRPr="002A77FC">
        <w:rPr>
          <w:rFonts w:ascii="Arial" w:hAnsi="Arial" w:cs="Arial"/>
        </w:rPr>
        <w:lastRenderedPageBreak/>
        <w:t>theory is based on the idea that powerful signals lead to the reduction of uncertainty and the cultivation of trust. This dissertation does not however</w:t>
      </w:r>
      <w:r w:rsidRPr="002A77FC">
        <w:rPr>
          <w:rFonts w:ascii="Arial" w:hAnsi="Arial" w:cs="Arial"/>
          <w:lang w:val="en-US"/>
        </w:rPr>
        <w:t>,</w:t>
      </w:r>
      <w:r w:rsidRPr="002A77FC">
        <w:rPr>
          <w:rFonts w:ascii="Arial" w:hAnsi="Arial" w:cs="Arial"/>
        </w:rPr>
        <w:t xml:space="preserve"> assume this to be the case. It asserts that signals can also not work if they are perceived as marketing, as greenwashing or as reputation management.</w:t>
      </w:r>
    </w:p>
    <w:p w14:paraId="2D6C02E8" w14:textId="73668C24" w:rsidR="00704FBA" w:rsidRPr="002A77FC" w:rsidRDefault="00704FBA" w:rsidP="00704FBA">
      <w:pPr>
        <w:spacing w:line="360" w:lineRule="auto"/>
        <w:jc w:val="both"/>
        <w:rPr>
          <w:rFonts w:ascii="Arial" w:hAnsi="Arial" w:cs="Arial"/>
        </w:rPr>
      </w:pPr>
      <w:r w:rsidRPr="002A77FC">
        <w:rPr>
          <w:rFonts w:ascii="Arial" w:hAnsi="Arial" w:cs="Arial"/>
        </w:rPr>
        <w:t>The use of this theory is fitting because the research question is about the influence of sustainability communication on the perception, trust and reputation. Signalling Theory allows for an explanation of the pathway between message and judgement (Vijayalakshmi, Lin and Laczniak, 2020). It also illustrates how one company might obtain a different effect than another following similar sustainability claims. Specific, evidence-based claims could benefit reputation for Unilever. Lacks credibility if claims seem overly general and unrelated to the actual product. This will also allow people to compare Unilever with P&amp;G, Nestlé, Reckitt and Henkel.</w:t>
      </w:r>
    </w:p>
    <w:p w14:paraId="47F94D85" w14:textId="401B3870" w:rsidR="00704FBA" w:rsidRPr="002A77FC" w:rsidRDefault="00704FBA" w:rsidP="00012868">
      <w:pPr>
        <w:spacing w:line="360" w:lineRule="auto"/>
        <w:jc w:val="both"/>
        <w:rPr>
          <w:rFonts w:ascii="Arial" w:hAnsi="Arial" w:cs="Arial"/>
        </w:rPr>
      </w:pPr>
      <w:r w:rsidRPr="002A77FC">
        <w:rPr>
          <w:rFonts w:ascii="Arial" w:hAnsi="Arial" w:cs="Arial"/>
        </w:rPr>
        <w:t>The contribution of this research is to help enlighten Signalling Theory in the context of the UK FMCG. It demonstrates that it's not just about the presence of sustainability signals. They're assessed based on evidence, visible force, products' relevance and previous reputation. The study</w:t>
      </w:r>
      <w:r w:rsidRPr="002A77FC">
        <w:rPr>
          <w:rFonts w:ascii="Arial" w:hAnsi="Arial" w:cs="Arial"/>
          <w:lang w:val="en-US"/>
        </w:rPr>
        <w:t>,</w:t>
      </w:r>
      <w:r w:rsidRPr="002A77FC">
        <w:rPr>
          <w:rFonts w:ascii="Arial" w:hAnsi="Arial" w:cs="Arial"/>
        </w:rPr>
        <w:t xml:space="preserve"> therefore</w:t>
      </w:r>
      <w:r w:rsidRPr="002A77FC">
        <w:rPr>
          <w:rFonts w:ascii="Arial" w:hAnsi="Arial" w:cs="Arial"/>
          <w:lang w:val="en-US"/>
        </w:rPr>
        <w:t>,</w:t>
      </w:r>
      <w:r w:rsidRPr="002A77FC">
        <w:rPr>
          <w:rFonts w:ascii="Arial" w:hAnsi="Arial" w:cs="Arial"/>
        </w:rPr>
        <w:t xml:space="preserve"> has two important conditions which were added (van der Werff et al., 2019). Being authentic increases the signal. Secondly, it is undermined by consumer scepticism. This provides a straightforward but valuable contribution to the theory area. Positive messages for sustainability help strengthen a brand, but not if the message is not credible, comprehended and linked to actions within the business. This will allow the contribution to stay focused and useful for case analysis.</w:t>
      </w:r>
    </w:p>
    <w:p w14:paraId="217EF339" w14:textId="77777777" w:rsidR="00704FBA" w:rsidRPr="002A77FC" w:rsidRDefault="00704FBA" w:rsidP="00012868">
      <w:pPr>
        <w:spacing w:line="360" w:lineRule="auto"/>
        <w:jc w:val="both"/>
        <w:rPr>
          <w:rFonts w:ascii="Arial" w:hAnsi="Arial" w:cs="Arial"/>
        </w:rPr>
      </w:pPr>
    </w:p>
    <w:p w14:paraId="42B3F4C3" w14:textId="09844B78" w:rsidR="005201EC" w:rsidRPr="002A77FC" w:rsidRDefault="005201EC" w:rsidP="00012868">
      <w:pPr>
        <w:pStyle w:val="Heading2"/>
        <w:rPr>
          <w:rFonts w:ascii="Arial" w:hAnsi="Arial" w:cs="Arial"/>
          <w:color w:val="auto"/>
        </w:rPr>
      </w:pPr>
      <w:bookmarkStart w:id="27" w:name="_Toc225905073"/>
      <w:bookmarkStart w:id="28" w:name="_Toc230268825"/>
      <w:r w:rsidRPr="002A77FC">
        <w:rPr>
          <w:rFonts w:ascii="Arial" w:hAnsi="Arial" w:cs="Arial"/>
          <w:color w:val="auto"/>
        </w:rPr>
        <w:t>2.</w:t>
      </w:r>
      <w:r w:rsidR="00182DBB" w:rsidRPr="002A77FC">
        <w:rPr>
          <w:rFonts w:ascii="Arial" w:hAnsi="Arial" w:cs="Arial"/>
          <w:color w:val="auto"/>
        </w:rPr>
        <w:t>4</w:t>
      </w:r>
      <w:r w:rsidRPr="002A77FC">
        <w:rPr>
          <w:rFonts w:ascii="Arial" w:hAnsi="Arial" w:cs="Arial"/>
          <w:color w:val="auto"/>
        </w:rPr>
        <w:t xml:space="preserve"> Conceptual Framework</w:t>
      </w:r>
      <w:bookmarkEnd w:id="27"/>
      <w:bookmarkEnd w:id="28"/>
    </w:p>
    <w:p w14:paraId="5309B7DF" w14:textId="77777777" w:rsidR="00704FBA" w:rsidRPr="002A77FC" w:rsidRDefault="00704FBA" w:rsidP="00704FBA">
      <w:pPr>
        <w:spacing w:line="360" w:lineRule="auto"/>
        <w:jc w:val="both"/>
        <w:rPr>
          <w:rFonts w:ascii="Arial" w:hAnsi="Arial" w:cs="Arial"/>
        </w:rPr>
      </w:pPr>
      <w:r w:rsidRPr="002A77FC">
        <w:rPr>
          <w:rFonts w:ascii="Arial" w:hAnsi="Arial" w:cs="Arial"/>
        </w:rPr>
        <w:t>The conceptual framework works, building a framework for analysing the five cases. It is a cross-connection between sustainability communication and consumer perception that ties in an understanding of trust and brand reputation (Welch et al., 2019). Also, it demonstrates that this connecting is not given. The framework is used to lead in the Chapter 4 case analysis and cross-case discussion in Chapter 5. It maintains the focus on the interconnection of the message, the evidence, the interpretation and the outcome for the sender's reputation.</w:t>
      </w:r>
    </w:p>
    <w:p w14:paraId="36DFD548" w14:textId="77777777" w:rsidR="00704FBA" w:rsidRPr="002A77FC" w:rsidRDefault="00704FBA" w:rsidP="00704FBA">
      <w:pPr>
        <w:spacing w:line="360" w:lineRule="auto"/>
        <w:jc w:val="both"/>
        <w:rPr>
          <w:rFonts w:ascii="Arial" w:hAnsi="Arial" w:cs="Arial"/>
        </w:rPr>
      </w:pPr>
      <w:r w:rsidRPr="002A77FC">
        <w:rPr>
          <w:rFonts w:ascii="Arial" w:hAnsi="Arial" w:cs="Arial"/>
        </w:rPr>
        <w:lastRenderedPageBreak/>
        <w:t>The initial is sustainability communication. This is the variable that is being manipulated. This includes ESG reporting, environmental commitments, packaging labelling, product communications, content on social media, brand campaigns etc (Zhang et al., 2018). This dissertation does not consider communication as proof in itself. It is regarded as a vehicle with a message that should be put to the trial and verified by the interpretation of stakeholders based on evidence.</w:t>
      </w:r>
    </w:p>
    <w:p w14:paraId="4405FAE1" w14:textId="77777777" w:rsidR="00704FBA" w:rsidRPr="002A77FC" w:rsidRDefault="00704FBA" w:rsidP="00704FBA">
      <w:pPr>
        <w:spacing w:line="360" w:lineRule="auto"/>
        <w:jc w:val="both"/>
        <w:rPr>
          <w:rFonts w:ascii="Arial" w:hAnsi="Arial" w:cs="Arial"/>
        </w:rPr>
      </w:pPr>
      <w:r w:rsidRPr="002A77FC">
        <w:rPr>
          <w:rFonts w:ascii="Arial" w:hAnsi="Arial" w:cs="Arial"/>
        </w:rPr>
        <w:t>And the second part is the perception of the consumer. Here is a mediating factor. It's a way to let the consumers know the company's message of sustainability. The Perception may be positive, neutral/sceptical (Allen, 2016). Requires clarity of message and relevance of the product, media coverage and prior brand knowledge. This is important because reputation is achieved through the interpretation of whatever the company says.</w:t>
      </w:r>
    </w:p>
    <w:p w14:paraId="34766DC5" w14:textId="77777777" w:rsidR="00704FBA" w:rsidRPr="002A77FC" w:rsidRDefault="00704FBA" w:rsidP="00704FBA">
      <w:pPr>
        <w:spacing w:line="360" w:lineRule="auto"/>
        <w:jc w:val="both"/>
        <w:rPr>
          <w:rFonts w:ascii="Arial" w:hAnsi="Arial" w:cs="Arial"/>
        </w:rPr>
      </w:pPr>
      <w:r w:rsidRPr="002A77FC">
        <w:rPr>
          <w:rFonts w:ascii="Arial" w:hAnsi="Arial" w:cs="Arial"/>
        </w:rPr>
        <w:t>Trust is the third element. Trust is also a Mediator. This occurs when consumers feel the sustainability claims are forthcoming, backed up with actions (Wang et al., 2018). There is little trust when communication is too extreme or if it seems disconnected from actual behaviors, or when it appears technical. In this investigation, the link between perception and reputation is trust.</w:t>
      </w:r>
    </w:p>
    <w:p w14:paraId="3E5DE4D9" w14:textId="77777777" w:rsidR="00704FBA" w:rsidRPr="002A77FC" w:rsidRDefault="00704FBA" w:rsidP="00704FBA">
      <w:pPr>
        <w:spacing w:line="360" w:lineRule="auto"/>
        <w:jc w:val="both"/>
        <w:rPr>
          <w:rFonts w:ascii="Arial" w:hAnsi="Arial" w:cs="Arial"/>
        </w:rPr>
      </w:pPr>
      <w:r w:rsidRPr="002A77FC">
        <w:rPr>
          <w:rFonts w:ascii="Arial" w:hAnsi="Arial" w:cs="Arial"/>
        </w:rPr>
        <w:t>The fourth part relates to brand reputation. This is what is achieved. It's the general assessment of the business long-term. The corporate communication has an impact on the reputation, but it is not fully ruled by the company. Also influenced by media coverage, consumer comments, regulation and previous issues.</w:t>
      </w:r>
    </w:p>
    <w:p w14:paraId="68A4232D" w14:textId="66C08F77" w:rsidR="00AA01AD" w:rsidRPr="002A77FC" w:rsidRDefault="00704FBA" w:rsidP="00012868">
      <w:pPr>
        <w:spacing w:line="360" w:lineRule="auto"/>
        <w:jc w:val="both"/>
        <w:rPr>
          <w:rFonts w:ascii="Arial" w:hAnsi="Arial" w:cs="Arial"/>
        </w:rPr>
      </w:pPr>
      <w:r w:rsidRPr="002A77FC">
        <w:rPr>
          <w:rFonts w:ascii="Arial" w:hAnsi="Arial" w:cs="Arial"/>
        </w:rPr>
        <w:t>The framework is impacted by 2 conditions. First is authenticity; as perceived by the user. This reinforces the connection between communication and trust when what is said is done. The second is doubting consumers (Weder, 2023). This erodes the connection when people feel that there is greenwashing or image management. These two conditions will suggest why it's possible for similar communication to have different results in Unilever, P&amp;G, Nestlé, Reckitt, and Henkel</w:t>
      </w:r>
      <w:r w:rsidR="00AA01AD" w:rsidRPr="002A77FC">
        <w:rPr>
          <w:rFonts w:ascii="Arial" w:hAnsi="Arial" w:cs="Arial"/>
        </w:rPr>
        <w:t>.</w:t>
      </w:r>
    </w:p>
    <w:p w14:paraId="3AC30151" w14:textId="636CFB68" w:rsidR="0047645A" w:rsidRPr="002A77FC" w:rsidRDefault="00704FBA" w:rsidP="007B595B">
      <w:pPr>
        <w:spacing w:line="360" w:lineRule="auto"/>
        <w:jc w:val="center"/>
        <w:rPr>
          <w:rFonts w:ascii="Arial" w:hAnsi="Arial" w:cs="Arial"/>
        </w:rPr>
      </w:pPr>
      <w:r w:rsidRPr="002A77FC">
        <w:rPr>
          <w:rFonts w:ascii="Arial" w:hAnsi="Arial" w:cs="Arial"/>
          <w:noProof/>
          <w14:ligatures w14:val="standardContextual"/>
        </w:rPr>
        <w:lastRenderedPageBreak/>
        <w:drawing>
          <wp:inline distT="0" distB="0" distL="0" distR="0" wp14:anchorId="66F59F5E" wp14:editId="22BD7285">
            <wp:extent cx="5731510" cy="3126105"/>
            <wp:effectExtent l="0" t="0" r="0" b="0"/>
            <wp:docPr id="1109155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55026" name="Picture 110915502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44ACF2DB" w14:textId="379434AC" w:rsidR="0047645A" w:rsidRPr="002A77FC" w:rsidRDefault="0047645A" w:rsidP="007B595B">
      <w:pPr>
        <w:spacing w:line="360" w:lineRule="auto"/>
        <w:jc w:val="center"/>
        <w:rPr>
          <w:rFonts w:ascii="Arial" w:hAnsi="Arial" w:cs="Arial"/>
          <w:b/>
          <w:bCs/>
          <w:i/>
          <w:iCs/>
          <w:lang w:val="en-US"/>
        </w:rPr>
      </w:pPr>
      <w:r w:rsidRPr="002A77FC">
        <w:rPr>
          <w:rFonts w:ascii="Arial" w:hAnsi="Arial" w:cs="Arial"/>
          <w:b/>
          <w:bCs/>
          <w:i/>
          <w:iCs/>
        </w:rPr>
        <w:t xml:space="preserve">Figure </w:t>
      </w:r>
      <w:r w:rsidRPr="002A77FC">
        <w:rPr>
          <w:rFonts w:ascii="Arial" w:hAnsi="Arial" w:cs="Arial"/>
          <w:b/>
          <w:bCs/>
          <w:i/>
          <w:iCs/>
        </w:rPr>
        <w:fldChar w:fldCharType="begin"/>
      </w:r>
      <w:r w:rsidRPr="002A77FC">
        <w:rPr>
          <w:rFonts w:ascii="Arial" w:hAnsi="Arial" w:cs="Arial"/>
          <w:b/>
          <w:bCs/>
          <w:i/>
          <w:iCs/>
        </w:rPr>
        <w:instrText xml:space="preserve"> SEQ Figure \* ARABIC </w:instrText>
      </w:r>
      <w:r w:rsidRPr="002A77FC">
        <w:rPr>
          <w:rFonts w:ascii="Arial" w:hAnsi="Arial" w:cs="Arial"/>
          <w:b/>
          <w:bCs/>
          <w:i/>
          <w:iCs/>
        </w:rPr>
        <w:fldChar w:fldCharType="separate"/>
      </w:r>
      <w:r w:rsidR="001864C6" w:rsidRPr="002A77FC">
        <w:rPr>
          <w:rFonts w:ascii="Arial" w:hAnsi="Arial" w:cs="Arial"/>
          <w:b/>
          <w:bCs/>
          <w:i/>
          <w:iCs/>
          <w:noProof/>
        </w:rPr>
        <w:t>2</w:t>
      </w:r>
      <w:r w:rsidRPr="002A77FC">
        <w:rPr>
          <w:rFonts w:ascii="Arial" w:hAnsi="Arial" w:cs="Arial"/>
          <w:b/>
          <w:bCs/>
          <w:i/>
          <w:iCs/>
          <w:noProof/>
        </w:rPr>
        <w:fldChar w:fldCharType="end"/>
      </w:r>
      <w:r w:rsidRPr="002A77FC">
        <w:rPr>
          <w:rFonts w:ascii="Arial" w:hAnsi="Arial" w:cs="Arial"/>
          <w:b/>
          <w:bCs/>
          <w:i/>
          <w:iCs/>
          <w:lang w:val="en-US"/>
        </w:rPr>
        <w:t>: Conceptual Framework</w:t>
      </w:r>
    </w:p>
    <w:p w14:paraId="7A49693A" w14:textId="2BEFC221" w:rsidR="0047645A" w:rsidRPr="002A77FC" w:rsidRDefault="0047645A" w:rsidP="007B595B">
      <w:pPr>
        <w:spacing w:line="360" w:lineRule="auto"/>
        <w:jc w:val="center"/>
        <w:rPr>
          <w:rFonts w:ascii="Arial" w:hAnsi="Arial" w:cs="Arial"/>
          <w:b/>
          <w:bCs/>
          <w:i/>
          <w:iCs/>
        </w:rPr>
      </w:pPr>
      <w:r w:rsidRPr="002A77FC">
        <w:rPr>
          <w:rFonts w:ascii="Arial" w:hAnsi="Arial" w:cs="Arial"/>
          <w:b/>
          <w:bCs/>
          <w:i/>
          <w:iCs/>
          <w:lang w:val="en-US"/>
        </w:rPr>
        <w:t xml:space="preserve">Source: Based on </w:t>
      </w:r>
      <w:r w:rsidRPr="002A77FC">
        <w:rPr>
          <w:rFonts w:ascii="Arial" w:hAnsi="Arial" w:cs="Arial"/>
          <w:b/>
          <w:bCs/>
          <w:i/>
          <w:iCs/>
        </w:rPr>
        <w:t>(</w:t>
      </w:r>
      <w:r w:rsidR="00765630" w:rsidRPr="002A77FC">
        <w:rPr>
          <w:rFonts w:ascii="Arial" w:hAnsi="Arial" w:cs="Arial"/>
          <w:b/>
          <w:bCs/>
          <w:i/>
          <w:iCs/>
        </w:rPr>
        <w:t>Welch et al., 2019, Zhang et al., 2018, Allen, 2016</w:t>
      </w:r>
      <w:r w:rsidR="00871B5E" w:rsidRPr="002A77FC">
        <w:rPr>
          <w:rFonts w:ascii="Arial" w:hAnsi="Arial" w:cs="Arial"/>
          <w:b/>
          <w:bCs/>
          <w:i/>
          <w:iCs/>
        </w:rPr>
        <w:t>, Wang et al., 2018, Weder, 2023</w:t>
      </w:r>
      <w:r w:rsidRPr="002A77FC">
        <w:rPr>
          <w:rFonts w:ascii="Arial" w:hAnsi="Arial" w:cs="Arial"/>
          <w:b/>
          <w:bCs/>
          <w:i/>
          <w:iCs/>
        </w:rPr>
        <w:t>), Self-Made</w:t>
      </w:r>
    </w:p>
    <w:p w14:paraId="2E5D1208" w14:textId="77777777" w:rsidR="00704FBA" w:rsidRPr="002A77FC" w:rsidRDefault="00704FBA" w:rsidP="00704FBA">
      <w:pPr>
        <w:spacing w:line="360" w:lineRule="auto"/>
        <w:jc w:val="both"/>
        <w:rPr>
          <w:rFonts w:ascii="Arial" w:hAnsi="Arial" w:cs="Arial"/>
        </w:rPr>
      </w:pPr>
      <w:r w:rsidRPr="002A77FC">
        <w:rPr>
          <w:rFonts w:ascii="Arial" w:hAnsi="Arial" w:cs="Arial"/>
        </w:rPr>
        <w:t>The framework can be displayed as such:</w:t>
      </w:r>
    </w:p>
    <w:p w14:paraId="43899B77" w14:textId="77777777" w:rsidR="00704FBA" w:rsidRPr="002A77FC" w:rsidRDefault="00704FBA" w:rsidP="00704FBA">
      <w:pPr>
        <w:spacing w:line="360" w:lineRule="auto"/>
        <w:jc w:val="both"/>
        <w:rPr>
          <w:rFonts w:ascii="Arial" w:hAnsi="Arial" w:cs="Arial"/>
        </w:rPr>
      </w:pPr>
      <w:r w:rsidRPr="002A77FC">
        <w:rPr>
          <w:rFonts w:ascii="Arial" w:hAnsi="Arial" w:cs="Arial"/>
        </w:rPr>
        <w:t>Sustainability Communication → Consumer Perception → Trust → Brand Reputation</w:t>
      </w:r>
    </w:p>
    <w:p w14:paraId="4EF1EF0B" w14:textId="0E739E30" w:rsidR="00AA01AD" w:rsidRPr="002A77FC" w:rsidRDefault="00704FBA" w:rsidP="00012868">
      <w:pPr>
        <w:spacing w:line="360" w:lineRule="auto"/>
        <w:jc w:val="both"/>
        <w:rPr>
          <w:rFonts w:ascii="Arial" w:hAnsi="Arial" w:cs="Arial"/>
          <w:lang w:val="en-US"/>
        </w:rPr>
      </w:pPr>
      <w:r w:rsidRPr="002A77FC">
        <w:rPr>
          <w:rFonts w:ascii="Arial" w:hAnsi="Arial" w:cs="Arial"/>
        </w:rPr>
        <w:t>Two factors impact this main pathway, which are perceived authenticity and consumer scepticism. The overall UK FMCG picturesque backdrop replaces the entire model, as the UK FMCG context is likely to lead to an even greater level of scrutiny and will simply make sustainability claims more complex (Allen, 2016). This framework is practically followed in order to direct the research. The four questions – what is communicated, how is it evidenced, how might it be perceived</w:t>
      </w:r>
      <w:r w:rsidRPr="002A77FC">
        <w:rPr>
          <w:rFonts w:ascii="Arial" w:hAnsi="Arial" w:cs="Arial"/>
          <w:lang w:val="en-US"/>
        </w:rPr>
        <w:t>,</w:t>
      </w:r>
      <w:r w:rsidRPr="002A77FC">
        <w:rPr>
          <w:rFonts w:ascii="Arial" w:hAnsi="Arial" w:cs="Arial"/>
        </w:rPr>
        <w:t xml:space="preserve"> and what reputational effect does it create – are used to interrogate each case in Chapter 4. A Matrix for comparing cases is included in Chapter 5. It aids in the search for patterns, differences and limits. It can also be perfected when evidence in the case demonstrates visibility or product relevance causes a change in the strength of the relationship</w:t>
      </w:r>
      <w:r w:rsidRPr="002A77FC">
        <w:rPr>
          <w:rFonts w:ascii="Arial" w:hAnsi="Arial" w:cs="Arial"/>
          <w:lang w:val="en-US"/>
        </w:rPr>
        <w:t xml:space="preserve">. </w:t>
      </w:r>
    </w:p>
    <w:p w14:paraId="59B935B7" w14:textId="77777777" w:rsidR="00AA01AD" w:rsidRPr="002A77FC" w:rsidRDefault="00AA01AD" w:rsidP="00012868">
      <w:pPr>
        <w:spacing w:line="360" w:lineRule="auto"/>
        <w:jc w:val="both"/>
        <w:rPr>
          <w:rFonts w:ascii="Arial" w:hAnsi="Arial" w:cs="Arial"/>
        </w:rPr>
        <w:sectPr w:rsidR="00AA01AD" w:rsidRPr="002A77FC">
          <w:footerReference w:type="default" r:id="rId11"/>
          <w:pgSz w:w="11906" w:h="16838"/>
          <w:pgMar w:top="1440" w:right="1440" w:bottom="1440" w:left="1440" w:header="708" w:footer="708" w:gutter="0"/>
          <w:cols w:space="708"/>
          <w:docGrid w:linePitch="360"/>
        </w:sectPr>
      </w:pPr>
    </w:p>
    <w:p w14:paraId="4BCE1343" w14:textId="26124E51" w:rsidR="00AA01AD" w:rsidRPr="002A77FC" w:rsidRDefault="00AA01AD" w:rsidP="00012868">
      <w:pPr>
        <w:pStyle w:val="Heading2"/>
        <w:rPr>
          <w:rFonts w:ascii="Arial" w:hAnsi="Arial" w:cs="Arial"/>
          <w:color w:val="auto"/>
        </w:rPr>
      </w:pPr>
      <w:bookmarkStart w:id="29" w:name="_Toc230268826"/>
      <w:r w:rsidRPr="002A77FC">
        <w:rPr>
          <w:rFonts w:ascii="Arial" w:hAnsi="Arial" w:cs="Arial"/>
          <w:color w:val="auto"/>
        </w:rPr>
        <w:lastRenderedPageBreak/>
        <w:t>2.5 Summary Table of Key Literature</w:t>
      </w:r>
      <w:bookmarkEnd w:id="29"/>
    </w:p>
    <w:p w14:paraId="419B9193" w14:textId="60A69C4A" w:rsidR="00D54268" w:rsidRPr="002A77FC" w:rsidRDefault="00D54268" w:rsidP="00012868">
      <w:pPr>
        <w:spacing w:line="360" w:lineRule="auto"/>
        <w:jc w:val="both"/>
        <w:rPr>
          <w:rFonts w:ascii="Arial" w:hAnsi="Arial" w:cs="Arial"/>
        </w:rPr>
      </w:pPr>
      <w:r w:rsidRPr="002A77FC">
        <w:rPr>
          <w:rFonts w:ascii="Arial" w:hAnsi="Arial" w:cs="Arial"/>
        </w:rPr>
        <w:t>This table reviews major scholarly literature on sustainability communication, including its theoretic</w:t>
      </w:r>
      <w:r w:rsidRPr="002A77FC">
        <w:rPr>
          <w:rFonts w:ascii="Arial" w:hAnsi="Arial" w:cs="Arial"/>
          <w:lang w:val="en-US"/>
        </w:rPr>
        <w:t>al</w:t>
      </w:r>
      <w:r w:rsidRPr="002A77FC">
        <w:rPr>
          <w:rFonts w:ascii="Arial" w:hAnsi="Arial" w:cs="Arial"/>
        </w:rPr>
        <w:t xml:space="preserve"> principles, approaches, results</w:t>
      </w:r>
      <w:r w:rsidRPr="002A77FC">
        <w:rPr>
          <w:rFonts w:ascii="Arial" w:hAnsi="Arial" w:cs="Arial"/>
          <w:lang w:val="en-US"/>
        </w:rPr>
        <w:t>,</w:t>
      </w:r>
      <w:r w:rsidRPr="002A77FC">
        <w:rPr>
          <w:rFonts w:ascii="Arial" w:hAnsi="Arial" w:cs="Arial"/>
        </w:rPr>
        <w:t xml:space="preserve"> as well as constraints. It demonstrates that communication is most frequently associated with trust, legitimacy, and reputation; however, a large number of studies are based on conceptual or context-specific evidence. This will form gaps in knowledge of practical efficacy. The table itself shows discrepancies and a lack of empirical depth, which justifies the creation of an integrative and context-specific paradigm to examine sustainability communication in companies such as Unilever UK.</w:t>
      </w:r>
    </w:p>
    <w:p w14:paraId="0FBF0A8B" w14:textId="77777777" w:rsidR="00D54268" w:rsidRPr="002A77FC" w:rsidRDefault="00D54268" w:rsidP="00012868">
      <w:pPr>
        <w:spacing w:line="360" w:lineRule="auto"/>
        <w:jc w:val="both"/>
        <w:rPr>
          <w:rFonts w:ascii="Arial" w:hAnsi="Arial" w:cs="Arial"/>
        </w:rPr>
      </w:pPr>
    </w:p>
    <w:tbl>
      <w:tblPr>
        <w:tblStyle w:val="GridTable6ColourfulAccent6"/>
        <w:tblW w:w="0" w:type="auto"/>
        <w:tblLook w:val="04A0" w:firstRow="1" w:lastRow="0" w:firstColumn="1" w:lastColumn="0" w:noHBand="0" w:noVBand="1"/>
      </w:tblPr>
      <w:tblGrid>
        <w:gridCol w:w="1860"/>
        <w:gridCol w:w="2254"/>
        <w:gridCol w:w="1429"/>
        <w:gridCol w:w="3202"/>
        <w:gridCol w:w="2470"/>
        <w:gridCol w:w="2733"/>
      </w:tblGrid>
      <w:tr w:rsidR="002A77FC" w:rsidRPr="002A77FC" w14:paraId="33215408" w14:textId="77777777" w:rsidTr="00DE6DAF">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0215D97"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Author &amp; Year</w:t>
            </w:r>
          </w:p>
        </w:tc>
        <w:tc>
          <w:tcPr>
            <w:tcW w:w="0" w:type="auto"/>
            <w:hideMark/>
          </w:tcPr>
          <w:p w14:paraId="0B1025E0" w14:textId="77777777" w:rsidR="00AA01AD" w:rsidRPr="002A77FC" w:rsidRDefault="00AA01AD" w:rsidP="0001286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Theory / Framework</w:t>
            </w:r>
          </w:p>
        </w:tc>
        <w:tc>
          <w:tcPr>
            <w:tcW w:w="0" w:type="auto"/>
            <w:hideMark/>
          </w:tcPr>
          <w:p w14:paraId="0589C8D0" w14:textId="77777777" w:rsidR="00AA01AD" w:rsidRPr="002A77FC" w:rsidRDefault="00AA01AD" w:rsidP="0001286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Method</w:t>
            </w:r>
          </w:p>
        </w:tc>
        <w:tc>
          <w:tcPr>
            <w:tcW w:w="0" w:type="auto"/>
            <w:hideMark/>
          </w:tcPr>
          <w:p w14:paraId="11E97D27" w14:textId="77777777" w:rsidR="00AA01AD" w:rsidRPr="002A77FC" w:rsidRDefault="00AA01AD" w:rsidP="0001286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Key Findings</w:t>
            </w:r>
          </w:p>
        </w:tc>
        <w:tc>
          <w:tcPr>
            <w:tcW w:w="0" w:type="auto"/>
            <w:hideMark/>
          </w:tcPr>
          <w:p w14:paraId="4572ED60" w14:textId="77777777" w:rsidR="00AA01AD" w:rsidRPr="002A77FC" w:rsidRDefault="00AA01AD" w:rsidP="0001286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Limitations</w:t>
            </w:r>
          </w:p>
        </w:tc>
        <w:tc>
          <w:tcPr>
            <w:tcW w:w="0" w:type="auto"/>
            <w:hideMark/>
          </w:tcPr>
          <w:p w14:paraId="65095C28" w14:textId="77777777" w:rsidR="00AA01AD" w:rsidRPr="002A77FC" w:rsidRDefault="00AA01AD" w:rsidP="0001286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Relevance to Study</w:t>
            </w:r>
          </w:p>
        </w:tc>
      </w:tr>
      <w:tr w:rsidR="002A77FC" w:rsidRPr="002A77FC" w14:paraId="015C9756" w14:textId="77777777" w:rsidTr="00DE6DAF">
        <w:trPr>
          <w:cnfStyle w:val="000000100000" w:firstRow="0" w:lastRow="0" w:firstColumn="0" w:lastColumn="0" w:oddVBand="0" w:evenVBand="0" w:oddHBand="1" w:evenHBand="0" w:firstRowFirstColumn="0" w:firstRowLastColumn="0" w:lastRowFirstColumn="0" w:lastRowLastColumn="0"/>
          <w:trHeight w:val="892"/>
        </w:trPr>
        <w:tc>
          <w:tcPr>
            <w:cnfStyle w:val="001000000000" w:firstRow="0" w:lastRow="0" w:firstColumn="1" w:lastColumn="0" w:oddVBand="0" w:evenVBand="0" w:oddHBand="0" w:evenHBand="0" w:firstRowFirstColumn="0" w:firstRowLastColumn="0" w:lastRowFirstColumn="0" w:lastRowLastColumn="0"/>
            <w:tcW w:w="0" w:type="auto"/>
            <w:hideMark/>
          </w:tcPr>
          <w:p w14:paraId="20A18728"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Allen (2016)</w:t>
            </w:r>
          </w:p>
        </w:tc>
        <w:tc>
          <w:tcPr>
            <w:tcW w:w="0" w:type="auto"/>
            <w:hideMark/>
          </w:tcPr>
          <w:p w14:paraId="6FCAD19C"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Strategic Communication / Sustainability</w:t>
            </w:r>
          </w:p>
        </w:tc>
        <w:tc>
          <w:tcPr>
            <w:tcW w:w="0" w:type="auto"/>
            <w:hideMark/>
          </w:tcPr>
          <w:p w14:paraId="52D843D5"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Conceptual</w:t>
            </w:r>
          </w:p>
        </w:tc>
        <w:tc>
          <w:tcPr>
            <w:tcW w:w="0" w:type="auto"/>
            <w:hideMark/>
          </w:tcPr>
          <w:p w14:paraId="4DAF2D73"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communication enhances legitimacy and stakeholder trust</w:t>
            </w:r>
          </w:p>
        </w:tc>
        <w:tc>
          <w:tcPr>
            <w:tcW w:w="0" w:type="auto"/>
            <w:hideMark/>
          </w:tcPr>
          <w:p w14:paraId="546F8445"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Lacks empirical validation</w:t>
            </w:r>
          </w:p>
        </w:tc>
        <w:tc>
          <w:tcPr>
            <w:tcW w:w="0" w:type="auto"/>
            <w:hideMark/>
          </w:tcPr>
          <w:p w14:paraId="55322FB2"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Supports role of communication in reputation building</w:t>
            </w:r>
          </w:p>
        </w:tc>
      </w:tr>
      <w:tr w:rsidR="002A77FC" w:rsidRPr="002A77FC" w14:paraId="68C1B4BF" w14:textId="77777777" w:rsidTr="00DE6DAF">
        <w:trPr>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58265F49"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Altaf (2022)</w:t>
            </w:r>
          </w:p>
        </w:tc>
        <w:tc>
          <w:tcPr>
            <w:tcW w:w="0" w:type="auto"/>
            <w:hideMark/>
          </w:tcPr>
          <w:p w14:paraId="53225154"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Stakeholder Theory</w:t>
            </w:r>
          </w:p>
        </w:tc>
        <w:tc>
          <w:tcPr>
            <w:tcW w:w="0" w:type="auto"/>
            <w:hideMark/>
          </w:tcPr>
          <w:p w14:paraId="6696F8B4"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Qualitative</w:t>
            </w:r>
          </w:p>
        </w:tc>
        <w:tc>
          <w:tcPr>
            <w:tcW w:w="0" w:type="auto"/>
            <w:hideMark/>
          </w:tcPr>
          <w:p w14:paraId="48CFEE87"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Communication engages stakeholders and improves sustainability outcomes</w:t>
            </w:r>
          </w:p>
        </w:tc>
        <w:tc>
          <w:tcPr>
            <w:tcW w:w="0" w:type="auto"/>
            <w:hideMark/>
          </w:tcPr>
          <w:p w14:paraId="6BFE826A"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Context-specific, limited generalisability</w:t>
            </w:r>
          </w:p>
        </w:tc>
        <w:tc>
          <w:tcPr>
            <w:tcW w:w="0" w:type="auto"/>
            <w:hideMark/>
          </w:tcPr>
          <w:p w14:paraId="1DDE0064"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Links stakeholder engagement with communication strategy</w:t>
            </w:r>
          </w:p>
        </w:tc>
      </w:tr>
      <w:tr w:rsidR="002A77FC" w:rsidRPr="002A77FC" w14:paraId="761EC03A" w14:textId="77777777" w:rsidTr="00DE6DAF">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6A3FFAF8"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Crumley et al. (2022)</w:t>
            </w:r>
          </w:p>
        </w:tc>
        <w:tc>
          <w:tcPr>
            <w:tcW w:w="0" w:type="auto"/>
            <w:hideMark/>
          </w:tcPr>
          <w:p w14:paraId="338BF867"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Legitimacy Theory</w:t>
            </w:r>
          </w:p>
        </w:tc>
        <w:tc>
          <w:tcPr>
            <w:tcW w:w="0" w:type="auto"/>
            <w:hideMark/>
          </w:tcPr>
          <w:p w14:paraId="1BC54802"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Qualitative</w:t>
            </w:r>
          </w:p>
        </w:tc>
        <w:tc>
          <w:tcPr>
            <w:tcW w:w="0" w:type="auto"/>
            <w:hideMark/>
          </w:tcPr>
          <w:p w14:paraId="7A683E3A"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External communication maintains organisational legitimacy</w:t>
            </w:r>
          </w:p>
        </w:tc>
        <w:tc>
          <w:tcPr>
            <w:tcW w:w="0" w:type="auto"/>
            <w:hideMark/>
          </w:tcPr>
          <w:p w14:paraId="0C283E8B"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Focus on interviews, limited consumer perspective</w:t>
            </w:r>
          </w:p>
        </w:tc>
        <w:tc>
          <w:tcPr>
            <w:tcW w:w="0" w:type="auto"/>
            <w:hideMark/>
          </w:tcPr>
          <w:p w14:paraId="7EF41D8E"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Highlights legitimacy function of communication</w:t>
            </w:r>
          </w:p>
        </w:tc>
      </w:tr>
      <w:tr w:rsidR="002A77FC" w:rsidRPr="002A77FC" w14:paraId="360A08C5" w14:textId="77777777" w:rsidTr="00DE6DAF">
        <w:trPr>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14C163A3"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Reilly &amp; Hynan (2014)</w:t>
            </w:r>
          </w:p>
        </w:tc>
        <w:tc>
          <w:tcPr>
            <w:tcW w:w="0" w:type="auto"/>
            <w:hideMark/>
          </w:tcPr>
          <w:p w14:paraId="5A1833B6"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CSR Communication</w:t>
            </w:r>
          </w:p>
        </w:tc>
        <w:tc>
          <w:tcPr>
            <w:tcW w:w="0" w:type="auto"/>
            <w:hideMark/>
          </w:tcPr>
          <w:p w14:paraId="6D84C29A"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Mixed methods</w:t>
            </w:r>
          </w:p>
        </w:tc>
        <w:tc>
          <w:tcPr>
            <w:tcW w:w="0" w:type="auto"/>
            <w:hideMark/>
          </w:tcPr>
          <w:p w14:paraId="192A86F5"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Social media increases transparency but also criticism</w:t>
            </w:r>
          </w:p>
        </w:tc>
        <w:tc>
          <w:tcPr>
            <w:tcW w:w="0" w:type="auto"/>
            <w:hideMark/>
          </w:tcPr>
          <w:p w14:paraId="0F8825F8"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Early study, limited digital evolution</w:t>
            </w:r>
          </w:p>
        </w:tc>
        <w:tc>
          <w:tcPr>
            <w:tcW w:w="0" w:type="auto"/>
            <w:hideMark/>
          </w:tcPr>
          <w:p w14:paraId="75256113"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Shows dual impact of digital communication</w:t>
            </w:r>
          </w:p>
        </w:tc>
      </w:tr>
      <w:tr w:rsidR="002A77FC" w:rsidRPr="002A77FC" w14:paraId="1044D677" w14:textId="77777777" w:rsidTr="00DE6DA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39FF3293"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lastRenderedPageBreak/>
              <w:t>Borges et al. (2023)</w:t>
            </w:r>
          </w:p>
        </w:tc>
        <w:tc>
          <w:tcPr>
            <w:tcW w:w="0" w:type="auto"/>
            <w:hideMark/>
          </w:tcPr>
          <w:p w14:paraId="0E441669"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Communication</w:t>
            </w:r>
          </w:p>
        </w:tc>
        <w:tc>
          <w:tcPr>
            <w:tcW w:w="0" w:type="auto"/>
            <w:hideMark/>
          </w:tcPr>
          <w:p w14:paraId="651C67EC"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Systematic Review</w:t>
            </w:r>
          </w:p>
        </w:tc>
        <w:tc>
          <w:tcPr>
            <w:tcW w:w="0" w:type="auto"/>
            <w:hideMark/>
          </w:tcPr>
          <w:p w14:paraId="0DCBC844"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Transparency and consistency are key for effective communication</w:t>
            </w:r>
          </w:p>
        </w:tc>
        <w:tc>
          <w:tcPr>
            <w:tcW w:w="0" w:type="auto"/>
            <w:hideMark/>
          </w:tcPr>
          <w:p w14:paraId="5DCE9206"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Broad scope, lacks firm-level depth</w:t>
            </w:r>
          </w:p>
        </w:tc>
        <w:tc>
          <w:tcPr>
            <w:tcW w:w="0" w:type="auto"/>
            <w:hideMark/>
          </w:tcPr>
          <w:p w14:paraId="58C4C84B"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Provides foundation for communication practices</w:t>
            </w:r>
          </w:p>
        </w:tc>
      </w:tr>
      <w:tr w:rsidR="002A77FC" w:rsidRPr="002A77FC" w14:paraId="72A66437" w14:textId="77777777" w:rsidTr="00DE6DAF">
        <w:trPr>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3BE45851"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Golob et al. (2023)</w:t>
            </w:r>
          </w:p>
        </w:tc>
        <w:tc>
          <w:tcPr>
            <w:tcW w:w="0" w:type="auto"/>
            <w:hideMark/>
          </w:tcPr>
          <w:p w14:paraId="421CE109"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Communication</w:t>
            </w:r>
          </w:p>
        </w:tc>
        <w:tc>
          <w:tcPr>
            <w:tcW w:w="0" w:type="auto"/>
            <w:hideMark/>
          </w:tcPr>
          <w:p w14:paraId="68F1E64A"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Conceptual</w:t>
            </w:r>
          </w:p>
        </w:tc>
        <w:tc>
          <w:tcPr>
            <w:tcW w:w="0" w:type="auto"/>
            <w:hideMark/>
          </w:tcPr>
          <w:p w14:paraId="231CA4CA"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Communication shapes stakeholder perception and engagement</w:t>
            </w:r>
          </w:p>
        </w:tc>
        <w:tc>
          <w:tcPr>
            <w:tcW w:w="0" w:type="auto"/>
            <w:hideMark/>
          </w:tcPr>
          <w:p w14:paraId="1CEA8F2F"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Limited empirical evidence</w:t>
            </w:r>
          </w:p>
        </w:tc>
        <w:tc>
          <w:tcPr>
            <w:tcW w:w="0" w:type="auto"/>
            <w:hideMark/>
          </w:tcPr>
          <w:p w14:paraId="6D83C195"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Supports perception-based analysis</w:t>
            </w:r>
          </w:p>
        </w:tc>
      </w:tr>
      <w:tr w:rsidR="002A77FC" w:rsidRPr="002A77FC" w14:paraId="6560991C" w14:textId="77777777" w:rsidTr="00DE6DAF">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745F922E"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Prieto et al. (2024)</w:t>
            </w:r>
          </w:p>
        </w:tc>
        <w:tc>
          <w:tcPr>
            <w:tcW w:w="0" w:type="auto"/>
            <w:hideMark/>
          </w:tcPr>
          <w:p w14:paraId="1177E6D3"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Strategic Communication</w:t>
            </w:r>
          </w:p>
        </w:tc>
        <w:tc>
          <w:tcPr>
            <w:tcW w:w="0" w:type="auto"/>
            <w:hideMark/>
          </w:tcPr>
          <w:p w14:paraId="3FDEE6B9"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Empirical</w:t>
            </w:r>
          </w:p>
        </w:tc>
        <w:tc>
          <w:tcPr>
            <w:tcW w:w="0" w:type="auto"/>
            <w:hideMark/>
          </w:tcPr>
          <w:p w14:paraId="65461847"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communication influences trust and ethical perception</w:t>
            </w:r>
          </w:p>
        </w:tc>
        <w:tc>
          <w:tcPr>
            <w:tcW w:w="0" w:type="auto"/>
            <w:hideMark/>
          </w:tcPr>
          <w:p w14:paraId="4D1E4A29"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Industry-specific focus</w:t>
            </w:r>
          </w:p>
        </w:tc>
        <w:tc>
          <w:tcPr>
            <w:tcW w:w="0" w:type="auto"/>
            <w:hideMark/>
          </w:tcPr>
          <w:p w14:paraId="1E0FF617"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Links communication with trust formation</w:t>
            </w:r>
          </w:p>
        </w:tc>
      </w:tr>
      <w:tr w:rsidR="002A77FC" w:rsidRPr="002A77FC" w14:paraId="406D8F0A" w14:textId="77777777" w:rsidTr="00DE6DAF">
        <w:trPr>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45DEAF52"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Dessart &amp; Standaert (2023)</w:t>
            </w:r>
          </w:p>
        </w:tc>
        <w:tc>
          <w:tcPr>
            <w:tcW w:w="0" w:type="auto"/>
            <w:hideMark/>
          </w:tcPr>
          <w:p w14:paraId="0AF8C910"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Strategic Storytelling</w:t>
            </w:r>
          </w:p>
        </w:tc>
        <w:tc>
          <w:tcPr>
            <w:tcW w:w="0" w:type="auto"/>
            <w:hideMark/>
          </w:tcPr>
          <w:p w14:paraId="0546305A"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Conceptual</w:t>
            </w:r>
          </w:p>
        </w:tc>
        <w:tc>
          <w:tcPr>
            <w:tcW w:w="0" w:type="auto"/>
            <w:hideMark/>
          </w:tcPr>
          <w:p w14:paraId="70B98F62"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Storytelling enhances engagement and emotional connection</w:t>
            </w:r>
          </w:p>
        </w:tc>
        <w:tc>
          <w:tcPr>
            <w:tcW w:w="0" w:type="auto"/>
            <w:hideMark/>
          </w:tcPr>
          <w:p w14:paraId="19BEA6A1"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Lacks measurement of outcomes</w:t>
            </w:r>
          </w:p>
        </w:tc>
        <w:tc>
          <w:tcPr>
            <w:tcW w:w="0" w:type="auto"/>
            <w:hideMark/>
          </w:tcPr>
          <w:p w14:paraId="420B23EA"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Adds narrative dimension to communication</w:t>
            </w:r>
          </w:p>
        </w:tc>
      </w:tr>
      <w:tr w:rsidR="002A77FC" w:rsidRPr="002A77FC" w14:paraId="0D01DF83" w14:textId="77777777" w:rsidTr="00DE6DAF">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461553F7"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Genç (2017)</w:t>
            </w:r>
          </w:p>
        </w:tc>
        <w:tc>
          <w:tcPr>
            <w:tcW w:w="0" w:type="auto"/>
            <w:hideMark/>
          </w:tcPr>
          <w:p w14:paraId="3B4302B2"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Strategy</w:t>
            </w:r>
          </w:p>
        </w:tc>
        <w:tc>
          <w:tcPr>
            <w:tcW w:w="0" w:type="auto"/>
            <w:hideMark/>
          </w:tcPr>
          <w:p w14:paraId="14CB49F2"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Conceptual</w:t>
            </w:r>
          </w:p>
        </w:tc>
        <w:tc>
          <w:tcPr>
            <w:tcW w:w="0" w:type="auto"/>
            <w:hideMark/>
          </w:tcPr>
          <w:p w14:paraId="55E0963D"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Communication is essential for sustainable strategy implementation</w:t>
            </w:r>
          </w:p>
        </w:tc>
        <w:tc>
          <w:tcPr>
            <w:tcW w:w="0" w:type="auto"/>
            <w:hideMark/>
          </w:tcPr>
          <w:p w14:paraId="23F08D62"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Outdated context</w:t>
            </w:r>
          </w:p>
        </w:tc>
        <w:tc>
          <w:tcPr>
            <w:tcW w:w="0" w:type="auto"/>
            <w:hideMark/>
          </w:tcPr>
          <w:p w14:paraId="5E6CBFAB"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Provides foundational understanding</w:t>
            </w:r>
          </w:p>
        </w:tc>
      </w:tr>
      <w:tr w:rsidR="002A77FC" w:rsidRPr="002A77FC" w14:paraId="575C2EF8" w14:textId="77777777" w:rsidTr="00DE6DAF">
        <w:trPr>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1BE856A5" w14:textId="77777777" w:rsidR="00AA01AD" w:rsidRPr="002A77FC" w:rsidRDefault="00AA01AD" w:rsidP="00012868">
            <w:pPr>
              <w:spacing w:line="360" w:lineRule="auto"/>
              <w:jc w:val="both"/>
              <w:rPr>
                <w:rFonts w:ascii="Arial" w:hAnsi="Arial" w:cs="Arial"/>
                <w:color w:val="auto"/>
                <w:sz w:val="20"/>
                <w:szCs w:val="20"/>
              </w:rPr>
            </w:pPr>
            <w:r w:rsidRPr="002A77FC">
              <w:rPr>
                <w:rFonts w:ascii="Arial" w:hAnsi="Arial" w:cs="Arial"/>
                <w:color w:val="auto"/>
                <w:sz w:val="20"/>
                <w:szCs w:val="20"/>
              </w:rPr>
              <w:t>Weder (2023)</w:t>
            </w:r>
          </w:p>
        </w:tc>
        <w:tc>
          <w:tcPr>
            <w:tcW w:w="0" w:type="auto"/>
            <w:hideMark/>
          </w:tcPr>
          <w:p w14:paraId="3B50B84E"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Strategic Communication</w:t>
            </w:r>
          </w:p>
        </w:tc>
        <w:tc>
          <w:tcPr>
            <w:tcW w:w="0" w:type="auto"/>
            <w:hideMark/>
          </w:tcPr>
          <w:p w14:paraId="22BB634D"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Conceptual</w:t>
            </w:r>
          </w:p>
        </w:tc>
        <w:tc>
          <w:tcPr>
            <w:tcW w:w="0" w:type="auto"/>
            <w:hideMark/>
          </w:tcPr>
          <w:p w14:paraId="09DD4815"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narratives shape corporate identity</w:t>
            </w:r>
          </w:p>
        </w:tc>
        <w:tc>
          <w:tcPr>
            <w:tcW w:w="0" w:type="auto"/>
            <w:hideMark/>
          </w:tcPr>
          <w:p w14:paraId="09230F92"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Limited empirical support</w:t>
            </w:r>
          </w:p>
        </w:tc>
        <w:tc>
          <w:tcPr>
            <w:tcW w:w="0" w:type="auto"/>
            <w:hideMark/>
          </w:tcPr>
          <w:p w14:paraId="21190186"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Supports communication as strategic tool</w:t>
            </w:r>
          </w:p>
        </w:tc>
      </w:tr>
      <w:tr w:rsidR="002A77FC" w:rsidRPr="002A77FC" w14:paraId="58FC0E9D" w14:textId="77777777" w:rsidTr="00DE6DAF">
        <w:trPr>
          <w:cnfStyle w:val="000000100000" w:firstRow="0" w:lastRow="0" w:firstColumn="0" w:lastColumn="0" w:oddVBand="0" w:evenVBand="0" w:oddHBand="1"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0682D044" w14:textId="2BFDEB0A" w:rsidR="00AA01AD" w:rsidRPr="002A77FC" w:rsidRDefault="0051222A" w:rsidP="00012868">
            <w:pPr>
              <w:spacing w:line="360" w:lineRule="auto"/>
              <w:jc w:val="both"/>
              <w:rPr>
                <w:rFonts w:ascii="Arial" w:hAnsi="Arial" w:cs="Arial"/>
                <w:color w:val="auto"/>
                <w:sz w:val="20"/>
                <w:szCs w:val="20"/>
              </w:rPr>
            </w:pPr>
            <w:r w:rsidRPr="002A77FC">
              <w:rPr>
                <w:rFonts w:ascii="Arial" w:hAnsi="Arial" w:cs="Arial"/>
                <w:color w:val="auto"/>
                <w:sz w:val="20"/>
                <w:szCs w:val="20"/>
              </w:rPr>
              <w:t>Custódio Santos et al. (2019)</w:t>
            </w:r>
          </w:p>
        </w:tc>
        <w:tc>
          <w:tcPr>
            <w:tcW w:w="0" w:type="auto"/>
            <w:hideMark/>
          </w:tcPr>
          <w:p w14:paraId="637C70F5"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Sustainability Communication</w:t>
            </w:r>
          </w:p>
        </w:tc>
        <w:tc>
          <w:tcPr>
            <w:tcW w:w="0" w:type="auto"/>
            <w:hideMark/>
          </w:tcPr>
          <w:p w14:paraId="38063FF2"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Qualitative</w:t>
            </w:r>
          </w:p>
        </w:tc>
        <w:tc>
          <w:tcPr>
            <w:tcW w:w="0" w:type="auto"/>
            <w:hideMark/>
          </w:tcPr>
          <w:p w14:paraId="62CFF1B1"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Communication influences marketing and perception in tourism</w:t>
            </w:r>
          </w:p>
        </w:tc>
        <w:tc>
          <w:tcPr>
            <w:tcW w:w="0" w:type="auto"/>
            <w:hideMark/>
          </w:tcPr>
          <w:p w14:paraId="5E77F7C7"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Sector-specific</w:t>
            </w:r>
          </w:p>
        </w:tc>
        <w:tc>
          <w:tcPr>
            <w:tcW w:w="0" w:type="auto"/>
            <w:hideMark/>
          </w:tcPr>
          <w:p w14:paraId="3B697D63" w14:textId="77777777" w:rsidR="00AA01AD" w:rsidRPr="002A77FC" w:rsidRDefault="00AA01AD" w:rsidP="0001286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Shows contextual influence on communication</w:t>
            </w:r>
          </w:p>
        </w:tc>
      </w:tr>
      <w:tr w:rsidR="002A77FC" w:rsidRPr="002A77FC" w14:paraId="76F1EAC2" w14:textId="77777777" w:rsidTr="00DE6DAF">
        <w:trPr>
          <w:trHeight w:val="72"/>
        </w:trPr>
        <w:tc>
          <w:tcPr>
            <w:cnfStyle w:val="001000000000" w:firstRow="0" w:lastRow="0" w:firstColumn="1" w:lastColumn="0" w:oddVBand="0" w:evenVBand="0" w:oddHBand="0" w:evenHBand="0" w:firstRowFirstColumn="0" w:firstRowLastColumn="0" w:lastRowFirstColumn="0" w:lastRowLastColumn="0"/>
            <w:tcW w:w="0" w:type="auto"/>
            <w:hideMark/>
          </w:tcPr>
          <w:p w14:paraId="58C97A18" w14:textId="685FDF55" w:rsidR="00AA01AD" w:rsidRPr="002A77FC" w:rsidRDefault="0051222A" w:rsidP="00012868">
            <w:pPr>
              <w:spacing w:line="360" w:lineRule="auto"/>
              <w:jc w:val="both"/>
              <w:rPr>
                <w:rFonts w:ascii="Arial" w:hAnsi="Arial" w:cs="Arial"/>
                <w:color w:val="auto"/>
                <w:sz w:val="20"/>
                <w:szCs w:val="20"/>
              </w:rPr>
            </w:pPr>
            <w:r w:rsidRPr="002A77FC">
              <w:rPr>
                <w:rFonts w:ascii="Arial" w:hAnsi="Arial" w:cs="Arial"/>
                <w:color w:val="auto"/>
                <w:sz w:val="20"/>
                <w:szCs w:val="20"/>
              </w:rPr>
              <w:t>Aggerholm and Thomsen (2024)</w:t>
            </w:r>
          </w:p>
        </w:tc>
        <w:tc>
          <w:tcPr>
            <w:tcW w:w="0" w:type="auto"/>
            <w:hideMark/>
          </w:tcPr>
          <w:p w14:paraId="445DDB7C"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Legitimacy / Communication</w:t>
            </w:r>
          </w:p>
        </w:tc>
        <w:tc>
          <w:tcPr>
            <w:tcW w:w="0" w:type="auto"/>
            <w:hideMark/>
          </w:tcPr>
          <w:p w14:paraId="5FBA0C0C"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Conceptual</w:t>
            </w:r>
          </w:p>
        </w:tc>
        <w:tc>
          <w:tcPr>
            <w:tcW w:w="0" w:type="auto"/>
            <w:hideMark/>
          </w:tcPr>
          <w:p w14:paraId="7F6D06B1"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Balancing transparency and purpose is critical</w:t>
            </w:r>
          </w:p>
        </w:tc>
        <w:tc>
          <w:tcPr>
            <w:tcW w:w="0" w:type="auto"/>
            <w:hideMark/>
          </w:tcPr>
          <w:p w14:paraId="14A6A871"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Lacks empirical validation</w:t>
            </w:r>
          </w:p>
        </w:tc>
        <w:tc>
          <w:tcPr>
            <w:tcW w:w="0" w:type="auto"/>
            <w:hideMark/>
          </w:tcPr>
          <w:p w14:paraId="5898BF5B" w14:textId="77777777" w:rsidR="00AA01AD" w:rsidRPr="002A77FC" w:rsidRDefault="00AA01AD" w:rsidP="0001286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rPr>
            </w:pPr>
            <w:r w:rsidRPr="002A77FC">
              <w:rPr>
                <w:rFonts w:ascii="Arial" w:hAnsi="Arial" w:cs="Arial"/>
                <w:color w:val="auto"/>
                <w:sz w:val="20"/>
                <w:szCs w:val="20"/>
              </w:rPr>
              <w:t>Highlights tension in communication strategies</w:t>
            </w:r>
          </w:p>
        </w:tc>
      </w:tr>
    </w:tbl>
    <w:p w14:paraId="367058B6" w14:textId="77777777" w:rsidR="00AA01AD" w:rsidRPr="002A77FC" w:rsidRDefault="00AA01AD" w:rsidP="00012868">
      <w:pPr>
        <w:spacing w:line="360" w:lineRule="auto"/>
        <w:jc w:val="both"/>
        <w:rPr>
          <w:rFonts w:ascii="Arial" w:hAnsi="Arial" w:cs="Arial"/>
        </w:rPr>
        <w:sectPr w:rsidR="00AA01AD" w:rsidRPr="002A77FC" w:rsidSect="00331863">
          <w:pgSz w:w="16838" w:h="11906" w:orient="landscape"/>
          <w:pgMar w:top="1440" w:right="1440" w:bottom="1440" w:left="1440" w:header="708" w:footer="708" w:gutter="0"/>
          <w:cols w:space="708"/>
          <w:docGrid w:linePitch="360"/>
        </w:sectPr>
      </w:pPr>
    </w:p>
    <w:p w14:paraId="39C8197A" w14:textId="77777777" w:rsidR="00AA01AD" w:rsidRPr="002A77FC" w:rsidRDefault="00AA01AD" w:rsidP="00012868">
      <w:pPr>
        <w:pStyle w:val="Heading2"/>
        <w:rPr>
          <w:rFonts w:ascii="Arial" w:hAnsi="Arial" w:cs="Arial"/>
          <w:color w:val="auto"/>
        </w:rPr>
      </w:pPr>
      <w:bookmarkStart w:id="30" w:name="_Toc230268827"/>
      <w:r w:rsidRPr="002A77FC">
        <w:rPr>
          <w:rFonts w:ascii="Arial" w:hAnsi="Arial" w:cs="Arial"/>
          <w:color w:val="auto"/>
        </w:rPr>
        <w:lastRenderedPageBreak/>
        <w:t>2.6 Conclusion</w:t>
      </w:r>
      <w:bookmarkEnd w:id="30"/>
    </w:p>
    <w:p w14:paraId="4C8620AE" w14:textId="650827F7" w:rsidR="00AA01AD" w:rsidRPr="002A77FC" w:rsidRDefault="00AA01AD" w:rsidP="00012868">
      <w:pPr>
        <w:spacing w:line="360" w:lineRule="auto"/>
        <w:jc w:val="both"/>
        <w:rPr>
          <w:rFonts w:ascii="Arial" w:hAnsi="Arial" w:cs="Arial"/>
        </w:rPr>
      </w:pPr>
      <w:r w:rsidRPr="002A77FC">
        <w:rPr>
          <w:rFonts w:ascii="Arial" w:hAnsi="Arial" w:cs="Arial"/>
        </w:rPr>
        <w:t>The chapter critically analysed sustainability communication, perception of badness by consumers, trust and brand reputation, as well as touched upon greenwashing and contextual dynamics. It exposed that the theories which are in place are predisposed to think that there are linear relationships, which may not be so evident in the real world</w:t>
      </w:r>
      <w:r w:rsidR="003942EE" w:rsidRPr="002A77FC">
        <w:rPr>
          <w:rFonts w:ascii="Arial" w:hAnsi="Arial" w:cs="Arial"/>
        </w:rPr>
        <w:t xml:space="preserve"> (Allen, 2016)</w:t>
      </w:r>
      <w:r w:rsidRPr="002A77FC">
        <w:rPr>
          <w:rFonts w:ascii="Arial" w:hAnsi="Arial" w:cs="Arial"/>
        </w:rPr>
        <w:t>. The review has identified several gaps in its coverage, including a lack of integration between concepts, excessive narrowness in coverage of scepticism, and a lack of coverage of the UK-specific context. These disadvantages are manifested through such firms as Unilever, where good communication fails to result in improved performance. Thus, a comprehensive framework is warranted to describe conditional associations and mechanisms. To assist in the identification of these complexities, Chapter 3 will put this framework to the test by basing it on qualitative case study research.</w:t>
      </w:r>
    </w:p>
    <w:p w14:paraId="50A0985D" w14:textId="77777777" w:rsidR="00AA01AD" w:rsidRPr="002A77FC" w:rsidRDefault="00AA01AD" w:rsidP="00012868">
      <w:pPr>
        <w:spacing w:line="360" w:lineRule="auto"/>
        <w:jc w:val="both"/>
        <w:rPr>
          <w:rFonts w:ascii="Arial" w:hAnsi="Arial" w:cs="Arial"/>
        </w:rPr>
      </w:pPr>
    </w:p>
    <w:p w14:paraId="66724F4C" w14:textId="77777777" w:rsidR="00AA01AD" w:rsidRPr="002A77FC" w:rsidRDefault="00AA01AD" w:rsidP="00012868">
      <w:pPr>
        <w:spacing w:after="160" w:line="360" w:lineRule="auto"/>
        <w:jc w:val="both"/>
        <w:rPr>
          <w:rFonts w:ascii="Arial" w:hAnsi="Arial" w:cs="Arial"/>
        </w:rPr>
      </w:pPr>
      <w:r w:rsidRPr="002A77FC">
        <w:rPr>
          <w:rFonts w:ascii="Arial" w:hAnsi="Arial" w:cs="Arial"/>
        </w:rPr>
        <w:br w:type="page"/>
      </w:r>
    </w:p>
    <w:p w14:paraId="3C0209DE" w14:textId="419693EF" w:rsidR="00AA01AD" w:rsidRPr="002A77FC" w:rsidRDefault="00AA01AD" w:rsidP="00A808C0">
      <w:pPr>
        <w:pStyle w:val="Heading1"/>
        <w:rPr>
          <w:sz w:val="24"/>
        </w:rPr>
      </w:pPr>
      <w:bookmarkStart w:id="31" w:name="_Toc230268828"/>
      <w:r w:rsidRPr="002A77FC">
        <w:lastRenderedPageBreak/>
        <w:t>Chapter 3: Methodology</w:t>
      </w:r>
      <w:bookmarkEnd w:id="31"/>
    </w:p>
    <w:p w14:paraId="35415A92" w14:textId="77777777" w:rsidR="00AA01AD" w:rsidRPr="002A77FC" w:rsidRDefault="00AA01AD" w:rsidP="00012868">
      <w:pPr>
        <w:pStyle w:val="Heading2"/>
        <w:rPr>
          <w:rFonts w:ascii="Arial" w:hAnsi="Arial" w:cs="Arial"/>
          <w:color w:val="auto"/>
        </w:rPr>
      </w:pPr>
      <w:bookmarkStart w:id="32" w:name="_Toc230268829"/>
      <w:r w:rsidRPr="002A77FC">
        <w:rPr>
          <w:rFonts w:ascii="Arial" w:hAnsi="Arial" w:cs="Arial"/>
          <w:color w:val="auto"/>
        </w:rPr>
        <w:t>3.1 Introduction</w:t>
      </w:r>
      <w:bookmarkEnd w:id="32"/>
    </w:p>
    <w:p w14:paraId="273C7379" w14:textId="548A30EE" w:rsidR="00AA01AD" w:rsidRPr="002A77FC" w:rsidRDefault="00AA01AD" w:rsidP="00012868">
      <w:pPr>
        <w:spacing w:line="360" w:lineRule="auto"/>
        <w:jc w:val="both"/>
        <w:rPr>
          <w:rFonts w:ascii="Arial" w:hAnsi="Arial" w:cs="Arial"/>
        </w:rPr>
      </w:pPr>
      <w:r w:rsidRPr="002A77FC">
        <w:rPr>
          <w:rFonts w:ascii="Arial" w:hAnsi="Arial" w:cs="Arial"/>
        </w:rPr>
        <w:t>The research methodology is described and rationalised in this chapter, which ensures transparency, rigour and replicability. It discusses the impact of sustainability communication on perception, confidence and reputation, and discusses how and when such associations occur. The approach of a qualitative, secondary-data case study is taken, and the abductive logic, which connects the theory and data, underpins this approach. However, there are deficiencies in this practice</w:t>
      </w:r>
      <w:r w:rsidR="003942EE" w:rsidRPr="002A77FC">
        <w:rPr>
          <w:rFonts w:ascii="Arial" w:hAnsi="Arial" w:cs="Arial"/>
        </w:rPr>
        <w:t xml:space="preserve"> (Li et al., 2021)</w:t>
      </w:r>
      <w:r w:rsidRPr="002A77FC">
        <w:rPr>
          <w:rFonts w:ascii="Arial" w:hAnsi="Arial" w:cs="Arial"/>
        </w:rPr>
        <w:t>. Secondary data could be biased in terms of selective narrations, and interpretation can be biased. It is these issues that can be applied in the analysis of Unilever in a complex UK setting. In the chapter, a description of the philosophy of research and research design, including the cases to include, data collection, data analysis, quality and ethical issues, is mentioned.</w:t>
      </w:r>
    </w:p>
    <w:p w14:paraId="49BB8CE9" w14:textId="77777777" w:rsidR="00AA01AD" w:rsidRPr="002A77FC" w:rsidRDefault="00AA01AD" w:rsidP="00012868">
      <w:pPr>
        <w:pStyle w:val="Heading2"/>
        <w:rPr>
          <w:rFonts w:ascii="Arial" w:hAnsi="Arial" w:cs="Arial"/>
          <w:color w:val="auto"/>
        </w:rPr>
      </w:pPr>
      <w:bookmarkStart w:id="33" w:name="_Toc230268830"/>
      <w:r w:rsidRPr="002A77FC">
        <w:rPr>
          <w:rFonts w:ascii="Arial" w:hAnsi="Arial" w:cs="Arial"/>
          <w:color w:val="auto"/>
        </w:rPr>
        <w:t>3.2 Research Philosophy, Approach, and Design</w:t>
      </w:r>
      <w:bookmarkEnd w:id="33"/>
    </w:p>
    <w:p w14:paraId="507CEADA" w14:textId="77777777" w:rsidR="001864C6" w:rsidRPr="002A77FC" w:rsidRDefault="001864C6" w:rsidP="00012868">
      <w:pPr>
        <w:keepNext/>
        <w:spacing w:line="360" w:lineRule="auto"/>
        <w:jc w:val="center"/>
        <w:rPr>
          <w:rFonts w:ascii="Arial" w:hAnsi="Arial" w:cs="Arial"/>
        </w:rPr>
      </w:pPr>
      <w:r w:rsidRPr="002A77FC">
        <w:rPr>
          <w:rFonts w:ascii="Arial" w:hAnsi="Arial" w:cs="Arial"/>
        </w:rPr>
        <w:fldChar w:fldCharType="begin"/>
      </w:r>
      <w:r w:rsidRPr="002A77FC">
        <w:rPr>
          <w:rFonts w:ascii="Arial" w:hAnsi="Arial" w:cs="Arial"/>
        </w:rPr>
        <w:instrText xml:space="preserve"> INCLUDEPICTURE "/Users/ijtehad/Library/Group Containers/UBF8T346G9.ms/WebArchiveCopyPasteTempFiles/com.microsoft.Word/Research-Onion.jpg" \* MERGEFORMATINET </w:instrText>
      </w:r>
      <w:r w:rsidRPr="002A77FC">
        <w:rPr>
          <w:rFonts w:ascii="Arial" w:hAnsi="Arial" w:cs="Arial"/>
        </w:rPr>
        <w:fldChar w:fldCharType="separate"/>
      </w:r>
      <w:r w:rsidRPr="002A77FC">
        <w:rPr>
          <w:rFonts w:ascii="Arial" w:hAnsi="Arial" w:cs="Arial"/>
          <w:noProof/>
        </w:rPr>
        <w:drawing>
          <wp:inline distT="0" distB="0" distL="0" distR="0" wp14:anchorId="4766F607" wp14:editId="63476239">
            <wp:extent cx="3615267" cy="2584279"/>
            <wp:effectExtent l="0" t="0" r="4445" b="0"/>
            <wp:docPr id="1964271214"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1722" cy="2603189"/>
                    </a:xfrm>
                    <a:prstGeom prst="rect">
                      <a:avLst/>
                    </a:prstGeom>
                    <a:noFill/>
                    <a:ln>
                      <a:noFill/>
                    </a:ln>
                  </pic:spPr>
                </pic:pic>
              </a:graphicData>
            </a:graphic>
          </wp:inline>
        </w:drawing>
      </w:r>
      <w:r w:rsidRPr="002A77FC">
        <w:rPr>
          <w:rFonts w:ascii="Arial" w:hAnsi="Arial" w:cs="Arial"/>
        </w:rPr>
        <w:fldChar w:fldCharType="end"/>
      </w:r>
    </w:p>
    <w:p w14:paraId="3DF392C7" w14:textId="2EB41789" w:rsidR="001864C6" w:rsidRPr="002A77FC" w:rsidRDefault="001864C6" w:rsidP="00012868">
      <w:pPr>
        <w:pStyle w:val="Caption"/>
        <w:spacing w:line="360" w:lineRule="auto"/>
        <w:rPr>
          <w:rFonts w:ascii="Arial" w:hAnsi="Arial" w:cs="Arial"/>
          <w:lang w:val="en-US"/>
        </w:rPr>
      </w:pPr>
      <w:r w:rsidRPr="002A77FC">
        <w:rPr>
          <w:rFonts w:ascii="Arial" w:hAnsi="Arial" w:cs="Arial"/>
        </w:rPr>
        <w:t xml:space="preserve">Figure </w:t>
      </w:r>
      <w:r w:rsidRPr="002A77FC">
        <w:rPr>
          <w:rFonts w:ascii="Arial" w:hAnsi="Arial" w:cs="Arial"/>
        </w:rPr>
        <w:fldChar w:fldCharType="begin"/>
      </w:r>
      <w:r w:rsidRPr="002A77FC">
        <w:rPr>
          <w:rFonts w:ascii="Arial" w:hAnsi="Arial" w:cs="Arial"/>
        </w:rPr>
        <w:instrText xml:space="preserve"> SEQ Figure \* ARABIC </w:instrText>
      </w:r>
      <w:r w:rsidRPr="002A77FC">
        <w:rPr>
          <w:rFonts w:ascii="Arial" w:hAnsi="Arial" w:cs="Arial"/>
        </w:rPr>
        <w:fldChar w:fldCharType="separate"/>
      </w:r>
      <w:r w:rsidRPr="002A77FC">
        <w:rPr>
          <w:rFonts w:ascii="Arial" w:hAnsi="Arial" w:cs="Arial"/>
        </w:rPr>
        <w:t>3</w:t>
      </w:r>
      <w:r w:rsidRPr="002A77FC">
        <w:rPr>
          <w:rFonts w:ascii="Arial" w:hAnsi="Arial" w:cs="Arial"/>
        </w:rPr>
        <w:fldChar w:fldCharType="end"/>
      </w:r>
      <w:r w:rsidRPr="002A77FC">
        <w:rPr>
          <w:rFonts w:ascii="Arial" w:hAnsi="Arial" w:cs="Arial"/>
          <w:lang w:val="en-US"/>
        </w:rPr>
        <w:t>: Research Onion Model</w:t>
      </w:r>
    </w:p>
    <w:p w14:paraId="64FCC2FA" w14:textId="345F0FF2" w:rsidR="001864C6" w:rsidRPr="002A77FC" w:rsidRDefault="001864C6" w:rsidP="00012868">
      <w:pPr>
        <w:pStyle w:val="Caption"/>
        <w:spacing w:line="360" w:lineRule="auto"/>
        <w:rPr>
          <w:rFonts w:ascii="Arial" w:hAnsi="Arial" w:cs="Arial"/>
        </w:rPr>
      </w:pPr>
      <w:r w:rsidRPr="002A77FC">
        <w:rPr>
          <w:rFonts w:ascii="Arial" w:hAnsi="Arial" w:cs="Arial"/>
        </w:rPr>
        <w:t>Source:(Saunders, Lewis and Thornhill, 2023)</w:t>
      </w:r>
    </w:p>
    <w:p w14:paraId="3B19B5D7" w14:textId="439923BC" w:rsidR="00AA01AD" w:rsidRPr="002A77FC" w:rsidRDefault="00AA01AD" w:rsidP="00012868">
      <w:pPr>
        <w:pStyle w:val="Heading3"/>
        <w:rPr>
          <w:rFonts w:ascii="Arial" w:hAnsi="Arial" w:cs="Arial"/>
          <w:color w:val="auto"/>
        </w:rPr>
      </w:pPr>
      <w:bookmarkStart w:id="34" w:name="_Toc230268831"/>
      <w:r w:rsidRPr="002A77FC">
        <w:rPr>
          <w:rFonts w:ascii="Arial" w:hAnsi="Arial" w:cs="Arial"/>
          <w:color w:val="auto"/>
        </w:rPr>
        <w:lastRenderedPageBreak/>
        <w:t>3.2.1 Research Philosophy</w:t>
      </w:r>
      <w:bookmarkEnd w:id="34"/>
    </w:p>
    <w:p w14:paraId="6461C1DC" w14:textId="3B23F787" w:rsidR="00AA01AD" w:rsidRPr="002A77FC" w:rsidRDefault="00AA01AD" w:rsidP="00012868">
      <w:pPr>
        <w:spacing w:line="360" w:lineRule="auto"/>
        <w:jc w:val="both"/>
        <w:rPr>
          <w:rFonts w:ascii="Arial" w:hAnsi="Arial" w:cs="Arial"/>
        </w:rPr>
      </w:pPr>
      <w:r w:rsidRPr="002A77FC">
        <w:rPr>
          <w:rFonts w:ascii="Arial" w:hAnsi="Arial" w:cs="Arial"/>
        </w:rPr>
        <w:t>This paper has an interpretivist philosophy. It makes the assumption that reality is socially constructed and that it lies in the context. The perception and trust of the consumers is, therefore, not absolute but relative</w:t>
      </w:r>
      <w:r w:rsidR="003942EE" w:rsidRPr="002A77FC">
        <w:rPr>
          <w:rFonts w:ascii="Arial" w:hAnsi="Arial" w:cs="Arial"/>
        </w:rPr>
        <w:t xml:space="preserve"> (Saunders, Lewis and Thornhill, 2023)</w:t>
      </w:r>
      <w:r w:rsidRPr="002A77FC">
        <w:rPr>
          <w:rFonts w:ascii="Arial" w:hAnsi="Arial" w:cs="Arial"/>
        </w:rPr>
        <w:t>. This is the right way of analysing the way in which sustainability communication is perceived. It enables more insight into comprehension of meanings instead of quantifying objective outputs. Nonetheless, not all is well with interpretivism. It brings prejudice by the researchers and decreases objectivity</w:t>
      </w:r>
      <w:r w:rsidR="003942EE" w:rsidRPr="002A77FC">
        <w:rPr>
          <w:rFonts w:ascii="Arial" w:hAnsi="Arial" w:cs="Arial"/>
        </w:rPr>
        <w:t xml:space="preserve"> (Kargbo et al., 2025)</w:t>
      </w:r>
      <w:r w:rsidRPr="002A77FC">
        <w:rPr>
          <w:rFonts w:ascii="Arial" w:hAnsi="Arial" w:cs="Arial"/>
        </w:rPr>
        <w:t>. Results can be guided by interpretation as opposed to facts that are evident. This gives challenges in consistency. Expectant in Unilever, the perceptions of the stakeholders are diverse and therefore, interpretation is complicated. In this way, interpretivism would be rich, though it would need serious justification, and the line of thinking would need to be evident.</w:t>
      </w:r>
    </w:p>
    <w:p w14:paraId="1556FD13" w14:textId="77777777" w:rsidR="00AA01AD" w:rsidRPr="002A77FC" w:rsidRDefault="00AA01AD" w:rsidP="00012868">
      <w:pPr>
        <w:pStyle w:val="Heading3"/>
        <w:rPr>
          <w:rFonts w:ascii="Arial" w:hAnsi="Arial" w:cs="Arial"/>
          <w:color w:val="auto"/>
        </w:rPr>
      </w:pPr>
      <w:bookmarkStart w:id="35" w:name="_Toc230268832"/>
      <w:r w:rsidRPr="002A77FC">
        <w:rPr>
          <w:rFonts w:ascii="Arial" w:hAnsi="Arial" w:cs="Arial"/>
          <w:color w:val="auto"/>
        </w:rPr>
        <w:t>3.2.2 Research Approach</w:t>
      </w:r>
      <w:bookmarkEnd w:id="35"/>
    </w:p>
    <w:p w14:paraId="453787CF" w14:textId="1C1057B0" w:rsidR="00AA01AD" w:rsidRPr="002A77FC" w:rsidRDefault="00AA01AD" w:rsidP="00012868">
      <w:pPr>
        <w:spacing w:line="360" w:lineRule="auto"/>
        <w:jc w:val="both"/>
        <w:rPr>
          <w:rFonts w:ascii="Arial" w:hAnsi="Arial" w:cs="Arial"/>
        </w:rPr>
      </w:pPr>
      <w:r w:rsidRPr="002A77FC">
        <w:rPr>
          <w:rFonts w:ascii="Arial" w:hAnsi="Arial" w:cs="Arial"/>
        </w:rPr>
        <w:t>An abductive approach is adopted in this study. It has a deductive and inductive aspect. This paper begins with Chapter 2, which is a research conceptual framework. This model is then streamlined by examining the evidence on cases. With this approach, it is possible to move theory and data. It is fitting that multifaceted and situation-specific phenomena, such as sustainability communication, are addressed. It enables one to learn the trends that cannot be described in terms of the existing theories exhaustively</w:t>
      </w:r>
      <w:r w:rsidR="003942EE" w:rsidRPr="002A77FC">
        <w:rPr>
          <w:rFonts w:ascii="Arial" w:hAnsi="Arial" w:cs="Arial"/>
        </w:rPr>
        <w:t xml:space="preserve"> (Saunders, Lewis and Thornhill, 2023)</w:t>
      </w:r>
      <w:r w:rsidRPr="002A77FC">
        <w:rPr>
          <w:rFonts w:ascii="Arial" w:hAnsi="Arial" w:cs="Arial"/>
        </w:rPr>
        <w:t>. Nonetheless, there are bases to abductive reasoning, as well. Otherwise, it might instil inconsistency in its interpretation. The risk of selectivity of fitting data to theory is missing in the assessment of the data. It is an approach that would be applicable in providing conditional relationships between communication, perception and reputation to Unilever; however, it requires analytical control.</w:t>
      </w:r>
    </w:p>
    <w:p w14:paraId="10111424" w14:textId="77777777" w:rsidR="00AA01AD" w:rsidRPr="002A77FC" w:rsidRDefault="00AA01AD" w:rsidP="00012868">
      <w:pPr>
        <w:pStyle w:val="Heading3"/>
        <w:rPr>
          <w:rFonts w:ascii="Arial" w:hAnsi="Arial" w:cs="Arial"/>
          <w:color w:val="auto"/>
        </w:rPr>
      </w:pPr>
      <w:bookmarkStart w:id="36" w:name="_Toc230268833"/>
      <w:r w:rsidRPr="002A77FC">
        <w:rPr>
          <w:rFonts w:ascii="Arial" w:hAnsi="Arial" w:cs="Arial"/>
          <w:color w:val="auto"/>
        </w:rPr>
        <w:t>3.2.3 Research Strategy</w:t>
      </w:r>
      <w:bookmarkEnd w:id="36"/>
    </w:p>
    <w:p w14:paraId="7A3E6072" w14:textId="0A519B85" w:rsidR="00AA01AD" w:rsidRPr="002A77FC" w:rsidRDefault="00AA01AD" w:rsidP="00012868">
      <w:pPr>
        <w:spacing w:line="360" w:lineRule="auto"/>
        <w:jc w:val="both"/>
        <w:rPr>
          <w:rFonts w:ascii="Arial" w:hAnsi="Arial" w:cs="Arial"/>
        </w:rPr>
      </w:pPr>
      <w:r w:rsidRPr="002A77FC">
        <w:rPr>
          <w:rFonts w:ascii="Arial" w:hAnsi="Arial" w:cs="Arial"/>
        </w:rPr>
        <w:t xml:space="preserve">The present paper is based on the </w:t>
      </w:r>
      <w:r w:rsidR="00057CF8" w:rsidRPr="002A77FC">
        <w:rPr>
          <w:rFonts w:ascii="Arial" w:hAnsi="Arial" w:cs="Arial"/>
        </w:rPr>
        <w:t>multi-case study</w:t>
      </w:r>
      <w:r w:rsidRPr="002A77FC">
        <w:rPr>
          <w:rFonts w:ascii="Arial" w:hAnsi="Arial" w:cs="Arial"/>
        </w:rPr>
        <w:t xml:space="preserve"> approach. It entails studying a phenomenon in depth, but in its real-life scenario. This is an appropriate strategy in answering the questions of how and why</w:t>
      </w:r>
      <w:r w:rsidR="003942EE" w:rsidRPr="002A77FC">
        <w:rPr>
          <w:rFonts w:ascii="Arial" w:hAnsi="Arial" w:cs="Arial"/>
        </w:rPr>
        <w:t xml:space="preserve"> (Saunders, Lewis and Thornhill, 2023)</w:t>
      </w:r>
      <w:r w:rsidRPr="002A77FC">
        <w:rPr>
          <w:rFonts w:ascii="Arial" w:hAnsi="Arial" w:cs="Arial"/>
        </w:rPr>
        <w:t xml:space="preserve">. It enables one to go deep into processes and mechanisms affecting sustainability </w:t>
      </w:r>
      <w:r w:rsidRPr="002A77FC">
        <w:rPr>
          <w:rFonts w:ascii="Arial" w:hAnsi="Arial" w:cs="Arial"/>
        </w:rPr>
        <w:lastRenderedPageBreak/>
        <w:t>communication outcomes. Nevertheless, there are limitations to case studies. They offer a bit of generalisability and may be prey to subjective meaning</w:t>
      </w:r>
      <w:r w:rsidR="003942EE" w:rsidRPr="002A77FC">
        <w:rPr>
          <w:rFonts w:ascii="Arial" w:hAnsi="Arial" w:cs="Arial"/>
        </w:rPr>
        <w:t xml:space="preserve"> (Aggerholm and Thomsen, 2024)</w:t>
      </w:r>
      <w:r w:rsidRPr="002A77FC">
        <w:rPr>
          <w:rFonts w:ascii="Arial" w:hAnsi="Arial" w:cs="Arial"/>
        </w:rPr>
        <w:t>. The findings cannot be generalised to settings. The case study has rich insights into Unilever, but in a context. These methodological alternatives are arranged as a model called the Research Onion.</w:t>
      </w:r>
    </w:p>
    <w:p w14:paraId="155F90AF" w14:textId="77777777" w:rsidR="00AA01AD" w:rsidRPr="002A77FC" w:rsidRDefault="00AA01AD" w:rsidP="00012868">
      <w:pPr>
        <w:pStyle w:val="Heading2"/>
        <w:rPr>
          <w:rFonts w:ascii="Arial" w:hAnsi="Arial" w:cs="Arial"/>
          <w:color w:val="auto"/>
        </w:rPr>
      </w:pPr>
      <w:bookmarkStart w:id="37" w:name="_Toc230268834"/>
      <w:r w:rsidRPr="002A77FC">
        <w:rPr>
          <w:rFonts w:ascii="Arial" w:hAnsi="Arial" w:cs="Arial"/>
          <w:color w:val="auto"/>
        </w:rPr>
        <w:t>3.3 Justification for Case Study Methodology</w:t>
      </w:r>
      <w:bookmarkEnd w:id="37"/>
    </w:p>
    <w:p w14:paraId="0E3E44EC" w14:textId="28C89B9B" w:rsidR="00AA01AD" w:rsidRPr="002A77FC" w:rsidRDefault="00AA01AD" w:rsidP="00012868">
      <w:pPr>
        <w:spacing w:line="360" w:lineRule="auto"/>
        <w:jc w:val="both"/>
        <w:rPr>
          <w:rFonts w:ascii="Arial" w:hAnsi="Arial" w:cs="Arial"/>
        </w:rPr>
      </w:pPr>
      <w:r w:rsidRPr="002A77FC">
        <w:rPr>
          <w:rFonts w:ascii="Arial" w:hAnsi="Arial" w:cs="Arial"/>
        </w:rPr>
        <w:t xml:space="preserve">The </w:t>
      </w:r>
      <w:r w:rsidR="00057CF8" w:rsidRPr="002A77FC">
        <w:rPr>
          <w:rFonts w:ascii="Arial" w:hAnsi="Arial" w:cs="Arial"/>
        </w:rPr>
        <w:t>multi-case study</w:t>
      </w:r>
      <w:r w:rsidRPr="002A77FC">
        <w:rPr>
          <w:rFonts w:ascii="Arial" w:hAnsi="Arial" w:cs="Arial"/>
        </w:rPr>
        <w:t xml:space="preserve"> method aligns with the research interests about the functionality of sustainability communication and in which situations such communication can be implemented to communicate the idea of fostering perception, trust and reputation. </w:t>
      </w:r>
      <w:r w:rsidR="00057CF8" w:rsidRPr="002A77FC">
        <w:rPr>
          <w:rFonts w:ascii="Arial" w:hAnsi="Arial" w:cs="Arial"/>
        </w:rPr>
        <w:t xml:space="preserve">Multiple cases are selected to enable cross-case comparison and identification of patterns. However, purposive selection introduces the risk of selection bias, as cases are chosen based on the researcher’s judgment. </w:t>
      </w:r>
      <w:r w:rsidRPr="002A77FC">
        <w:rPr>
          <w:rFonts w:ascii="Arial" w:hAnsi="Arial" w:cs="Arial"/>
        </w:rPr>
        <w:t>The questions involve processes to be explored as opposed to making variable measurements. Case studies make the study of the situation detailed in the context of a real</w:t>
      </w:r>
      <w:r w:rsidR="00331863" w:rsidRPr="002A77FC">
        <w:rPr>
          <w:rFonts w:ascii="Arial" w:hAnsi="Arial" w:cs="Arial"/>
        </w:rPr>
        <w:t>-</w:t>
      </w:r>
      <w:r w:rsidRPr="002A77FC">
        <w:rPr>
          <w:rFonts w:ascii="Arial" w:hAnsi="Arial" w:cs="Arial"/>
        </w:rPr>
        <w:t xml:space="preserve">life scenario possible. Nevertheless, this method presumes that the insights that can be gained under one particular context can be meaningful and would not </w:t>
      </w:r>
      <w:r w:rsidR="00331863" w:rsidRPr="002A77FC">
        <w:rPr>
          <w:rFonts w:ascii="Arial" w:hAnsi="Arial" w:cs="Arial"/>
        </w:rPr>
        <w:t>apply</w:t>
      </w:r>
      <w:r w:rsidRPr="002A77FC">
        <w:rPr>
          <w:rFonts w:ascii="Arial" w:hAnsi="Arial" w:cs="Arial"/>
        </w:rPr>
        <w:t xml:space="preserve"> to various contexts. Case studies provide this data but ha</w:t>
      </w:r>
      <w:r w:rsidR="00331863" w:rsidRPr="002A77FC">
        <w:rPr>
          <w:rFonts w:ascii="Arial" w:hAnsi="Arial" w:cs="Arial"/>
        </w:rPr>
        <w:t>ve</w:t>
      </w:r>
      <w:r w:rsidRPr="002A77FC">
        <w:rPr>
          <w:rFonts w:ascii="Arial" w:hAnsi="Arial" w:cs="Arial"/>
        </w:rPr>
        <w:t xml:space="preserve"> a context</w:t>
      </w:r>
      <w:r w:rsidR="00331863" w:rsidRPr="002A77FC">
        <w:rPr>
          <w:rFonts w:ascii="Arial" w:hAnsi="Arial" w:cs="Arial"/>
        </w:rPr>
        <w:t>ual</w:t>
      </w:r>
      <w:r w:rsidRPr="002A77FC">
        <w:rPr>
          <w:rFonts w:ascii="Arial" w:hAnsi="Arial" w:cs="Arial"/>
        </w:rPr>
        <w:t xml:space="preserve"> background and allow a study of how data works. They can be used to refine theory</w:t>
      </w:r>
      <w:r w:rsidR="00331863" w:rsidRPr="002A77FC">
        <w:rPr>
          <w:rFonts w:ascii="Arial" w:hAnsi="Arial" w:cs="Arial"/>
        </w:rPr>
        <w:t>,</w:t>
      </w:r>
      <w:r w:rsidRPr="002A77FC">
        <w:rPr>
          <w:rFonts w:ascii="Arial" w:hAnsi="Arial" w:cs="Arial"/>
        </w:rPr>
        <w:t xml:space="preserve"> where the current models are not complete. This will help in the Unilever case to uncover the interaction between communication and perception by the stakeholders. But this depth imposes a limitation </w:t>
      </w:r>
      <w:r w:rsidR="00331863" w:rsidRPr="002A77FC">
        <w:rPr>
          <w:rFonts w:ascii="Arial" w:hAnsi="Arial" w:cs="Arial"/>
        </w:rPr>
        <w:t>on</w:t>
      </w:r>
      <w:r w:rsidRPr="002A77FC">
        <w:rPr>
          <w:rFonts w:ascii="Arial" w:hAnsi="Arial" w:cs="Arial"/>
        </w:rPr>
        <w:t xml:space="preserve"> the expansion of generalisation. Secondary data gives access to </w:t>
      </w:r>
      <w:r w:rsidR="005B3228" w:rsidRPr="002A77FC">
        <w:rPr>
          <w:rFonts w:ascii="Arial" w:hAnsi="Arial" w:cs="Arial"/>
          <w:lang w:val="en-US"/>
        </w:rPr>
        <w:t xml:space="preserve">the </w:t>
      </w:r>
      <w:r w:rsidRPr="002A77FC">
        <w:rPr>
          <w:rFonts w:ascii="Arial" w:hAnsi="Arial" w:cs="Arial"/>
        </w:rPr>
        <w:t xml:space="preserve">reality of corporate practices and enables research of profiles </w:t>
      </w:r>
      <w:r w:rsidR="00331863" w:rsidRPr="002A77FC">
        <w:rPr>
          <w:rFonts w:ascii="Arial" w:hAnsi="Arial" w:cs="Arial"/>
        </w:rPr>
        <w:t xml:space="preserve">of </w:t>
      </w:r>
      <w:r w:rsidRPr="002A77FC">
        <w:rPr>
          <w:rFonts w:ascii="Arial" w:hAnsi="Arial" w:cs="Arial"/>
        </w:rPr>
        <w:t xml:space="preserve">companies like Unilever. Many sources can be triangulated, as well, which adds credibility. The design will be </w:t>
      </w:r>
      <w:r w:rsidR="00331863" w:rsidRPr="002A77FC">
        <w:rPr>
          <w:rFonts w:ascii="Arial" w:hAnsi="Arial" w:cs="Arial"/>
        </w:rPr>
        <w:t xml:space="preserve">a </w:t>
      </w:r>
      <w:r w:rsidR="005B3228" w:rsidRPr="002A77FC">
        <w:rPr>
          <w:rFonts w:ascii="Arial" w:hAnsi="Arial" w:cs="Arial"/>
        </w:rPr>
        <w:t>multi-case study</w:t>
      </w:r>
      <w:r w:rsidRPr="002A77FC">
        <w:rPr>
          <w:rFonts w:ascii="Arial" w:hAnsi="Arial" w:cs="Arial"/>
        </w:rPr>
        <w:t xml:space="preserve"> since it aims at comprehensiveness, not breadth. Despite all of its merits, this approach has a number of restrictions. As a probability, one might find that secondary data is biased </w:t>
      </w:r>
      <w:r w:rsidR="00331863" w:rsidRPr="002A77FC">
        <w:rPr>
          <w:rFonts w:ascii="Arial" w:hAnsi="Arial" w:cs="Arial"/>
        </w:rPr>
        <w:t>about</w:t>
      </w:r>
      <w:r w:rsidRPr="002A77FC">
        <w:rPr>
          <w:rFonts w:ascii="Arial" w:hAnsi="Arial" w:cs="Arial"/>
        </w:rPr>
        <w:t xml:space="preserve"> companies. It also does not have direct consumer views, which might influence </w:t>
      </w:r>
      <w:r w:rsidR="00331863" w:rsidRPr="002A77FC">
        <w:rPr>
          <w:rFonts w:ascii="Arial" w:hAnsi="Arial" w:cs="Arial"/>
        </w:rPr>
        <w:t xml:space="preserve">the </w:t>
      </w:r>
      <w:r w:rsidRPr="002A77FC">
        <w:rPr>
          <w:rFonts w:ascii="Arial" w:hAnsi="Arial" w:cs="Arial"/>
        </w:rPr>
        <w:t>analysis of findings.</w:t>
      </w:r>
    </w:p>
    <w:p w14:paraId="05E6BFD2" w14:textId="77777777" w:rsidR="00AA01AD" w:rsidRPr="002A77FC" w:rsidRDefault="00AA01AD" w:rsidP="00012868">
      <w:pPr>
        <w:spacing w:line="360" w:lineRule="auto"/>
        <w:jc w:val="both"/>
        <w:rPr>
          <w:rFonts w:ascii="Arial" w:hAnsi="Arial" w:cs="Arial"/>
        </w:rPr>
      </w:pPr>
    </w:p>
    <w:p w14:paraId="0059839B" w14:textId="77777777" w:rsidR="00AA01AD" w:rsidRPr="002A77FC" w:rsidRDefault="00AA01AD" w:rsidP="00012868">
      <w:pPr>
        <w:pStyle w:val="Heading2"/>
        <w:rPr>
          <w:rFonts w:ascii="Arial" w:hAnsi="Arial" w:cs="Arial"/>
          <w:color w:val="auto"/>
        </w:rPr>
      </w:pPr>
      <w:bookmarkStart w:id="38" w:name="_Toc230268835"/>
      <w:r w:rsidRPr="002A77FC">
        <w:rPr>
          <w:rFonts w:ascii="Arial" w:hAnsi="Arial" w:cs="Arial"/>
          <w:color w:val="auto"/>
        </w:rPr>
        <w:t>3.4 Case Selection and Sampling Strategy</w:t>
      </w:r>
      <w:bookmarkEnd w:id="38"/>
    </w:p>
    <w:p w14:paraId="051A7A26" w14:textId="752718BE" w:rsidR="00AA01AD" w:rsidRPr="002A77FC" w:rsidRDefault="00AA01AD" w:rsidP="00012868">
      <w:pPr>
        <w:spacing w:line="360" w:lineRule="auto"/>
        <w:jc w:val="both"/>
        <w:rPr>
          <w:rFonts w:ascii="Arial" w:hAnsi="Arial" w:cs="Arial"/>
        </w:rPr>
      </w:pPr>
      <w:r w:rsidRPr="002A77FC">
        <w:rPr>
          <w:rFonts w:ascii="Arial" w:hAnsi="Arial" w:cs="Arial"/>
        </w:rPr>
        <w:t>The paper has employed a variety of secondary sources in order to get various points of view. Corporate reports</w:t>
      </w:r>
      <w:r w:rsidR="00331863" w:rsidRPr="002A77FC">
        <w:rPr>
          <w:rFonts w:ascii="Arial" w:hAnsi="Arial" w:cs="Arial"/>
        </w:rPr>
        <w:t>,</w:t>
      </w:r>
      <w:r w:rsidRPr="002A77FC">
        <w:rPr>
          <w:rFonts w:ascii="Arial" w:hAnsi="Arial" w:cs="Arial"/>
        </w:rPr>
        <w:t xml:space="preserve"> including annual and ESG reports</w:t>
      </w:r>
      <w:r w:rsidR="00331863" w:rsidRPr="002A77FC">
        <w:rPr>
          <w:rFonts w:ascii="Arial" w:hAnsi="Arial" w:cs="Arial"/>
        </w:rPr>
        <w:t>,</w:t>
      </w:r>
      <w:r w:rsidRPr="002A77FC">
        <w:rPr>
          <w:rFonts w:ascii="Arial" w:hAnsi="Arial" w:cs="Arial"/>
        </w:rPr>
        <w:t xml:space="preserve"> are good </w:t>
      </w:r>
      <w:r w:rsidR="00331863" w:rsidRPr="002A77FC">
        <w:rPr>
          <w:rFonts w:ascii="Arial" w:hAnsi="Arial" w:cs="Arial"/>
        </w:rPr>
        <w:t>sources of</w:t>
      </w:r>
      <w:r w:rsidRPr="002A77FC">
        <w:rPr>
          <w:rFonts w:ascii="Arial" w:hAnsi="Arial" w:cs="Arial"/>
        </w:rPr>
        <w:t xml:space="preserve"> </w:t>
      </w:r>
      <w:r w:rsidRPr="002A77FC">
        <w:rPr>
          <w:rFonts w:ascii="Arial" w:hAnsi="Arial" w:cs="Arial"/>
        </w:rPr>
        <w:lastRenderedPageBreak/>
        <w:t>longitudinal information. They may</w:t>
      </w:r>
      <w:r w:rsidR="00331863" w:rsidRPr="002A77FC">
        <w:rPr>
          <w:rFonts w:ascii="Arial" w:hAnsi="Arial" w:cs="Arial"/>
        </w:rPr>
        <w:t>,</w:t>
      </w:r>
      <w:r w:rsidRPr="002A77FC">
        <w:rPr>
          <w:rFonts w:ascii="Arial" w:hAnsi="Arial" w:cs="Arial"/>
        </w:rPr>
        <w:t xml:space="preserve"> however</w:t>
      </w:r>
      <w:r w:rsidR="00331863" w:rsidRPr="002A77FC">
        <w:rPr>
          <w:rFonts w:ascii="Arial" w:hAnsi="Arial" w:cs="Arial"/>
        </w:rPr>
        <w:t>,</w:t>
      </w:r>
      <w:r w:rsidRPr="002A77FC">
        <w:rPr>
          <w:rFonts w:ascii="Arial" w:hAnsi="Arial" w:cs="Arial"/>
        </w:rPr>
        <w:t xml:space="preserve"> contain selective disclosure and emphasi</w:t>
      </w:r>
      <w:r w:rsidR="00331863" w:rsidRPr="002A77FC">
        <w:rPr>
          <w:rFonts w:ascii="Arial" w:hAnsi="Arial" w:cs="Arial"/>
        </w:rPr>
        <w:t>se</w:t>
      </w:r>
      <w:r w:rsidRPr="002A77FC">
        <w:rPr>
          <w:rFonts w:ascii="Arial" w:hAnsi="Arial" w:cs="Arial"/>
        </w:rPr>
        <w:t xml:space="preserve"> good performance</w:t>
      </w:r>
      <w:r w:rsidR="003942EE" w:rsidRPr="002A77FC">
        <w:rPr>
          <w:rFonts w:ascii="Arial" w:hAnsi="Arial" w:cs="Arial"/>
        </w:rPr>
        <w:t xml:space="preserve"> (Saunders, Lewis and Thornhill, 2023)</w:t>
      </w:r>
      <w:r w:rsidRPr="002A77FC">
        <w:rPr>
          <w:rFonts w:ascii="Arial" w:hAnsi="Arial" w:cs="Arial"/>
        </w:rPr>
        <w:t>. These problems</w:t>
      </w:r>
      <w:r w:rsidR="00331863" w:rsidRPr="002A77FC">
        <w:rPr>
          <w:rFonts w:ascii="Arial" w:hAnsi="Arial" w:cs="Arial"/>
        </w:rPr>
        <w:t>, such</w:t>
      </w:r>
      <w:r w:rsidRPr="002A77FC">
        <w:rPr>
          <w:rFonts w:ascii="Arial" w:hAnsi="Arial" w:cs="Arial"/>
        </w:rPr>
        <w:t xml:space="preserve"> as marketing campaigns and branding materials</w:t>
      </w:r>
      <w:r w:rsidR="00331863" w:rsidRPr="002A77FC">
        <w:rPr>
          <w:rFonts w:ascii="Arial" w:hAnsi="Arial" w:cs="Arial"/>
        </w:rPr>
        <w:t>,</w:t>
      </w:r>
      <w:r w:rsidRPr="002A77FC">
        <w:rPr>
          <w:rFonts w:ascii="Arial" w:hAnsi="Arial" w:cs="Arial"/>
        </w:rPr>
        <w:t xml:space="preserve"> can give first-hand data about the strategy of communication, but this is typically promo-type information and may exaggerate the impact. The sources of the business press offer more independent opinions, but they might be the sources not giv</w:t>
      </w:r>
      <w:r w:rsidR="00331863" w:rsidRPr="002A77FC">
        <w:rPr>
          <w:rFonts w:ascii="Arial" w:hAnsi="Arial" w:cs="Arial"/>
        </w:rPr>
        <w:t>e</w:t>
      </w:r>
      <w:r w:rsidRPr="002A77FC">
        <w:rPr>
          <w:rFonts w:ascii="Arial" w:hAnsi="Arial" w:cs="Arial"/>
        </w:rPr>
        <w:t xml:space="preserve"> detailed analysis. Industry reports include useful trend data</w:t>
      </w:r>
      <w:r w:rsidR="00331863" w:rsidRPr="002A77FC">
        <w:rPr>
          <w:rFonts w:ascii="Arial" w:hAnsi="Arial" w:cs="Arial"/>
        </w:rPr>
        <w:t>,</w:t>
      </w:r>
      <w:r w:rsidRPr="002A77FC">
        <w:rPr>
          <w:rFonts w:ascii="Arial" w:hAnsi="Arial" w:cs="Arial"/>
        </w:rPr>
        <w:t xml:space="preserve"> but this is normally generalised</w:t>
      </w:r>
      <w:r w:rsidR="003942EE" w:rsidRPr="002A77FC">
        <w:rPr>
          <w:rFonts w:ascii="Arial" w:hAnsi="Arial" w:cs="Arial"/>
        </w:rPr>
        <w:t xml:space="preserve"> (Custódio Santos et al., 2019)</w:t>
      </w:r>
      <w:r w:rsidRPr="002A77FC">
        <w:rPr>
          <w:rFonts w:ascii="Arial" w:hAnsi="Arial" w:cs="Arial"/>
        </w:rPr>
        <w:t>. The official stories are served by company websites and press releases</w:t>
      </w:r>
      <w:r w:rsidR="00331863" w:rsidRPr="002A77FC">
        <w:rPr>
          <w:rFonts w:ascii="Arial" w:hAnsi="Arial" w:cs="Arial"/>
        </w:rPr>
        <w:t>,</w:t>
      </w:r>
      <w:r w:rsidRPr="002A77FC">
        <w:rPr>
          <w:rFonts w:ascii="Arial" w:hAnsi="Arial" w:cs="Arial"/>
        </w:rPr>
        <w:t xml:space="preserve"> but are guided by self-presentation bias. With Unilever, such sources are concentrated on the role of strategic communication but may be less insightful into the face of activities. </w:t>
      </w:r>
      <w:r w:rsidR="00331863" w:rsidRPr="002A77FC">
        <w:rPr>
          <w:rFonts w:ascii="Arial" w:hAnsi="Arial" w:cs="Arial"/>
        </w:rPr>
        <w:t>The c</w:t>
      </w:r>
      <w:r w:rsidRPr="002A77FC">
        <w:rPr>
          <w:rFonts w:ascii="Arial" w:hAnsi="Arial" w:cs="Arial"/>
        </w:rPr>
        <w:t>ollection of data was organi</w:t>
      </w:r>
      <w:r w:rsidR="00331863" w:rsidRPr="002A77FC">
        <w:rPr>
          <w:rFonts w:ascii="Arial" w:hAnsi="Arial" w:cs="Arial"/>
        </w:rPr>
        <w:t>s</w:t>
      </w:r>
      <w:r w:rsidRPr="002A77FC">
        <w:rPr>
          <w:rFonts w:ascii="Arial" w:hAnsi="Arial" w:cs="Arial"/>
        </w:rPr>
        <w:t>ed. The same approach was taken to source out relevant sources based on the same research focus. Every source was screened in terms of credibility, relevancy, and antiqueness</w:t>
      </w:r>
      <w:r w:rsidR="003942EE" w:rsidRPr="002A77FC">
        <w:rPr>
          <w:rFonts w:ascii="Arial" w:hAnsi="Arial" w:cs="Arial"/>
        </w:rPr>
        <w:t xml:space="preserve"> (Rashid et al., 2019)</w:t>
      </w:r>
      <w:r w:rsidRPr="002A77FC">
        <w:rPr>
          <w:rFonts w:ascii="Arial" w:hAnsi="Arial" w:cs="Arial"/>
        </w:rPr>
        <w:t>. They were then thematically classified in the data</w:t>
      </w:r>
      <w:r w:rsidR="00331863" w:rsidRPr="002A77FC">
        <w:rPr>
          <w:rFonts w:ascii="Arial" w:hAnsi="Arial" w:cs="Arial"/>
        </w:rPr>
        <w:t>,</w:t>
      </w:r>
      <w:r w:rsidRPr="002A77FC">
        <w:rPr>
          <w:rFonts w:ascii="Arial" w:hAnsi="Arial" w:cs="Arial"/>
        </w:rPr>
        <w:t xml:space="preserve"> which is linked to the conceptual framework. This brought consistency </w:t>
      </w:r>
      <w:r w:rsidR="00331863" w:rsidRPr="002A77FC">
        <w:rPr>
          <w:rFonts w:ascii="Arial" w:hAnsi="Arial" w:cs="Arial"/>
        </w:rPr>
        <w:t>to the</w:t>
      </w:r>
      <w:r w:rsidRPr="002A77FC">
        <w:rPr>
          <w:rFonts w:ascii="Arial" w:hAnsi="Arial" w:cs="Arial"/>
        </w:rPr>
        <w:t xml:space="preserve"> analysis. However, through the assistance of secondary data, restrictions are possible. The information may be biased or partial towards positive stories. Lack of first</w:t>
      </w:r>
      <w:r w:rsidR="00331863" w:rsidRPr="002A77FC">
        <w:rPr>
          <w:rFonts w:ascii="Arial" w:hAnsi="Arial" w:cs="Arial"/>
        </w:rPr>
        <w:t>-</w:t>
      </w:r>
      <w:r w:rsidRPr="002A77FC">
        <w:rPr>
          <w:rFonts w:ascii="Arial" w:hAnsi="Arial" w:cs="Arial"/>
        </w:rPr>
        <w:t>hand insight into consumer perception is limited by the fact that there is no primary data.</w:t>
      </w:r>
    </w:p>
    <w:p w14:paraId="3F978597" w14:textId="77777777" w:rsidR="00AA01AD" w:rsidRPr="002A77FC" w:rsidRDefault="00AA01AD" w:rsidP="00012868">
      <w:pPr>
        <w:pStyle w:val="Heading2"/>
        <w:rPr>
          <w:rFonts w:ascii="Arial" w:hAnsi="Arial" w:cs="Arial"/>
          <w:color w:val="auto"/>
        </w:rPr>
      </w:pPr>
      <w:bookmarkStart w:id="39" w:name="_Toc230268836"/>
      <w:r w:rsidRPr="002A77FC">
        <w:rPr>
          <w:rFonts w:ascii="Arial" w:hAnsi="Arial" w:cs="Arial"/>
          <w:color w:val="auto"/>
        </w:rPr>
        <w:t>3.5 Data Sources and Data Collection</w:t>
      </w:r>
      <w:bookmarkEnd w:id="39"/>
    </w:p>
    <w:p w14:paraId="32ECBBF6" w14:textId="77777777" w:rsidR="00AA01AD" w:rsidRPr="002A77FC" w:rsidRDefault="00AA01AD" w:rsidP="00012868">
      <w:pPr>
        <w:pStyle w:val="Heading3"/>
        <w:rPr>
          <w:rFonts w:ascii="Arial" w:hAnsi="Arial" w:cs="Arial"/>
          <w:color w:val="auto"/>
        </w:rPr>
      </w:pPr>
      <w:bookmarkStart w:id="40" w:name="_Toc230268837"/>
      <w:r w:rsidRPr="002A77FC">
        <w:rPr>
          <w:rFonts w:ascii="Arial" w:hAnsi="Arial" w:cs="Arial"/>
          <w:color w:val="auto"/>
        </w:rPr>
        <w:t>3.5.1 Types of Data Sources</w:t>
      </w:r>
      <w:bookmarkEnd w:id="40"/>
    </w:p>
    <w:p w14:paraId="3EF3987F" w14:textId="5CC12A93" w:rsidR="00AA01AD" w:rsidRPr="002A77FC" w:rsidRDefault="00AA01AD" w:rsidP="00012868">
      <w:pPr>
        <w:spacing w:line="360" w:lineRule="auto"/>
        <w:jc w:val="both"/>
        <w:rPr>
          <w:rFonts w:ascii="Arial" w:hAnsi="Arial" w:cs="Arial"/>
        </w:rPr>
      </w:pPr>
      <w:r w:rsidRPr="002A77FC">
        <w:rPr>
          <w:rFonts w:ascii="Arial" w:hAnsi="Arial" w:cs="Arial"/>
        </w:rPr>
        <w:t>A variety of secondary literature sources will serve as a foundation of the paper so that it w</w:t>
      </w:r>
      <w:r w:rsidR="00331863" w:rsidRPr="002A77FC">
        <w:rPr>
          <w:rFonts w:ascii="Arial" w:hAnsi="Arial" w:cs="Arial"/>
        </w:rPr>
        <w:t>ill</w:t>
      </w:r>
      <w:r w:rsidRPr="002A77FC">
        <w:rPr>
          <w:rFonts w:ascii="Arial" w:hAnsi="Arial" w:cs="Arial"/>
        </w:rPr>
        <w:t xml:space="preserve"> be comprehensive. Corporate reports include annual and ESG reports and provide information </w:t>
      </w:r>
      <w:r w:rsidR="00331863" w:rsidRPr="002A77FC">
        <w:rPr>
          <w:rFonts w:ascii="Arial" w:hAnsi="Arial" w:cs="Arial"/>
        </w:rPr>
        <w:t xml:space="preserve">that is </w:t>
      </w:r>
      <w:r w:rsidRPr="002A77FC">
        <w:rPr>
          <w:rFonts w:ascii="Arial" w:hAnsi="Arial" w:cs="Arial"/>
        </w:rPr>
        <w:t>longitudinal and structured on the sustainability strategies. They are verified and credible, but selective in their disclosures</w:t>
      </w:r>
      <w:r w:rsidR="00331863" w:rsidRPr="002A77FC">
        <w:rPr>
          <w:rFonts w:ascii="Arial" w:hAnsi="Arial" w:cs="Arial"/>
        </w:rPr>
        <w:t>,</w:t>
      </w:r>
      <w:r w:rsidRPr="002A77FC">
        <w:rPr>
          <w:rFonts w:ascii="Arial" w:hAnsi="Arial" w:cs="Arial"/>
        </w:rPr>
        <w:t xml:space="preserve"> and they also emphasi</w:t>
      </w:r>
      <w:r w:rsidR="00331863" w:rsidRPr="002A77FC">
        <w:rPr>
          <w:rFonts w:ascii="Arial" w:hAnsi="Arial" w:cs="Arial"/>
        </w:rPr>
        <w:t>s</w:t>
      </w:r>
      <w:r w:rsidRPr="002A77FC">
        <w:rPr>
          <w:rFonts w:ascii="Arial" w:hAnsi="Arial" w:cs="Arial"/>
        </w:rPr>
        <w:t>e the good performance</w:t>
      </w:r>
      <w:r w:rsidR="003942EE" w:rsidRPr="002A77FC">
        <w:rPr>
          <w:rFonts w:ascii="Arial" w:hAnsi="Arial" w:cs="Arial"/>
        </w:rPr>
        <w:t xml:space="preserve"> (Snyder, 2019)</w:t>
      </w:r>
      <w:r w:rsidRPr="002A77FC">
        <w:rPr>
          <w:rFonts w:ascii="Arial" w:hAnsi="Arial" w:cs="Arial"/>
        </w:rPr>
        <w:t xml:space="preserve">. Marketing campaigns and branding material give information on </w:t>
      </w:r>
      <w:r w:rsidR="00331863" w:rsidRPr="002A77FC">
        <w:rPr>
          <w:rFonts w:ascii="Arial" w:hAnsi="Arial" w:cs="Arial"/>
        </w:rPr>
        <w:t xml:space="preserve">the </w:t>
      </w:r>
      <w:r w:rsidRPr="002A77FC">
        <w:rPr>
          <w:rFonts w:ascii="Arial" w:hAnsi="Arial" w:cs="Arial"/>
        </w:rPr>
        <w:t xml:space="preserve">application of communication strategies. But they are by nature promotional and could overstate influence. Business press sources: financial journalism and industry journalism </w:t>
      </w:r>
      <w:r w:rsidR="00331863" w:rsidRPr="002A77FC">
        <w:rPr>
          <w:rFonts w:ascii="Arial" w:hAnsi="Arial" w:cs="Arial"/>
        </w:rPr>
        <w:t>can</w:t>
      </w:r>
      <w:r w:rsidRPr="002A77FC">
        <w:rPr>
          <w:rFonts w:ascii="Arial" w:hAnsi="Arial" w:cs="Arial"/>
        </w:rPr>
        <w:t xml:space="preserve"> provide more autonomous views. Though they may not look into internal processes in detail. Trend analysis and benchmarking can be advantageous via industry reporting by organisations like consulting companies</w:t>
      </w:r>
      <w:r w:rsidR="003942EE" w:rsidRPr="002A77FC">
        <w:rPr>
          <w:rFonts w:ascii="Arial" w:hAnsi="Arial" w:cs="Arial"/>
        </w:rPr>
        <w:t xml:space="preserve"> (Wang et al., 2018)</w:t>
      </w:r>
      <w:r w:rsidRPr="002A77FC">
        <w:rPr>
          <w:rFonts w:ascii="Arial" w:hAnsi="Arial" w:cs="Arial"/>
        </w:rPr>
        <w:t xml:space="preserve">. Their weakness lies </w:t>
      </w:r>
      <w:r w:rsidR="00331863" w:rsidRPr="002A77FC">
        <w:rPr>
          <w:rFonts w:ascii="Arial" w:hAnsi="Arial" w:cs="Arial"/>
        </w:rPr>
        <w:t>in</w:t>
      </w:r>
      <w:r w:rsidRPr="002A77FC">
        <w:rPr>
          <w:rFonts w:ascii="Arial" w:hAnsi="Arial" w:cs="Arial"/>
        </w:rPr>
        <w:t xml:space="preserve"> generalisation, as they fail to give due concern towards firm</w:t>
      </w:r>
      <w:r w:rsidR="00331863" w:rsidRPr="002A77FC">
        <w:rPr>
          <w:rFonts w:ascii="Arial" w:hAnsi="Arial" w:cs="Arial"/>
        </w:rPr>
        <w:t>-</w:t>
      </w:r>
      <w:r w:rsidRPr="002A77FC">
        <w:rPr>
          <w:rFonts w:ascii="Arial" w:hAnsi="Arial" w:cs="Arial"/>
        </w:rPr>
        <w:t>specific dynamics. Through the company</w:t>
      </w:r>
      <w:r w:rsidR="00331863" w:rsidRPr="002A77FC">
        <w:rPr>
          <w:rFonts w:ascii="Arial" w:hAnsi="Arial" w:cs="Arial"/>
        </w:rPr>
        <w:t>’s</w:t>
      </w:r>
      <w:r w:rsidRPr="002A77FC">
        <w:rPr>
          <w:rFonts w:ascii="Arial" w:hAnsi="Arial" w:cs="Arial"/>
        </w:rPr>
        <w:t xml:space="preserve"> websites and press </w:t>
      </w:r>
      <w:r w:rsidRPr="002A77FC">
        <w:rPr>
          <w:rFonts w:ascii="Arial" w:hAnsi="Arial" w:cs="Arial"/>
        </w:rPr>
        <w:lastRenderedPageBreak/>
        <w:t xml:space="preserve">releases, </w:t>
      </w:r>
      <w:r w:rsidR="00331863" w:rsidRPr="002A77FC">
        <w:rPr>
          <w:rFonts w:ascii="Arial" w:hAnsi="Arial" w:cs="Arial"/>
        </w:rPr>
        <w:t>the organisation’</w:t>
      </w:r>
      <w:r w:rsidRPr="002A77FC">
        <w:rPr>
          <w:rFonts w:ascii="Arial" w:hAnsi="Arial" w:cs="Arial"/>
        </w:rPr>
        <w:t>s discourse and press releases are available. But they are affected by the self-presentation bias. As applied to Unilever, there is a strategic positioning within these sources, but the realities of the operations may not be fully achieved.</w:t>
      </w:r>
    </w:p>
    <w:p w14:paraId="5B0C7B7F" w14:textId="77777777" w:rsidR="00AA01AD" w:rsidRPr="002A77FC" w:rsidRDefault="00AA01AD" w:rsidP="00012868">
      <w:pPr>
        <w:pStyle w:val="Heading3"/>
        <w:rPr>
          <w:rFonts w:ascii="Arial" w:hAnsi="Arial" w:cs="Arial"/>
          <w:color w:val="auto"/>
        </w:rPr>
      </w:pPr>
      <w:bookmarkStart w:id="41" w:name="_Toc230268838"/>
      <w:r w:rsidRPr="002A77FC">
        <w:rPr>
          <w:rFonts w:ascii="Arial" w:hAnsi="Arial" w:cs="Arial"/>
          <w:color w:val="auto"/>
        </w:rPr>
        <w:t>3.5.2 Data Collection Process</w:t>
      </w:r>
      <w:bookmarkEnd w:id="41"/>
    </w:p>
    <w:p w14:paraId="08EA8D88" w14:textId="622EDF20" w:rsidR="00AA01AD" w:rsidRPr="002A77FC" w:rsidRDefault="00AA01AD" w:rsidP="00012868">
      <w:pPr>
        <w:spacing w:line="360" w:lineRule="auto"/>
        <w:jc w:val="both"/>
        <w:rPr>
          <w:rFonts w:ascii="Arial" w:hAnsi="Arial" w:cs="Arial"/>
        </w:rPr>
      </w:pPr>
      <w:r w:rsidRPr="002A77FC">
        <w:rPr>
          <w:rFonts w:ascii="Arial" w:hAnsi="Arial" w:cs="Arial"/>
        </w:rPr>
        <w:t>Data were gathered in a systematic and orderly fashion. The correspondence to the research area was the way to find out eligible sources. Relevanc</w:t>
      </w:r>
      <w:r w:rsidR="00331863" w:rsidRPr="002A77FC">
        <w:rPr>
          <w:rFonts w:ascii="Arial" w:hAnsi="Arial" w:cs="Arial"/>
        </w:rPr>
        <w:t>e</w:t>
      </w:r>
      <w:r w:rsidRPr="002A77FC">
        <w:rPr>
          <w:rFonts w:ascii="Arial" w:hAnsi="Arial" w:cs="Arial"/>
        </w:rPr>
        <w:t>, credibility and recency of each source w</w:t>
      </w:r>
      <w:r w:rsidR="00331863" w:rsidRPr="002A77FC">
        <w:rPr>
          <w:rFonts w:ascii="Arial" w:hAnsi="Arial" w:cs="Arial"/>
        </w:rPr>
        <w:t>ere</w:t>
      </w:r>
      <w:r w:rsidRPr="002A77FC">
        <w:rPr>
          <w:rFonts w:ascii="Arial" w:hAnsi="Arial" w:cs="Arial"/>
        </w:rPr>
        <w:t xml:space="preserve"> then sifted. Materials that have been verified and of high quality were used only. The data obtained were structured into subject themes in correlation </w:t>
      </w:r>
      <w:r w:rsidR="00331863" w:rsidRPr="002A77FC">
        <w:rPr>
          <w:rFonts w:ascii="Arial" w:hAnsi="Arial" w:cs="Arial"/>
        </w:rPr>
        <w:t>with</w:t>
      </w:r>
      <w:r w:rsidRPr="002A77FC">
        <w:rPr>
          <w:rFonts w:ascii="Arial" w:hAnsi="Arial" w:cs="Arial"/>
        </w:rPr>
        <w:t xml:space="preserve"> the conceptual framework. This ensured uniformity of the analysis</w:t>
      </w:r>
      <w:r w:rsidR="003942EE" w:rsidRPr="002A77FC">
        <w:rPr>
          <w:rFonts w:ascii="Arial" w:hAnsi="Arial" w:cs="Arial"/>
        </w:rPr>
        <w:t xml:space="preserve"> (Rashid et al., 2019)</w:t>
      </w:r>
      <w:r w:rsidRPr="002A77FC">
        <w:rPr>
          <w:rFonts w:ascii="Arial" w:hAnsi="Arial" w:cs="Arial"/>
        </w:rPr>
        <w:t>. Use of secondary data</w:t>
      </w:r>
      <w:r w:rsidR="00331863" w:rsidRPr="002A77FC">
        <w:rPr>
          <w:rFonts w:ascii="Arial" w:hAnsi="Arial" w:cs="Arial"/>
        </w:rPr>
        <w:t>,</w:t>
      </w:r>
      <w:r w:rsidRPr="002A77FC">
        <w:rPr>
          <w:rFonts w:ascii="Arial" w:hAnsi="Arial" w:cs="Arial"/>
        </w:rPr>
        <w:t xml:space="preserve"> however</w:t>
      </w:r>
      <w:r w:rsidR="00331863" w:rsidRPr="002A77FC">
        <w:rPr>
          <w:rFonts w:ascii="Arial" w:hAnsi="Arial" w:cs="Arial"/>
        </w:rPr>
        <w:t>,</w:t>
      </w:r>
      <w:r w:rsidRPr="002A77FC">
        <w:rPr>
          <w:rFonts w:ascii="Arial" w:hAnsi="Arial" w:cs="Arial"/>
        </w:rPr>
        <w:t xml:space="preserve"> poses limitations. The news might be biased or inclined to</w:t>
      </w:r>
      <w:r w:rsidR="00331863" w:rsidRPr="002A77FC">
        <w:rPr>
          <w:rFonts w:ascii="Arial" w:hAnsi="Arial" w:cs="Arial"/>
        </w:rPr>
        <w:t>ward</w:t>
      </w:r>
      <w:r w:rsidRPr="002A77FC">
        <w:rPr>
          <w:rFonts w:ascii="Arial" w:hAnsi="Arial" w:cs="Arial"/>
        </w:rPr>
        <w:t xml:space="preserve"> favo</w:t>
      </w:r>
      <w:r w:rsidR="00331863" w:rsidRPr="002A77FC">
        <w:rPr>
          <w:rFonts w:ascii="Arial" w:hAnsi="Arial" w:cs="Arial"/>
        </w:rPr>
        <w:t>u</w:t>
      </w:r>
      <w:r w:rsidRPr="002A77FC">
        <w:rPr>
          <w:rFonts w:ascii="Arial" w:hAnsi="Arial" w:cs="Arial"/>
        </w:rPr>
        <w:t>rable news. The lack of primary data curtails first-hand knowledge of the consumer views. In the example of Unilever, it means that the data source that the researcher has is open information that may not necessarily be the entire interpretation of the stakeholders.</w:t>
      </w:r>
    </w:p>
    <w:p w14:paraId="3EE7EC31" w14:textId="77777777" w:rsidR="00AA01AD" w:rsidRPr="002A77FC" w:rsidRDefault="00AA01AD" w:rsidP="00012868">
      <w:pPr>
        <w:pStyle w:val="Heading2"/>
        <w:rPr>
          <w:rFonts w:ascii="Arial" w:hAnsi="Arial" w:cs="Arial"/>
          <w:color w:val="auto"/>
        </w:rPr>
      </w:pPr>
      <w:bookmarkStart w:id="42" w:name="_Toc230268839"/>
      <w:r w:rsidRPr="002A77FC">
        <w:rPr>
          <w:rFonts w:ascii="Arial" w:hAnsi="Arial" w:cs="Arial"/>
          <w:color w:val="auto"/>
        </w:rPr>
        <w:t>3.6 Data Analysis Approach</w:t>
      </w:r>
      <w:bookmarkEnd w:id="42"/>
    </w:p>
    <w:p w14:paraId="625CF727" w14:textId="77777777" w:rsidR="00AA01AD" w:rsidRPr="002A77FC" w:rsidRDefault="00AA01AD" w:rsidP="00012868">
      <w:pPr>
        <w:pStyle w:val="Heading3"/>
        <w:rPr>
          <w:rFonts w:ascii="Arial" w:hAnsi="Arial" w:cs="Arial"/>
          <w:color w:val="auto"/>
        </w:rPr>
      </w:pPr>
      <w:bookmarkStart w:id="43" w:name="_Toc230268840"/>
      <w:r w:rsidRPr="002A77FC">
        <w:rPr>
          <w:rFonts w:ascii="Arial" w:hAnsi="Arial" w:cs="Arial"/>
          <w:color w:val="auto"/>
        </w:rPr>
        <w:t>3.6.1 Analysis Framework</w:t>
      </w:r>
      <w:bookmarkEnd w:id="43"/>
    </w:p>
    <w:p w14:paraId="23828DD4" w14:textId="798ADBC9" w:rsidR="00AA01AD" w:rsidRPr="002A77FC" w:rsidRDefault="00AA01AD" w:rsidP="00012868">
      <w:pPr>
        <w:spacing w:line="360" w:lineRule="auto"/>
        <w:jc w:val="both"/>
        <w:rPr>
          <w:rFonts w:ascii="Arial" w:hAnsi="Arial" w:cs="Arial"/>
        </w:rPr>
      </w:pPr>
      <w:r w:rsidRPr="002A77FC">
        <w:rPr>
          <w:rFonts w:ascii="Arial" w:hAnsi="Arial" w:cs="Arial"/>
        </w:rPr>
        <w:t>The conceptual framework that has been developed in Chapter 2 is informative in this analysis. This framework brings together sustainability communication and perception, trust and brand reputation. An abductive style is used, and the flow between theory and data is permitted. This makes it easy to discern trends</w:t>
      </w:r>
      <w:r w:rsidR="00331863" w:rsidRPr="002A77FC">
        <w:rPr>
          <w:rFonts w:ascii="Arial" w:hAnsi="Arial" w:cs="Arial"/>
        </w:rPr>
        <w:t>,</w:t>
      </w:r>
      <w:r w:rsidRPr="002A77FC">
        <w:rPr>
          <w:rFonts w:ascii="Arial" w:hAnsi="Arial" w:cs="Arial"/>
        </w:rPr>
        <w:t xml:space="preserve"> and at the same time</w:t>
      </w:r>
      <w:r w:rsidR="00331863" w:rsidRPr="002A77FC">
        <w:rPr>
          <w:rFonts w:ascii="Arial" w:hAnsi="Arial" w:cs="Arial"/>
        </w:rPr>
        <w:t>,</w:t>
      </w:r>
      <w:r w:rsidRPr="002A77FC">
        <w:rPr>
          <w:rFonts w:ascii="Arial" w:hAnsi="Arial" w:cs="Arial"/>
        </w:rPr>
        <w:t xml:space="preserve"> it is open to new knowledge. Nevertheless, there are flaws to this method</w:t>
      </w:r>
      <w:r w:rsidR="003942EE" w:rsidRPr="002A77FC">
        <w:rPr>
          <w:rFonts w:ascii="Arial" w:hAnsi="Arial" w:cs="Arial"/>
        </w:rPr>
        <w:t xml:space="preserve"> (Graham and Cascio, 2018)</w:t>
      </w:r>
      <w:r w:rsidRPr="002A77FC">
        <w:rPr>
          <w:rFonts w:ascii="Arial" w:hAnsi="Arial" w:cs="Arial"/>
        </w:rPr>
        <w:t>. There is an opportunity to run the risk of introducing the data to the prescribed scheme. This can minimi</w:t>
      </w:r>
      <w:r w:rsidR="00331863" w:rsidRPr="002A77FC">
        <w:rPr>
          <w:rFonts w:ascii="Arial" w:hAnsi="Arial" w:cs="Arial"/>
        </w:rPr>
        <w:t>s</w:t>
      </w:r>
      <w:r w:rsidRPr="002A77FC">
        <w:rPr>
          <w:rFonts w:ascii="Arial" w:hAnsi="Arial" w:cs="Arial"/>
        </w:rPr>
        <w:t>e the sensitivity to unexpected results. The strict following of the theory can</w:t>
      </w:r>
      <w:r w:rsidR="00331863" w:rsidRPr="002A77FC">
        <w:rPr>
          <w:rFonts w:ascii="Arial" w:hAnsi="Arial" w:cs="Arial"/>
        </w:rPr>
        <w:t>not explain</w:t>
      </w:r>
      <w:r w:rsidRPr="002A77FC">
        <w:rPr>
          <w:rFonts w:ascii="Arial" w:hAnsi="Arial" w:cs="Arial"/>
        </w:rPr>
        <w:t xml:space="preserve"> Unilever, where the outcomes of communication are not that simple, </w:t>
      </w:r>
      <w:r w:rsidR="00331863" w:rsidRPr="002A77FC">
        <w:rPr>
          <w:rFonts w:ascii="Arial" w:hAnsi="Arial" w:cs="Arial"/>
        </w:rPr>
        <w:t>and explaining</w:t>
      </w:r>
      <w:r w:rsidRPr="002A77FC">
        <w:rPr>
          <w:rFonts w:ascii="Arial" w:hAnsi="Arial" w:cs="Arial"/>
        </w:rPr>
        <w:t xml:space="preserve"> them too easily. In this way, flexibility is provided in the analysis.</w:t>
      </w:r>
    </w:p>
    <w:p w14:paraId="6287BEC0" w14:textId="77777777" w:rsidR="00AA01AD" w:rsidRPr="002A77FC" w:rsidRDefault="00AA01AD" w:rsidP="00012868">
      <w:pPr>
        <w:pStyle w:val="Heading3"/>
        <w:rPr>
          <w:rFonts w:ascii="Arial" w:hAnsi="Arial" w:cs="Arial"/>
          <w:color w:val="auto"/>
        </w:rPr>
      </w:pPr>
      <w:bookmarkStart w:id="44" w:name="_Toc230268841"/>
      <w:r w:rsidRPr="002A77FC">
        <w:rPr>
          <w:rFonts w:ascii="Arial" w:hAnsi="Arial" w:cs="Arial"/>
          <w:color w:val="auto"/>
        </w:rPr>
        <w:t>3.6.2 Within-Case Analysis</w:t>
      </w:r>
      <w:bookmarkEnd w:id="44"/>
    </w:p>
    <w:p w14:paraId="0CADC98F" w14:textId="7E3477F6" w:rsidR="00AA01AD" w:rsidRPr="002A77FC" w:rsidRDefault="00AA01AD" w:rsidP="00012868">
      <w:pPr>
        <w:spacing w:line="360" w:lineRule="auto"/>
        <w:jc w:val="both"/>
        <w:rPr>
          <w:rFonts w:ascii="Arial" w:hAnsi="Arial" w:cs="Arial"/>
        </w:rPr>
      </w:pPr>
      <w:r w:rsidRPr="002A77FC">
        <w:rPr>
          <w:rFonts w:ascii="Arial" w:hAnsi="Arial" w:cs="Arial"/>
        </w:rPr>
        <w:t xml:space="preserve">The research paper provides an in-depth analysis of Unilever </w:t>
      </w:r>
      <w:r w:rsidR="00057CF8" w:rsidRPr="002A77FC">
        <w:rPr>
          <w:rFonts w:ascii="Arial" w:hAnsi="Arial" w:cs="Arial"/>
        </w:rPr>
        <w:t xml:space="preserve">and other competitors </w:t>
      </w:r>
      <w:r w:rsidRPr="002A77FC">
        <w:rPr>
          <w:rFonts w:ascii="Arial" w:hAnsi="Arial" w:cs="Arial"/>
        </w:rPr>
        <w:t xml:space="preserve">in the UK. Some of the key dimensions that this analysis will be based on include </w:t>
      </w:r>
      <w:r w:rsidRPr="002A77FC">
        <w:rPr>
          <w:rFonts w:ascii="Arial" w:hAnsi="Arial" w:cs="Arial"/>
        </w:rPr>
        <w:lastRenderedPageBreak/>
        <w:t>communication strategy, consumer perception, trust formation and reputation outcomes</w:t>
      </w:r>
      <w:r w:rsidR="003942EE" w:rsidRPr="002A77FC">
        <w:rPr>
          <w:rFonts w:ascii="Arial" w:hAnsi="Arial" w:cs="Arial"/>
        </w:rPr>
        <w:t xml:space="preserve"> (Graham and Cascio, 2018)</w:t>
      </w:r>
      <w:r w:rsidRPr="002A77FC">
        <w:rPr>
          <w:rFonts w:ascii="Arial" w:hAnsi="Arial" w:cs="Arial"/>
        </w:rPr>
        <w:t>. This is because each of the dimensions is discussed with several data sources to develop a complete storyline. The triangulation is used to compare the evidence presented in reports, media and industry data. This enhances credibility and reduc</w:t>
      </w:r>
      <w:r w:rsidR="00331863" w:rsidRPr="002A77FC">
        <w:rPr>
          <w:rFonts w:ascii="Arial" w:hAnsi="Arial" w:cs="Arial"/>
        </w:rPr>
        <w:t>es</w:t>
      </w:r>
      <w:r w:rsidRPr="002A77FC">
        <w:rPr>
          <w:rFonts w:ascii="Arial" w:hAnsi="Arial" w:cs="Arial"/>
        </w:rPr>
        <w:t xml:space="preserve"> reliance on individual sources. Within-case analysis has its limits</w:t>
      </w:r>
      <w:r w:rsidR="00331863" w:rsidRPr="002A77FC">
        <w:rPr>
          <w:rFonts w:ascii="Arial" w:hAnsi="Arial" w:cs="Arial"/>
        </w:rPr>
        <w:t>,</w:t>
      </w:r>
      <w:r w:rsidRPr="002A77FC">
        <w:rPr>
          <w:rFonts w:ascii="Arial" w:hAnsi="Arial" w:cs="Arial"/>
        </w:rPr>
        <w:t xml:space="preserve"> however. It is a strategy of one organisation</w:t>
      </w:r>
      <w:r w:rsidR="00331863" w:rsidRPr="002A77FC">
        <w:rPr>
          <w:rFonts w:ascii="Arial" w:hAnsi="Arial" w:cs="Arial"/>
        </w:rPr>
        <w:t>;</w:t>
      </w:r>
      <w:r w:rsidRPr="002A77FC">
        <w:rPr>
          <w:rFonts w:ascii="Arial" w:hAnsi="Arial" w:cs="Arial"/>
        </w:rPr>
        <w:t xml:space="preserve"> it may possess some peculiarities. This makes it difficult to isolate firm</w:t>
      </w:r>
      <w:r w:rsidR="00331863" w:rsidRPr="002A77FC">
        <w:rPr>
          <w:rFonts w:ascii="Arial" w:hAnsi="Arial" w:cs="Arial"/>
        </w:rPr>
        <w:t>-</w:t>
      </w:r>
      <w:r w:rsidRPr="002A77FC">
        <w:rPr>
          <w:rFonts w:ascii="Arial" w:hAnsi="Arial" w:cs="Arial"/>
        </w:rPr>
        <w:t>specific effects and general trends.</w:t>
      </w:r>
    </w:p>
    <w:p w14:paraId="021A2574" w14:textId="77777777" w:rsidR="00AA01AD" w:rsidRPr="002A77FC" w:rsidRDefault="00AA01AD" w:rsidP="00012868">
      <w:pPr>
        <w:pStyle w:val="Heading3"/>
        <w:rPr>
          <w:rFonts w:ascii="Arial" w:hAnsi="Arial" w:cs="Arial"/>
          <w:color w:val="auto"/>
        </w:rPr>
      </w:pPr>
      <w:bookmarkStart w:id="45" w:name="_Toc230268842"/>
      <w:r w:rsidRPr="002A77FC">
        <w:rPr>
          <w:rFonts w:ascii="Arial" w:hAnsi="Arial" w:cs="Arial"/>
          <w:color w:val="auto"/>
        </w:rPr>
        <w:t>3.6.3 Cross-Analysis Logic</w:t>
      </w:r>
      <w:bookmarkEnd w:id="45"/>
    </w:p>
    <w:p w14:paraId="401B96F3" w14:textId="3271CBB2" w:rsidR="00AA01AD" w:rsidRPr="002A77FC" w:rsidRDefault="00AA01AD" w:rsidP="00012868">
      <w:pPr>
        <w:spacing w:line="360" w:lineRule="auto"/>
        <w:jc w:val="both"/>
        <w:rPr>
          <w:rFonts w:ascii="Arial" w:hAnsi="Arial" w:cs="Arial"/>
        </w:rPr>
      </w:pPr>
      <w:r w:rsidRPr="002A77FC">
        <w:rPr>
          <w:rFonts w:ascii="Arial" w:hAnsi="Arial" w:cs="Arial"/>
        </w:rPr>
        <w:t>Relationships between vital variables in the data are also other facets of data analysis. It decides the trends, discrepancies, and inconsistencies related to the influence of communication on perception and reputation. This works to unveil the mechanisms along with the appearance outcomes</w:t>
      </w:r>
      <w:r w:rsidR="003942EE" w:rsidRPr="002A77FC">
        <w:rPr>
          <w:rFonts w:ascii="Arial" w:hAnsi="Arial" w:cs="Arial"/>
        </w:rPr>
        <w:t xml:space="preserve"> (Genç, 2017)</w:t>
      </w:r>
      <w:r w:rsidRPr="002A77FC">
        <w:rPr>
          <w:rFonts w:ascii="Arial" w:hAnsi="Arial" w:cs="Arial"/>
        </w:rPr>
        <w:t xml:space="preserve">. The </w:t>
      </w:r>
      <w:r w:rsidR="005B3228" w:rsidRPr="002A77FC">
        <w:rPr>
          <w:rFonts w:ascii="Arial" w:hAnsi="Arial" w:cs="Arial"/>
        </w:rPr>
        <w:t>multi-case study</w:t>
      </w:r>
      <w:r w:rsidRPr="002A77FC">
        <w:rPr>
          <w:rFonts w:ascii="Arial" w:hAnsi="Arial" w:cs="Arial"/>
        </w:rPr>
        <w:t xml:space="preserve"> does restrict the cross-analysis</w:t>
      </w:r>
      <w:r w:rsidR="00331863" w:rsidRPr="002A77FC">
        <w:rPr>
          <w:rFonts w:ascii="Arial" w:hAnsi="Arial" w:cs="Arial"/>
        </w:rPr>
        <w:t>,</w:t>
      </w:r>
      <w:r w:rsidRPr="002A77FC">
        <w:rPr>
          <w:rFonts w:ascii="Arial" w:hAnsi="Arial" w:cs="Arial"/>
        </w:rPr>
        <w:t xml:space="preserve"> though. There is </w:t>
      </w:r>
      <w:r w:rsidR="00331863" w:rsidRPr="002A77FC">
        <w:rPr>
          <w:rFonts w:ascii="Arial" w:hAnsi="Arial" w:cs="Arial"/>
        </w:rPr>
        <w:t xml:space="preserve">a </w:t>
      </w:r>
      <w:r w:rsidRPr="002A77FC">
        <w:rPr>
          <w:rFonts w:ascii="Arial" w:hAnsi="Arial" w:cs="Arial"/>
        </w:rPr>
        <w:t xml:space="preserve">lack of comparability, and results are contextual. Here, the results may not </w:t>
      </w:r>
      <w:r w:rsidR="00331863" w:rsidRPr="002A77FC">
        <w:rPr>
          <w:rFonts w:ascii="Arial" w:hAnsi="Arial" w:cs="Arial"/>
        </w:rPr>
        <w:t>apply</w:t>
      </w:r>
      <w:r w:rsidRPr="002A77FC">
        <w:rPr>
          <w:rFonts w:ascii="Arial" w:hAnsi="Arial" w:cs="Arial"/>
        </w:rPr>
        <w:t xml:space="preserve"> to other organisations or other markets</w:t>
      </w:r>
      <w:r w:rsidR="00331863" w:rsidRPr="002A77FC">
        <w:rPr>
          <w:rFonts w:ascii="Arial" w:hAnsi="Arial" w:cs="Arial"/>
        </w:rPr>
        <w:t>,</w:t>
      </w:r>
      <w:r w:rsidRPr="002A77FC">
        <w:rPr>
          <w:rFonts w:ascii="Arial" w:hAnsi="Arial" w:cs="Arial"/>
        </w:rPr>
        <w:t xml:space="preserve"> as in the case of Unilever. This disadvantage is not overlooked</w:t>
      </w:r>
      <w:r w:rsidR="00331863" w:rsidRPr="002A77FC">
        <w:rPr>
          <w:rFonts w:ascii="Arial" w:hAnsi="Arial" w:cs="Arial"/>
        </w:rPr>
        <w:t>,</w:t>
      </w:r>
      <w:r w:rsidRPr="002A77FC">
        <w:rPr>
          <w:rFonts w:ascii="Arial" w:hAnsi="Arial" w:cs="Arial"/>
        </w:rPr>
        <w:t xml:space="preserve"> and conclusions are made carefully.</w:t>
      </w:r>
    </w:p>
    <w:p w14:paraId="6BAC2818" w14:textId="77777777" w:rsidR="00AA01AD" w:rsidRPr="002A77FC" w:rsidRDefault="00AA01AD" w:rsidP="00012868">
      <w:pPr>
        <w:pStyle w:val="Heading2"/>
        <w:rPr>
          <w:rFonts w:ascii="Arial" w:hAnsi="Arial" w:cs="Arial"/>
          <w:color w:val="auto"/>
        </w:rPr>
      </w:pPr>
      <w:bookmarkStart w:id="46" w:name="_Toc230268843"/>
      <w:r w:rsidRPr="002A77FC">
        <w:rPr>
          <w:rFonts w:ascii="Arial" w:hAnsi="Arial" w:cs="Arial"/>
          <w:color w:val="auto"/>
        </w:rPr>
        <w:t xml:space="preserve">3.7 Research Quality and </w:t>
      </w:r>
      <w:proofErr w:type="spellStart"/>
      <w:r w:rsidRPr="002A77FC">
        <w:rPr>
          <w:rFonts w:ascii="Arial" w:hAnsi="Arial" w:cs="Arial"/>
          <w:color w:val="auto"/>
        </w:rPr>
        <w:t>Rigour</w:t>
      </w:r>
      <w:bookmarkEnd w:id="46"/>
      <w:proofErr w:type="spellEnd"/>
    </w:p>
    <w:p w14:paraId="468B1130" w14:textId="23010291" w:rsidR="00AA01AD" w:rsidRPr="002A77FC" w:rsidRDefault="00AA01AD" w:rsidP="00012868">
      <w:pPr>
        <w:spacing w:line="360" w:lineRule="auto"/>
        <w:jc w:val="both"/>
        <w:rPr>
          <w:rFonts w:ascii="Arial" w:hAnsi="Arial" w:cs="Arial"/>
        </w:rPr>
      </w:pPr>
      <w:r w:rsidRPr="002A77FC">
        <w:rPr>
          <w:rFonts w:ascii="Arial" w:hAnsi="Arial" w:cs="Arial"/>
        </w:rPr>
        <w:t xml:space="preserve">The multiple data sources are used to </w:t>
      </w:r>
      <w:r w:rsidR="00331863" w:rsidRPr="002A77FC">
        <w:rPr>
          <w:rFonts w:ascii="Arial" w:hAnsi="Arial" w:cs="Arial"/>
        </w:rPr>
        <w:t>en</w:t>
      </w:r>
      <w:r w:rsidRPr="002A77FC">
        <w:rPr>
          <w:rFonts w:ascii="Arial" w:hAnsi="Arial" w:cs="Arial"/>
        </w:rPr>
        <w:t xml:space="preserve">sure construct validity. It comprises company publications, news and sector analysis. Cross-source triangulation helps in reducing </w:t>
      </w:r>
      <w:r w:rsidR="00331863" w:rsidRPr="002A77FC">
        <w:rPr>
          <w:rFonts w:ascii="Arial" w:hAnsi="Arial" w:cs="Arial"/>
        </w:rPr>
        <w:t>the utilis</w:t>
      </w:r>
      <w:r w:rsidRPr="002A77FC">
        <w:rPr>
          <w:rFonts w:ascii="Arial" w:hAnsi="Arial" w:cs="Arial"/>
        </w:rPr>
        <w:t>ation of individual narratives. The construction of important constructs is made apparent in the conceptual framework</w:t>
      </w:r>
      <w:r w:rsidR="003942EE" w:rsidRPr="002A77FC">
        <w:rPr>
          <w:rFonts w:ascii="Arial" w:hAnsi="Arial" w:cs="Arial"/>
        </w:rPr>
        <w:t xml:space="preserve"> (Li et al., 2021)</w:t>
      </w:r>
      <w:r w:rsidRPr="002A77FC">
        <w:rPr>
          <w:rFonts w:ascii="Arial" w:hAnsi="Arial" w:cs="Arial"/>
        </w:rPr>
        <w:t xml:space="preserve">. This provides uniformity in the interpretation. However, because of the secondary data, construct validity is low. The available data in the case of Unilever may be settling on strategic messaging and may not always be dealing with practices, which determine validity. Information and inferences become strong as internal validity. The findings assist in providing logical reasoning in this paper as </w:t>
      </w:r>
      <w:r w:rsidR="00331863" w:rsidRPr="002A77FC">
        <w:rPr>
          <w:rFonts w:ascii="Arial" w:hAnsi="Arial" w:cs="Arial"/>
        </w:rPr>
        <w:t>they</w:t>
      </w:r>
      <w:r w:rsidRPr="002A77FC">
        <w:rPr>
          <w:rFonts w:ascii="Arial" w:hAnsi="Arial" w:cs="Arial"/>
        </w:rPr>
        <w:t xml:space="preserve"> help in linking back to the conceptual framework. There is </w:t>
      </w:r>
      <w:r w:rsidR="00331863" w:rsidRPr="002A77FC">
        <w:rPr>
          <w:rFonts w:ascii="Arial" w:hAnsi="Arial" w:cs="Arial"/>
        </w:rPr>
        <w:t xml:space="preserve">a </w:t>
      </w:r>
      <w:r w:rsidRPr="002A77FC">
        <w:rPr>
          <w:rFonts w:ascii="Arial" w:hAnsi="Arial" w:cs="Arial"/>
        </w:rPr>
        <w:t xml:space="preserve">systematic interpretation as opposed to </w:t>
      </w:r>
      <w:r w:rsidR="00331863" w:rsidRPr="002A77FC">
        <w:rPr>
          <w:rFonts w:ascii="Arial" w:hAnsi="Arial" w:cs="Arial"/>
        </w:rPr>
        <w:t xml:space="preserve">a </w:t>
      </w:r>
      <w:r w:rsidRPr="002A77FC">
        <w:rPr>
          <w:rFonts w:ascii="Arial" w:hAnsi="Arial" w:cs="Arial"/>
        </w:rPr>
        <w:t>selective interpretation</w:t>
      </w:r>
      <w:r w:rsidR="003942EE" w:rsidRPr="002A77FC">
        <w:rPr>
          <w:rFonts w:ascii="Arial" w:hAnsi="Arial" w:cs="Arial"/>
        </w:rPr>
        <w:t xml:space="preserve"> (Meijer et al., 2021)</w:t>
      </w:r>
      <w:r w:rsidRPr="002A77FC">
        <w:rPr>
          <w:rFonts w:ascii="Arial" w:hAnsi="Arial" w:cs="Arial"/>
        </w:rPr>
        <w:t>. It cannot</w:t>
      </w:r>
      <w:r w:rsidR="00331863" w:rsidRPr="002A77FC">
        <w:rPr>
          <w:rFonts w:ascii="Arial" w:hAnsi="Arial" w:cs="Arial"/>
        </w:rPr>
        <w:t>,</w:t>
      </w:r>
      <w:r w:rsidRPr="002A77FC">
        <w:rPr>
          <w:rFonts w:ascii="Arial" w:hAnsi="Arial" w:cs="Arial"/>
        </w:rPr>
        <w:t xml:space="preserve"> however</w:t>
      </w:r>
      <w:r w:rsidR="00331863" w:rsidRPr="002A77FC">
        <w:rPr>
          <w:rFonts w:ascii="Arial" w:hAnsi="Arial" w:cs="Arial"/>
        </w:rPr>
        <w:t>,</w:t>
      </w:r>
      <w:r w:rsidRPr="002A77FC">
        <w:rPr>
          <w:rFonts w:ascii="Arial" w:hAnsi="Arial" w:cs="Arial"/>
        </w:rPr>
        <w:t xml:space="preserve"> be achieved to determine causal relationships. Several external factors would have an effect on the sustainability of communication and reputation. In the case of Unilever, media narrative in conjunction with antecedent brand image may not only affect communication but also more.</w:t>
      </w:r>
    </w:p>
    <w:p w14:paraId="601F2AA3" w14:textId="1A6A37EE" w:rsidR="00AA01AD" w:rsidRPr="002A77FC" w:rsidRDefault="00AA01AD" w:rsidP="00012868">
      <w:pPr>
        <w:spacing w:line="360" w:lineRule="auto"/>
        <w:jc w:val="both"/>
        <w:rPr>
          <w:rFonts w:ascii="Arial" w:hAnsi="Arial" w:cs="Arial"/>
        </w:rPr>
      </w:pPr>
      <w:r w:rsidRPr="002A77FC">
        <w:rPr>
          <w:rFonts w:ascii="Arial" w:hAnsi="Arial" w:cs="Arial"/>
        </w:rPr>
        <w:t xml:space="preserve">Analytical generalisation is used in place of statistical generalisation to deal with external validity. It will also be aimed at being able to extrapolate findings to </w:t>
      </w:r>
      <w:r w:rsidRPr="002A77FC">
        <w:rPr>
          <w:rFonts w:ascii="Arial" w:hAnsi="Arial" w:cs="Arial"/>
        </w:rPr>
        <w:lastRenderedPageBreak/>
        <w:t>populations. Unilever experiences are utili</w:t>
      </w:r>
      <w:r w:rsidR="00331863" w:rsidRPr="002A77FC">
        <w:rPr>
          <w:rFonts w:ascii="Arial" w:hAnsi="Arial" w:cs="Arial"/>
        </w:rPr>
        <w:t>s</w:t>
      </w:r>
      <w:r w:rsidRPr="002A77FC">
        <w:rPr>
          <w:rFonts w:ascii="Arial" w:hAnsi="Arial" w:cs="Arial"/>
        </w:rPr>
        <w:t>ed in applying ideas to conceptual knowledge</w:t>
      </w:r>
      <w:r w:rsidR="003942EE" w:rsidRPr="002A77FC">
        <w:rPr>
          <w:rFonts w:ascii="Arial" w:hAnsi="Arial" w:cs="Arial"/>
        </w:rPr>
        <w:t xml:space="preserve"> (Kalogiannidis et al., 2025)</w:t>
      </w:r>
      <w:r w:rsidRPr="002A77FC">
        <w:rPr>
          <w:rFonts w:ascii="Arial" w:hAnsi="Arial" w:cs="Arial"/>
        </w:rPr>
        <w:t>. Nevertheless, there is a low level of generalisability. This is an extremely tight situation in the UK</w:t>
      </w:r>
      <w:r w:rsidR="00331863" w:rsidRPr="002A77FC">
        <w:rPr>
          <w:rFonts w:ascii="Arial" w:hAnsi="Arial" w:cs="Arial"/>
        </w:rPr>
        <w:t>,</w:t>
      </w:r>
      <w:r w:rsidRPr="002A77FC">
        <w:rPr>
          <w:rFonts w:ascii="Arial" w:hAnsi="Arial" w:cs="Arial"/>
        </w:rPr>
        <w:t xml:space="preserve"> which is highly consumer-dominated and conscious. Results might not </w:t>
      </w:r>
      <w:r w:rsidR="00331863" w:rsidRPr="002A77FC">
        <w:rPr>
          <w:rFonts w:ascii="Arial" w:hAnsi="Arial" w:cs="Arial"/>
        </w:rPr>
        <w:t>apply</w:t>
      </w:r>
      <w:r w:rsidRPr="002A77FC">
        <w:rPr>
          <w:rFonts w:ascii="Arial" w:hAnsi="Arial" w:cs="Arial"/>
        </w:rPr>
        <w:t xml:space="preserve"> to smaller or less developed markets</w:t>
      </w:r>
      <w:r w:rsidR="003942EE" w:rsidRPr="002A77FC">
        <w:rPr>
          <w:rFonts w:ascii="Arial" w:hAnsi="Arial" w:cs="Arial"/>
        </w:rPr>
        <w:t xml:space="preserve"> (Aggerholm and Thomsen, 2024)</w:t>
      </w:r>
      <w:r w:rsidRPr="002A77FC">
        <w:rPr>
          <w:rFonts w:ascii="Arial" w:hAnsi="Arial" w:cs="Arial"/>
        </w:rPr>
        <w:t xml:space="preserve">. Clear records of </w:t>
      </w:r>
      <w:r w:rsidR="00331863" w:rsidRPr="002A77FC">
        <w:rPr>
          <w:rFonts w:ascii="Arial" w:hAnsi="Arial" w:cs="Arial"/>
        </w:rPr>
        <w:t xml:space="preserve">the </w:t>
      </w:r>
      <w:r w:rsidRPr="002A77FC">
        <w:rPr>
          <w:rFonts w:ascii="Arial" w:hAnsi="Arial" w:cs="Arial"/>
        </w:rPr>
        <w:t>data source and analysis will be used to ensure the reliability. This enables repetition of the research. Secondary data</w:t>
      </w:r>
      <w:r w:rsidR="00331863" w:rsidRPr="002A77FC">
        <w:rPr>
          <w:rFonts w:ascii="Arial" w:hAnsi="Arial" w:cs="Arial"/>
        </w:rPr>
        <w:t>,</w:t>
      </w:r>
      <w:r w:rsidRPr="002A77FC">
        <w:rPr>
          <w:rFonts w:ascii="Arial" w:hAnsi="Arial" w:cs="Arial"/>
        </w:rPr>
        <w:t xml:space="preserve"> on the other hand</w:t>
      </w:r>
      <w:r w:rsidR="00331863" w:rsidRPr="002A77FC">
        <w:rPr>
          <w:rFonts w:ascii="Arial" w:hAnsi="Arial" w:cs="Arial"/>
        </w:rPr>
        <w:t>, is</w:t>
      </w:r>
      <w:r w:rsidRPr="002A77FC">
        <w:rPr>
          <w:rFonts w:ascii="Arial" w:hAnsi="Arial" w:cs="Arial"/>
        </w:rPr>
        <w:t xml:space="preserve"> biased. Favourable accounts can be provided by corporate sources. Analysis is also affected by </w:t>
      </w:r>
      <w:r w:rsidR="00331863" w:rsidRPr="002A77FC">
        <w:rPr>
          <w:rFonts w:ascii="Arial" w:hAnsi="Arial" w:cs="Arial"/>
        </w:rPr>
        <w:t xml:space="preserve">the </w:t>
      </w:r>
      <w:r w:rsidRPr="002A77FC">
        <w:rPr>
          <w:rFonts w:ascii="Arial" w:hAnsi="Arial" w:cs="Arial"/>
        </w:rPr>
        <w:t>interpretation by researchers. Such restrictions have been recognised to uphold rigour.</w:t>
      </w:r>
    </w:p>
    <w:p w14:paraId="26B3A501" w14:textId="77777777" w:rsidR="00AA01AD" w:rsidRPr="002A77FC" w:rsidRDefault="00AA01AD" w:rsidP="00012868">
      <w:pPr>
        <w:pStyle w:val="Heading2"/>
        <w:rPr>
          <w:rFonts w:ascii="Arial" w:hAnsi="Arial" w:cs="Arial"/>
          <w:color w:val="auto"/>
        </w:rPr>
      </w:pPr>
      <w:bookmarkStart w:id="47" w:name="_Toc230268844"/>
      <w:r w:rsidRPr="002A77FC">
        <w:rPr>
          <w:rFonts w:ascii="Arial" w:hAnsi="Arial" w:cs="Arial"/>
          <w:color w:val="auto"/>
        </w:rPr>
        <w:t>3.8 Ethical Considerations</w:t>
      </w:r>
      <w:bookmarkEnd w:id="47"/>
    </w:p>
    <w:p w14:paraId="54CDDF85" w14:textId="583D5208" w:rsidR="00AA01AD" w:rsidRPr="002A77FC" w:rsidRDefault="00AA01AD" w:rsidP="00012868">
      <w:pPr>
        <w:spacing w:line="360" w:lineRule="auto"/>
        <w:jc w:val="both"/>
        <w:rPr>
          <w:rFonts w:ascii="Arial" w:hAnsi="Arial" w:cs="Arial"/>
        </w:rPr>
      </w:pPr>
      <w:r w:rsidRPr="002A77FC">
        <w:rPr>
          <w:rFonts w:ascii="Arial" w:hAnsi="Arial" w:cs="Arial"/>
        </w:rPr>
        <w:t>The paper will be based solely on the secondary data that is publicly accessible. This results in the fact that there are no contradictions on the aspect of confidentiality and informed consent. The ethical liability</w:t>
      </w:r>
      <w:r w:rsidR="00331863" w:rsidRPr="002A77FC">
        <w:rPr>
          <w:rFonts w:ascii="Arial" w:hAnsi="Arial" w:cs="Arial"/>
        </w:rPr>
        <w:t>,</w:t>
      </w:r>
      <w:r w:rsidRPr="002A77FC">
        <w:rPr>
          <w:rFonts w:ascii="Arial" w:hAnsi="Arial" w:cs="Arial"/>
        </w:rPr>
        <w:t xml:space="preserve"> however, is not vanish in the usage of the open information. Discriminatory corporate tales could be found even in information relating to the masses. When it comes to Unilever, the information can dwell on achievements and discredit limitations</w:t>
      </w:r>
      <w:r w:rsidR="003942EE" w:rsidRPr="002A77FC">
        <w:rPr>
          <w:rFonts w:ascii="Arial" w:hAnsi="Arial" w:cs="Arial"/>
        </w:rPr>
        <w:t xml:space="preserve"> (Prieto et al., 2024)</w:t>
      </w:r>
      <w:r w:rsidRPr="002A77FC">
        <w:rPr>
          <w:rFonts w:ascii="Arial" w:hAnsi="Arial" w:cs="Arial"/>
        </w:rPr>
        <w:t xml:space="preserve">. It thus needs critical interpretation. This is done by making proper reference to the sources to counter plagiarism and enhance academic integrity. The research will strive to reflect information and not to be selective in reporting. </w:t>
      </w:r>
      <w:r w:rsidR="00331863" w:rsidRPr="002A77FC">
        <w:rPr>
          <w:rFonts w:ascii="Arial" w:hAnsi="Arial" w:cs="Arial"/>
        </w:rPr>
        <w:t>B</w:t>
      </w:r>
      <w:r w:rsidRPr="002A77FC">
        <w:rPr>
          <w:rFonts w:ascii="Arial" w:hAnsi="Arial" w:cs="Arial"/>
        </w:rPr>
        <w:t>ut interpretation is subjective</w:t>
      </w:r>
      <w:r w:rsidR="003942EE" w:rsidRPr="002A77FC">
        <w:rPr>
          <w:rFonts w:ascii="Arial" w:hAnsi="Arial" w:cs="Arial"/>
        </w:rPr>
        <w:t xml:space="preserve"> (Rashid et al., 2019)</w:t>
      </w:r>
      <w:r w:rsidRPr="002A77FC">
        <w:rPr>
          <w:rFonts w:ascii="Arial" w:hAnsi="Arial" w:cs="Arial"/>
        </w:rPr>
        <w:t xml:space="preserve">. There is no way to eliminate bias in research, especially when it comes to the analysis of complicated ways of communication. </w:t>
      </w:r>
      <w:r w:rsidR="00331863" w:rsidRPr="002A77FC">
        <w:rPr>
          <w:rFonts w:ascii="Arial" w:hAnsi="Arial" w:cs="Arial"/>
        </w:rPr>
        <w:t>S</w:t>
      </w:r>
      <w:r w:rsidRPr="002A77FC">
        <w:rPr>
          <w:rFonts w:ascii="Arial" w:hAnsi="Arial" w:cs="Arial"/>
        </w:rPr>
        <w:t xml:space="preserve">pecial care is taken </w:t>
      </w:r>
      <w:r w:rsidR="00331863" w:rsidRPr="002A77FC">
        <w:rPr>
          <w:rFonts w:ascii="Arial" w:hAnsi="Arial" w:cs="Arial"/>
        </w:rPr>
        <w:t>to</w:t>
      </w:r>
      <w:r w:rsidRPr="002A77FC">
        <w:rPr>
          <w:rFonts w:ascii="Arial" w:hAnsi="Arial" w:cs="Arial"/>
        </w:rPr>
        <w:t xml:space="preserve"> </w:t>
      </w:r>
      <w:r w:rsidR="00331863" w:rsidRPr="002A77FC">
        <w:rPr>
          <w:rFonts w:ascii="Arial" w:hAnsi="Arial" w:cs="Arial"/>
        </w:rPr>
        <w:t>avoid</w:t>
      </w:r>
      <w:r w:rsidRPr="002A77FC">
        <w:rPr>
          <w:rFonts w:ascii="Arial" w:hAnsi="Arial" w:cs="Arial"/>
        </w:rPr>
        <w:t xml:space="preserve"> </w:t>
      </w:r>
      <w:r w:rsidR="00331863" w:rsidRPr="002A77FC">
        <w:rPr>
          <w:rFonts w:ascii="Arial" w:hAnsi="Arial" w:cs="Arial"/>
        </w:rPr>
        <w:t>mis</w:t>
      </w:r>
      <w:r w:rsidRPr="002A77FC">
        <w:rPr>
          <w:rFonts w:ascii="Arial" w:hAnsi="Arial" w:cs="Arial"/>
        </w:rPr>
        <w:t>representing or harming its image. Results are given in an impartial way. The study fulfils the ethical principles of the university</w:t>
      </w:r>
      <w:r w:rsidR="00331863" w:rsidRPr="002A77FC">
        <w:rPr>
          <w:rFonts w:ascii="Arial" w:hAnsi="Arial" w:cs="Arial"/>
        </w:rPr>
        <w:t>,</w:t>
      </w:r>
      <w:r w:rsidRPr="002A77FC">
        <w:rPr>
          <w:rFonts w:ascii="Arial" w:hAnsi="Arial" w:cs="Arial"/>
        </w:rPr>
        <w:t xml:space="preserve"> and thus</w:t>
      </w:r>
      <w:r w:rsidR="00331863" w:rsidRPr="002A77FC">
        <w:rPr>
          <w:rFonts w:ascii="Arial" w:hAnsi="Arial" w:cs="Arial"/>
        </w:rPr>
        <w:t>,</w:t>
      </w:r>
      <w:r w:rsidRPr="002A77FC">
        <w:rPr>
          <w:rFonts w:ascii="Arial" w:hAnsi="Arial" w:cs="Arial"/>
        </w:rPr>
        <w:t xml:space="preserve"> responsible and transparent research practice is followed in the study.</w:t>
      </w:r>
    </w:p>
    <w:p w14:paraId="477CB481" w14:textId="77777777" w:rsidR="00AA01AD" w:rsidRPr="002A77FC" w:rsidRDefault="00AA01AD" w:rsidP="00012868">
      <w:pPr>
        <w:pStyle w:val="Heading2"/>
        <w:rPr>
          <w:rFonts w:ascii="Arial" w:hAnsi="Arial" w:cs="Arial"/>
          <w:color w:val="auto"/>
        </w:rPr>
      </w:pPr>
      <w:bookmarkStart w:id="48" w:name="_Toc230268845"/>
      <w:r w:rsidRPr="002A77FC">
        <w:rPr>
          <w:rFonts w:ascii="Arial" w:hAnsi="Arial" w:cs="Arial"/>
          <w:color w:val="auto"/>
        </w:rPr>
        <w:t>3.9 Chapter Summary</w:t>
      </w:r>
      <w:bookmarkEnd w:id="48"/>
    </w:p>
    <w:p w14:paraId="1625A1D7" w14:textId="40E83D30" w:rsidR="00AA01AD" w:rsidRPr="002A77FC" w:rsidRDefault="00AA01AD" w:rsidP="00012868">
      <w:pPr>
        <w:spacing w:line="360" w:lineRule="auto"/>
        <w:jc w:val="both"/>
        <w:rPr>
          <w:rFonts w:ascii="Arial" w:hAnsi="Arial" w:cs="Arial"/>
        </w:rPr>
      </w:pPr>
      <w:r w:rsidRPr="002A77FC">
        <w:rPr>
          <w:rFonts w:ascii="Arial" w:hAnsi="Arial" w:cs="Arial"/>
        </w:rPr>
        <w:t>The chapter has described the research approach</w:t>
      </w:r>
      <w:r w:rsidR="00331863" w:rsidRPr="002A77FC">
        <w:rPr>
          <w:rFonts w:ascii="Arial" w:hAnsi="Arial" w:cs="Arial"/>
        </w:rPr>
        <w:t>,</w:t>
      </w:r>
      <w:r w:rsidRPr="002A77FC">
        <w:rPr>
          <w:rFonts w:ascii="Arial" w:hAnsi="Arial" w:cs="Arial"/>
        </w:rPr>
        <w:t xml:space="preserve"> which was based on an interpretivist philosophy, </w:t>
      </w:r>
      <w:r w:rsidR="00331863" w:rsidRPr="002A77FC">
        <w:rPr>
          <w:rFonts w:ascii="Arial" w:hAnsi="Arial" w:cs="Arial"/>
        </w:rPr>
        <w:t xml:space="preserve">an </w:t>
      </w:r>
      <w:r w:rsidRPr="002A77FC">
        <w:rPr>
          <w:rFonts w:ascii="Arial" w:hAnsi="Arial" w:cs="Arial"/>
        </w:rPr>
        <w:t>abductive approach and the case study approach. This combination could be employed to explore the relationships between sustainability communication, perception and reputation that are complex and context-specific. However, they also have limitations on these options</w:t>
      </w:r>
      <w:r w:rsidR="003942EE" w:rsidRPr="002A77FC">
        <w:rPr>
          <w:rFonts w:ascii="Arial" w:hAnsi="Arial" w:cs="Arial"/>
        </w:rPr>
        <w:t xml:space="preserve"> (Siegrist, 2021)</w:t>
      </w:r>
      <w:r w:rsidRPr="002A77FC">
        <w:rPr>
          <w:rFonts w:ascii="Arial" w:hAnsi="Arial" w:cs="Arial"/>
        </w:rPr>
        <w:t>. Secondary data may be selective on narratives</w:t>
      </w:r>
      <w:r w:rsidR="00331863" w:rsidRPr="002A77FC">
        <w:rPr>
          <w:rFonts w:ascii="Arial" w:hAnsi="Arial" w:cs="Arial"/>
        </w:rPr>
        <w:t>,</w:t>
      </w:r>
      <w:r w:rsidRPr="002A77FC">
        <w:rPr>
          <w:rFonts w:ascii="Arial" w:hAnsi="Arial" w:cs="Arial"/>
        </w:rPr>
        <w:t xml:space="preserve"> and interpretation may be biased by the researcher. </w:t>
      </w:r>
      <w:r w:rsidRPr="002A77FC">
        <w:rPr>
          <w:rFonts w:ascii="Arial" w:hAnsi="Arial" w:cs="Arial"/>
        </w:rPr>
        <w:lastRenderedPageBreak/>
        <w:t>In the case of Unilever</w:t>
      </w:r>
      <w:r w:rsidR="00331863" w:rsidRPr="002A77FC">
        <w:rPr>
          <w:rFonts w:ascii="Arial" w:hAnsi="Arial" w:cs="Arial"/>
        </w:rPr>
        <w:t>,</w:t>
      </w:r>
      <w:r w:rsidRPr="002A77FC">
        <w:rPr>
          <w:rFonts w:ascii="Arial" w:hAnsi="Arial" w:cs="Arial"/>
        </w:rPr>
        <w:t xml:space="preserve"> the consequences are affected by the circumstances in the UK and cannot be generalised. Regardless of these limitations, the approach is suitable for the refinement of the theory. Chapter 4 will give the findings and analysis that will tie empirical evidence </w:t>
      </w:r>
      <w:r w:rsidR="00331863" w:rsidRPr="002A77FC">
        <w:rPr>
          <w:rFonts w:ascii="Arial" w:hAnsi="Arial" w:cs="Arial"/>
        </w:rPr>
        <w:t>to</w:t>
      </w:r>
      <w:r w:rsidRPr="002A77FC">
        <w:rPr>
          <w:rFonts w:ascii="Arial" w:hAnsi="Arial" w:cs="Arial"/>
        </w:rPr>
        <w:t xml:space="preserve"> the conceptual framework.</w:t>
      </w:r>
    </w:p>
    <w:p w14:paraId="3CBE7AF0" w14:textId="77777777" w:rsidR="00AA01AD" w:rsidRPr="002A77FC" w:rsidRDefault="00AA01AD" w:rsidP="00012868">
      <w:pPr>
        <w:spacing w:line="360" w:lineRule="auto"/>
        <w:jc w:val="both"/>
        <w:rPr>
          <w:rFonts w:ascii="Arial" w:hAnsi="Arial" w:cs="Arial"/>
        </w:rPr>
      </w:pPr>
    </w:p>
    <w:p w14:paraId="727F2E1D" w14:textId="77777777" w:rsidR="00AA01AD" w:rsidRPr="002A77FC" w:rsidRDefault="00AA01AD" w:rsidP="00012868">
      <w:pPr>
        <w:spacing w:line="360" w:lineRule="auto"/>
        <w:jc w:val="both"/>
        <w:rPr>
          <w:rFonts w:ascii="Arial" w:hAnsi="Arial" w:cs="Arial"/>
        </w:rPr>
      </w:pPr>
    </w:p>
    <w:p w14:paraId="3451FC9A" w14:textId="77777777" w:rsidR="006C421E" w:rsidRPr="002A77FC" w:rsidRDefault="006C421E" w:rsidP="00012868">
      <w:pPr>
        <w:spacing w:after="160" w:line="360" w:lineRule="auto"/>
        <w:jc w:val="both"/>
        <w:rPr>
          <w:rFonts w:ascii="Arial" w:hAnsi="Arial" w:cs="Arial"/>
        </w:rPr>
      </w:pPr>
      <w:r w:rsidRPr="002A77FC">
        <w:rPr>
          <w:rFonts w:ascii="Arial" w:hAnsi="Arial" w:cs="Arial"/>
        </w:rPr>
        <w:br w:type="page"/>
      </w:r>
    </w:p>
    <w:p w14:paraId="1A847921" w14:textId="4083D9DF" w:rsidR="006C421E" w:rsidRPr="002A77FC" w:rsidRDefault="006C421E" w:rsidP="00A808C0">
      <w:pPr>
        <w:pStyle w:val="Heading1"/>
      </w:pPr>
      <w:bookmarkStart w:id="49" w:name="_Toc230268846"/>
      <w:r w:rsidRPr="002A77FC">
        <w:lastRenderedPageBreak/>
        <w:t>Chapter 4: Findings</w:t>
      </w:r>
      <w:bookmarkEnd w:id="49"/>
      <w:r w:rsidRPr="002A77FC">
        <w:t> </w:t>
      </w:r>
    </w:p>
    <w:p w14:paraId="364F2BD3" w14:textId="77777777" w:rsidR="00527880" w:rsidRPr="002A77FC" w:rsidRDefault="00527880" w:rsidP="00012868">
      <w:pPr>
        <w:pStyle w:val="Heading2"/>
        <w:rPr>
          <w:rFonts w:ascii="Arial" w:hAnsi="Arial" w:cs="Arial"/>
          <w:color w:val="auto"/>
        </w:rPr>
      </w:pPr>
      <w:bookmarkStart w:id="50" w:name="_Toc230268847"/>
      <w:r w:rsidRPr="002A77FC">
        <w:rPr>
          <w:rFonts w:ascii="Arial" w:hAnsi="Arial" w:cs="Arial"/>
          <w:color w:val="auto"/>
        </w:rPr>
        <w:t>4.1 Introduction</w:t>
      </w:r>
      <w:bookmarkEnd w:id="50"/>
    </w:p>
    <w:p w14:paraId="1650FF38" w14:textId="461A7E63"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 xml:space="preserve">This chapter provides the results of the secondary analysis of data for five consumer companies in the UK market - Unilever UK, Procter &amp; Gamble UK, Nestlé UK, Reckitt UK and </w:t>
      </w:r>
      <w:r w:rsidR="007B595B" w:rsidRPr="002A77FC">
        <w:rPr>
          <w:rFonts w:ascii="Arial" w:hAnsi="Arial" w:cs="Arial"/>
          <w:lang w:bidi="ar-SA"/>
        </w:rPr>
        <w:t>Henkel</w:t>
      </w:r>
      <w:r w:rsidRPr="002A77FC">
        <w:rPr>
          <w:rFonts w:ascii="Arial" w:hAnsi="Arial" w:cs="Arial"/>
          <w:lang w:bidi="ar-SA"/>
        </w:rPr>
        <w:t>. This chapter will be organised according to the theme of this study. This includes the overview of the company, sustainability communication strategy and results. It's not a descriptive account of corporate sustainability (Maley, Moeller and Ting, 2020). It is to evaluate sustainability communication's impact on reputation. Our UK focus is because green claims are in the spotlight. UK consumers (57%) believed companies didn't disclose data on environmental, social and economic effects in 2024. The CMA reviewed claims in FMCG and only finished its review of Unilever claims when there were changes to some products. This is a huge, but dangerous, opportunity when marketing sustainability. </w:t>
      </w:r>
    </w:p>
    <w:p w14:paraId="3C5BB859" w14:textId="77777777" w:rsidR="00527880" w:rsidRPr="002A77FC" w:rsidRDefault="00527880" w:rsidP="00012868">
      <w:pPr>
        <w:pStyle w:val="Heading2"/>
        <w:rPr>
          <w:rFonts w:ascii="Arial" w:hAnsi="Arial" w:cs="Arial"/>
          <w:color w:val="auto"/>
        </w:rPr>
      </w:pPr>
      <w:bookmarkStart w:id="51" w:name="_Toc230268848"/>
      <w:r w:rsidRPr="002A77FC">
        <w:rPr>
          <w:rFonts w:ascii="Arial" w:hAnsi="Arial" w:cs="Arial"/>
          <w:color w:val="auto"/>
        </w:rPr>
        <w:t>4.2 Case Study 1: Unilever UK</w:t>
      </w:r>
      <w:bookmarkEnd w:id="51"/>
    </w:p>
    <w:p w14:paraId="25BC003B" w14:textId="77777777" w:rsidR="00527880" w:rsidRPr="002A77FC" w:rsidRDefault="00527880" w:rsidP="00012868">
      <w:pPr>
        <w:pStyle w:val="Heading3"/>
        <w:rPr>
          <w:rFonts w:ascii="Arial" w:hAnsi="Arial" w:cs="Arial"/>
          <w:color w:val="auto"/>
        </w:rPr>
      </w:pPr>
      <w:bookmarkStart w:id="52" w:name="_Toc230268849"/>
      <w:r w:rsidRPr="002A77FC">
        <w:rPr>
          <w:rFonts w:ascii="Arial" w:hAnsi="Arial" w:cs="Arial"/>
          <w:color w:val="auto"/>
        </w:rPr>
        <w:t>4.2.1 Introduction and Background</w:t>
      </w:r>
      <w:bookmarkEnd w:id="52"/>
    </w:p>
    <w:p w14:paraId="38619F5E" w14:textId="7DFB1646"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 xml:space="preserve">Unilever is one of the world's largest FMCG companies, and </w:t>
      </w:r>
      <w:r w:rsidRPr="002A77FC">
        <w:rPr>
          <w:rFonts w:ascii="Arial" w:hAnsi="Arial" w:cs="Arial"/>
          <w:lang w:val="en-US"/>
        </w:rPr>
        <w:t xml:space="preserve">is </w:t>
      </w:r>
      <w:r w:rsidRPr="002A77FC">
        <w:rPr>
          <w:rFonts w:ascii="Arial" w:hAnsi="Arial" w:cs="Arial"/>
          <w:lang w:bidi="ar-SA"/>
        </w:rPr>
        <w:t xml:space="preserve">prominent in the UK market in beauty and personal care, home care, food and ice cream. It is the proprietor of Dove, Comfort, Cif, Hellmann's and Magnum brands (Javed </w:t>
      </w:r>
      <w:r w:rsidRPr="002A77FC">
        <w:rPr>
          <w:rFonts w:ascii="Arial" w:hAnsi="Arial" w:cs="Arial"/>
          <w:i/>
          <w:iCs/>
          <w:lang w:bidi="ar-SA"/>
        </w:rPr>
        <w:t>et al.</w:t>
      </w:r>
      <w:r w:rsidRPr="002A77FC">
        <w:rPr>
          <w:rFonts w:ascii="Arial" w:hAnsi="Arial" w:cs="Arial"/>
          <w:lang w:bidi="ar-SA"/>
        </w:rPr>
        <w:t>, 2024). In 2024</w:t>
      </w:r>
      <w:r w:rsidRPr="002A77FC">
        <w:rPr>
          <w:rFonts w:ascii="Arial" w:hAnsi="Arial" w:cs="Arial"/>
          <w:lang w:val="en-US"/>
        </w:rPr>
        <w:t>,</w:t>
      </w:r>
      <w:r w:rsidRPr="002A77FC">
        <w:rPr>
          <w:rFonts w:ascii="Arial" w:hAnsi="Arial" w:cs="Arial"/>
          <w:lang w:bidi="ar-SA"/>
        </w:rPr>
        <w:t xml:space="preserve"> Unilever's revenue is €60.8 billion worldwide, proving the foundation for its UK market share (Unilever PLC, 2025). It's important to our story as it has been positioning itself as sustainable for many years now. </w:t>
      </w:r>
    </w:p>
    <w:p w14:paraId="142B9B03" w14:textId="77777777" w:rsidR="00527880" w:rsidRPr="002A77FC" w:rsidRDefault="00527880" w:rsidP="00012868">
      <w:pPr>
        <w:pStyle w:val="Heading3"/>
        <w:rPr>
          <w:rFonts w:ascii="Arial" w:hAnsi="Arial" w:cs="Arial"/>
          <w:color w:val="auto"/>
        </w:rPr>
      </w:pPr>
      <w:bookmarkStart w:id="53" w:name="_Toc230268850"/>
      <w:r w:rsidRPr="002A77FC">
        <w:rPr>
          <w:rFonts w:ascii="Arial" w:hAnsi="Arial" w:cs="Arial"/>
          <w:color w:val="auto"/>
        </w:rPr>
        <w:t>4.2.2 The Challenge or Opportunity</w:t>
      </w:r>
      <w:bookmarkEnd w:id="53"/>
    </w:p>
    <w:p w14:paraId="67E68EF7" w14:textId="24927C15"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Unilever's challenge is to be seen. Sustainability communications offer an opportunity to differentiate</w:t>
      </w:r>
      <w:r w:rsidRPr="002A77FC">
        <w:rPr>
          <w:rFonts w:ascii="Arial" w:hAnsi="Arial" w:cs="Arial"/>
          <w:lang w:val="en-US"/>
        </w:rPr>
        <w:t>,</w:t>
      </w:r>
      <w:r w:rsidRPr="002A77FC">
        <w:rPr>
          <w:rFonts w:ascii="Arial" w:hAnsi="Arial" w:cs="Arial"/>
          <w:lang w:bidi="ar-SA"/>
        </w:rPr>
        <w:t xml:space="preserve"> but clearly many FMCG companies in the UK are also involved in ESG communications (Koh, Burnasheva and Suh, 2022). Unilever is not engaging in communications about sustainability. It does. The question is how they</w:t>
      </w:r>
      <w:r w:rsidRPr="002A77FC">
        <w:rPr>
          <w:rFonts w:ascii="Arial" w:hAnsi="Arial" w:cs="Arial"/>
          <w:lang w:val="en-US"/>
        </w:rPr>
        <w:t xml:space="preserve"> can</w:t>
      </w:r>
      <w:r w:rsidRPr="002A77FC">
        <w:rPr>
          <w:rFonts w:ascii="Arial" w:hAnsi="Arial" w:cs="Arial"/>
          <w:lang w:bidi="ar-SA"/>
        </w:rPr>
        <w:t xml:space="preserve"> be? The signalling theory assumes that the signalling of sustainability brings about lower uncertainty. But even the sustainability leader is challenged when statements are too visual, abstract or even general in the 2023-24 CMA inquiry. </w:t>
      </w:r>
    </w:p>
    <w:p w14:paraId="13078182" w14:textId="77777777" w:rsidR="00527880" w:rsidRPr="002A77FC" w:rsidRDefault="00527880" w:rsidP="00012868">
      <w:pPr>
        <w:pStyle w:val="Heading3"/>
        <w:rPr>
          <w:rFonts w:ascii="Arial" w:hAnsi="Arial" w:cs="Arial"/>
          <w:color w:val="auto"/>
        </w:rPr>
      </w:pPr>
      <w:bookmarkStart w:id="54" w:name="_Toc230268851"/>
      <w:r w:rsidRPr="002A77FC">
        <w:rPr>
          <w:rFonts w:ascii="Arial" w:hAnsi="Arial" w:cs="Arial"/>
          <w:color w:val="auto"/>
        </w:rPr>
        <w:lastRenderedPageBreak/>
        <w:t>4.2.3 The Approach and Implementation</w:t>
      </w:r>
      <w:bookmarkEnd w:id="54"/>
    </w:p>
    <w:p w14:paraId="220021A9" w14:textId="7DD03AEC"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Unilever has a broad range of sustainability communications. These range from reports to brand communication, product and packaging claims and communications. The 2024 report promotes sustainability as contributing to the business transformation, not only social change. That's fair due to the importance of brand consistency (Unilever PLC, 2025). The firm is also linking sustainability to the brands, which puts it on the customers' radar. This is more effective than producing company ESG reports. But there's a risk. Lies about a Cif, Comfort or Dove claim will impact products and companies (Flores</w:t>
      </w:r>
      <w:r w:rsidRPr="002A77FC">
        <w:rPr>
          <w:rFonts w:ascii="Cambria Math" w:hAnsi="Cambria Math" w:cs="Cambria Math"/>
          <w:lang w:bidi="ar-SA"/>
        </w:rPr>
        <w:t>‐</w:t>
      </w:r>
      <w:r w:rsidRPr="002A77FC">
        <w:rPr>
          <w:rFonts w:ascii="Arial" w:hAnsi="Arial" w:cs="Arial"/>
          <w:lang w:bidi="ar-SA"/>
        </w:rPr>
        <w:t>Hernández, Cambra</w:t>
      </w:r>
      <w:r w:rsidRPr="002A77FC">
        <w:rPr>
          <w:rFonts w:ascii="Cambria Math" w:hAnsi="Cambria Math" w:cs="Cambria Math"/>
          <w:lang w:bidi="ar-SA"/>
        </w:rPr>
        <w:t>‐</w:t>
      </w:r>
      <w:r w:rsidRPr="002A77FC">
        <w:rPr>
          <w:rFonts w:ascii="Arial" w:hAnsi="Arial" w:cs="Arial"/>
          <w:lang w:bidi="ar-SA"/>
        </w:rPr>
        <w:t>Fierro and Vázquez</w:t>
      </w:r>
      <w:r w:rsidRPr="002A77FC">
        <w:rPr>
          <w:rFonts w:ascii="Cambria Math" w:hAnsi="Cambria Math" w:cs="Cambria Math"/>
          <w:lang w:bidi="ar-SA"/>
        </w:rPr>
        <w:t>‐</w:t>
      </w:r>
      <w:r w:rsidRPr="002A77FC">
        <w:rPr>
          <w:rFonts w:ascii="Arial" w:hAnsi="Arial" w:cs="Arial"/>
          <w:lang w:bidi="ar-SA"/>
        </w:rPr>
        <w:t xml:space="preserve">Carrasco, 2020). This is good and bad for legitimacy theory. Unilever wants legitimacy in unsustainable claims, but this is difficult if there is a perception that society is being deceived. The Competition and Markets Authority (CMA) inquiry is complete (November 2024), but </w:t>
      </w:r>
      <w:r w:rsidRPr="002A77FC">
        <w:rPr>
          <w:rFonts w:ascii="Arial" w:hAnsi="Arial" w:cs="Arial"/>
          <w:lang w:val="en-US"/>
        </w:rPr>
        <w:t xml:space="preserve">it </w:t>
      </w:r>
      <w:r w:rsidRPr="002A77FC">
        <w:rPr>
          <w:rFonts w:ascii="Arial" w:hAnsi="Arial" w:cs="Arial"/>
          <w:lang w:bidi="ar-SA"/>
        </w:rPr>
        <w:t>recommended and saw changes to some claims. This suggests improvement, rather than immunity. </w:t>
      </w:r>
    </w:p>
    <w:p w14:paraId="7A18042B" w14:textId="77777777" w:rsidR="00527880" w:rsidRPr="002A77FC" w:rsidRDefault="00527880" w:rsidP="00012868">
      <w:pPr>
        <w:pStyle w:val="Heading3"/>
        <w:rPr>
          <w:rFonts w:ascii="Arial" w:hAnsi="Arial" w:cs="Arial"/>
          <w:color w:val="auto"/>
        </w:rPr>
      </w:pPr>
      <w:bookmarkStart w:id="55" w:name="_Toc230268852"/>
      <w:r w:rsidRPr="002A77FC">
        <w:rPr>
          <w:rFonts w:ascii="Arial" w:hAnsi="Arial" w:cs="Arial"/>
          <w:color w:val="auto"/>
        </w:rPr>
        <w:t>4.2.4 Outcomes and Results</w:t>
      </w:r>
      <w:bookmarkEnd w:id="55"/>
    </w:p>
    <w:p w14:paraId="0664D32C" w14:textId="3871781B"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Unilever's 2024 turnover of 60.8 billion euros and 4.2% (organic) growth prove that the sustainability challenges to business did not put profits out of business (Unilever PLC, 2025). But goodwill has limits</w:t>
      </w:r>
      <w:r w:rsidRPr="002A77FC">
        <w:rPr>
          <w:rFonts w:ascii="Arial" w:hAnsi="Arial" w:cs="Arial"/>
          <w:lang w:val="en-US"/>
        </w:rPr>
        <w:t>.</w:t>
      </w:r>
      <w:r w:rsidRPr="002A77FC">
        <w:rPr>
          <w:rFonts w:ascii="Arial" w:hAnsi="Arial" w:cs="Arial"/>
          <w:lang w:bidi="ar-SA"/>
        </w:rPr>
        <w:t xml:space="preserve"> CMA proves we will be more closely scrutinised for good communication. Unilever is good for sustainability when it's tangible, measurable and helps transform products. It's less good if it looks like it's symbolic. The moral of this story is: Unilever is good for sustainability, but not good for publicity. </w:t>
      </w:r>
    </w:p>
    <w:p w14:paraId="6505E186" w14:textId="77777777" w:rsidR="00527880" w:rsidRPr="002A77FC" w:rsidRDefault="00527880" w:rsidP="00012868">
      <w:pPr>
        <w:spacing w:before="120" w:after="120" w:line="360" w:lineRule="auto"/>
        <w:jc w:val="both"/>
        <w:rPr>
          <w:rFonts w:ascii="Arial" w:hAnsi="Arial" w:cs="Arial"/>
          <w:lang w:bidi="ar-SA"/>
        </w:rPr>
      </w:pPr>
    </w:p>
    <w:p w14:paraId="2DA9C7C5" w14:textId="77777777" w:rsidR="00527880" w:rsidRPr="002A77FC" w:rsidRDefault="00527880" w:rsidP="00012868">
      <w:pPr>
        <w:pStyle w:val="Heading2"/>
        <w:rPr>
          <w:rFonts w:ascii="Arial" w:hAnsi="Arial" w:cs="Arial"/>
          <w:color w:val="auto"/>
        </w:rPr>
      </w:pPr>
      <w:bookmarkStart w:id="56" w:name="_Toc230268853"/>
      <w:r w:rsidRPr="002A77FC">
        <w:rPr>
          <w:rFonts w:ascii="Arial" w:hAnsi="Arial" w:cs="Arial"/>
          <w:color w:val="auto"/>
        </w:rPr>
        <w:t>4.3 Case Study 2: Procter &amp; Gamble UK</w:t>
      </w:r>
      <w:bookmarkEnd w:id="56"/>
    </w:p>
    <w:p w14:paraId="65618E3B" w14:textId="77777777" w:rsidR="00527880" w:rsidRPr="002A77FC" w:rsidRDefault="00527880" w:rsidP="00012868">
      <w:pPr>
        <w:pStyle w:val="Heading3"/>
        <w:rPr>
          <w:rFonts w:ascii="Arial" w:hAnsi="Arial" w:cs="Arial"/>
          <w:color w:val="auto"/>
        </w:rPr>
      </w:pPr>
      <w:bookmarkStart w:id="57" w:name="_Toc230268854"/>
      <w:r w:rsidRPr="002A77FC">
        <w:rPr>
          <w:rFonts w:ascii="Arial" w:hAnsi="Arial" w:cs="Arial"/>
          <w:color w:val="auto"/>
        </w:rPr>
        <w:t>4.3.1 Introduction and Background</w:t>
      </w:r>
      <w:bookmarkEnd w:id="57"/>
    </w:p>
    <w:p w14:paraId="6A9A5A14" w14:textId="195E5539"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Procter &amp; Gamble is a global consumer products company which competes in the UK in the household, grooming, beauty, baby and personal care. Ariel, Fairy, Gillette, Pampers and Head &amp; Shoulders are amongst these. In 2024 financial year Procter &amp; Gamble (P&amp;G) global net sales were US$84.0 billion with organic sales growth of 4% (Procter &amp; Gamble, 2025). It is branding well in terms of sustainability</w:t>
      </w:r>
      <w:r w:rsidRPr="002A77FC">
        <w:rPr>
          <w:rFonts w:ascii="Arial" w:hAnsi="Arial" w:cs="Arial"/>
          <w:lang w:val="en-US"/>
        </w:rPr>
        <w:t>,</w:t>
      </w:r>
      <w:r w:rsidRPr="002A77FC">
        <w:rPr>
          <w:rFonts w:ascii="Arial" w:hAnsi="Arial" w:cs="Arial"/>
          <w:lang w:bidi="ar-SA"/>
        </w:rPr>
        <w:t xml:space="preserve"> but more from a process rather than an emotive point of view. </w:t>
      </w:r>
    </w:p>
    <w:p w14:paraId="3E7E99A4" w14:textId="77777777" w:rsidR="00527880" w:rsidRPr="002A77FC" w:rsidRDefault="00527880" w:rsidP="00012868">
      <w:pPr>
        <w:pStyle w:val="Heading3"/>
        <w:rPr>
          <w:rFonts w:ascii="Arial" w:hAnsi="Arial" w:cs="Arial"/>
          <w:color w:val="auto"/>
        </w:rPr>
      </w:pPr>
      <w:bookmarkStart w:id="58" w:name="_Toc230268855"/>
      <w:r w:rsidRPr="002A77FC">
        <w:rPr>
          <w:rFonts w:ascii="Arial" w:hAnsi="Arial" w:cs="Arial"/>
          <w:color w:val="auto"/>
        </w:rPr>
        <w:lastRenderedPageBreak/>
        <w:t>4.3.2 The Challenge or Opportunity</w:t>
      </w:r>
      <w:bookmarkEnd w:id="58"/>
    </w:p>
    <w:p w14:paraId="19D90365" w14:textId="6562C64D"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There is a translation issue for P&amp;G. It is pledging big on ESG but consumer</w:t>
      </w:r>
      <w:r w:rsidRPr="002A77FC">
        <w:rPr>
          <w:rFonts w:ascii="Arial" w:hAnsi="Arial" w:cs="Arial"/>
          <w:lang w:val="en-US"/>
        </w:rPr>
        <w:t>s</w:t>
      </w:r>
      <w:r w:rsidRPr="002A77FC">
        <w:rPr>
          <w:rFonts w:ascii="Arial" w:hAnsi="Arial" w:cs="Arial"/>
          <w:lang w:bidi="ar-SA"/>
        </w:rPr>
        <w:t xml:space="preserve"> may relate more to the brand than the company. So it impacts </w:t>
      </w:r>
      <w:r w:rsidRPr="002A77FC">
        <w:rPr>
          <w:rFonts w:ascii="Arial" w:hAnsi="Arial" w:cs="Arial"/>
        </w:rPr>
        <w:t>the</w:t>
      </w:r>
      <w:r w:rsidRPr="002A77FC">
        <w:rPr>
          <w:rFonts w:ascii="Arial" w:hAnsi="Arial" w:cs="Arial"/>
          <w:lang w:bidi="ar-SA"/>
        </w:rPr>
        <w:t xml:space="preserve"> </w:t>
      </w:r>
      <w:r w:rsidRPr="002A77FC">
        <w:rPr>
          <w:rFonts w:ascii="Arial" w:hAnsi="Arial" w:cs="Arial"/>
        </w:rPr>
        <w:t>brand-to-</w:t>
      </w:r>
      <w:r w:rsidRPr="002A77FC">
        <w:rPr>
          <w:rFonts w:ascii="Arial" w:hAnsi="Arial" w:cs="Arial"/>
          <w:lang w:bidi="ar-SA"/>
        </w:rPr>
        <w:t xml:space="preserve">consumer conversion. It's argued that positive associations build reputation (Batırlık, Gencer and Akkucuk, 2022). However, P&amp;G shows </w:t>
      </w:r>
      <w:r w:rsidRPr="002A77FC">
        <w:rPr>
          <w:rFonts w:ascii="Arial" w:hAnsi="Arial" w:cs="Arial"/>
          <w:lang w:val="en-US"/>
        </w:rPr>
        <w:t xml:space="preserve">that </w:t>
      </w:r>
      <w:r w:rsidRPr="002A77FC">
        <w:rPr>
          <w:rFonts w:ascii="Arial" w:hAnsi="Arial" w:cs="Arial"/>
          <w:lang w:bidi="ar-SA"/>
        </w:rPr>
        <w:t>associations need to be seen and important at the product level. If consumers don't regularly buy Fairy and Gillette in the context of "going green", the reputation gain from the sustainability marketing is minimal.</w:t>
      </w:r>
    </w:p>
    <w:p w14:paraId="3563F2DD" w14:textId="77777777" w:rsidR="00527880" w:rsidRPr="002A77FC" w:rsidRDefault="00527880" w:rsidP="00012868">
      <w:pPr>
        <w:pStyle w:val="Heading3"/>
        <w:rPr>
          <w:rFonts w:ascii="Arial" w:hAnsi="Arial" w:cs="Arial"/>
          <w:color w:val="auto"/>
        </w:rPr>
      </w:pPr>
      <w:bookmarkStart w:id="59" w:name="_Toc230268856"/>
      <w:r w:rsidRPr="002A77FC">
        <w:rPr>
          <w:rFonts w:ascii="Arial" w:hAnsi="Arial" w:cs="Arial"/>
          <w:color w:val="auto"/>
        </w:rPr>
        <w:t>4.3.3 The Approach and Implementation</w:t>
      </w:r>
      <w:bookmarkEnd w:id="59"/>
    </w:p>
    <w:p w14:paraId="5668D277" w14:textId="3A299E2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This is how P&amp;G markets this through its Ambition 2030, Environmental, Social and Governance (ESG) reporting and through innovation. On climate change, it is targeting a net</w:t>
      </w:r>
      <w:r w:rsidRPr="002A77FC">
        <w:rPr>
          <w:rFonts w:ascii="Arial" w:hAnsi="Arial" w:cs="Arial"/>
          <w:lang w:val="en-US"/>
        </w:rPr>
        <w:t>-</w:t>
      </w:r>
      <w:r w:rsidRPr="002A77FC">
        <w:rPr>
          <w:rFonts w:ascii="Arial" w:hAnsi="Arial" w:cs="Arial"/>
          <w:lang w:bidi="ar-SA"/>
        </w:rPr>
        <w:t>zero supply chain and operations in 2040. It reported a reduction of 58% (from 2010) in Scope 1 and 2 emissions by 2023 and more than 99% renewable electricity used in 2023 (Procter &amp; Gamble, 2025). Another corporate focus for communications is packaging. P&amp;G wants to catch up in this packaging space by having all products in consumer packaging recyclable or reusable by 2030 and reduce the use of virgin petroleum-based plastics (Bae, Lee and Luan, 2023). This strategy is measured (not theoretical) because it's in terms of operations. But it is not necessarily distinctive like Unilever. P&amp;G sounds like a low-cost producer (rather than an active and engaged environmental advocate). This might not be greenwash</w:t>
      </w:r>
      <w:r w:rsidRPr="002A77FC">
        <w:rPr>
          <w:rFonts w:ascii="Arial" w:hAnsi="Arial" w:cs="Arial"/>
          <w:lang w:val="en-US"/>
        </w:rPr>
        <w:t>,</w:t>
      </w:r>
      <w:r w:rsidRPr="002A77FC">
        <w:rPr>
          <w:rFonts w:ascii="Arial" w:hAnsi="Arial" w:cs="Arial"/>
          <w:lang w:bidi="ar-SA"/>
        </w:rPr>
        <w:t xml:space="preserve"> but might not be trust. Proper proof might not impact reputation if the consumer hasn't heard. </w:t>
      </w:r>
    </w:p>
    <w:p w14:paraId="0E5EF254" w14:textId="77777777" w:rsidR="00527880" w:rsidRPr="002A77FC" w:rsidRDefault="00527880" w:rsidP="00012868">
      <w:pPr>
        <w:pStyle w:val="Heading3"/>
        <w:rPr>
          <w:rFonts w:ascii="Arial" w:hAnsi="Arial" w:cs="Arial"/>
          <w:color w:val="auto"/>
        </w:rPr>
      </w:pPr>
      <w:bookmarkStart w:id="60" w:name="_Toc230268857"/>
      <w:r w:rsidRPr="002A77FC">
        <w:rPr>
          <w:rFonts w:ascii="Arial" w:hAnsi="Arial" w:cs="Arial"/>
          <w:color w:val="auto"/>
        </w:rPr>
        <w:t>4.3.4 Outcomes and Results</w:t>
      </w:r>
      <w:bookmarkEnd w:id="60"/>
    </w:p>
    <w:p w14:paraId="6B8344D9" w14:textId="3C90A59D"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Good sales; average reputation. P&amp;G's 2024 revenues are high</w:t>
      </w:r>
      <w:r w:rsidRPr="002A77FC">
        <w:rPr>
          <w:rFonts w:ascii="Arial" w:hAnsi="Arial" w:cs="Arial"/>
          <w:lang w:val="en-US"/>
        </w:rPr>
        <w:t>,</w:t>
      </w:r>
      <w:r w:rsidRPr="002A77FC">
        <w:rPr>
          <w:rFonts w:ascii="Arial" w:hAnsi="Arial" w:cs="Arial"/>
          <w:lang w:bidi="ar-SA"/>
        </w:rPr>
        <w:t xml:space="preserve"> but sustainability is not the top element of its brand for consumers in the UK. But it has evidence (signalling theory). But these are somewhat blocked by brands (Procter &amp; Gamble, 2025). So indeed</w:t>
      </w:r>
      <w:r w:rsidRPr="002A77FC">
        <w:rPr>
          <w:rFonts w:ascii="Arial" w:hAnsi="Arial" w:cs="Arial"/>
          <w:lang w:val="en-US"/>
        </w:rPr>
        <w:t>,</w:t>
      </w:r>
      <w:r w:rsidRPr="002A77FC">
        <w:rPr>
          <w:rFonts w:ascii="Arial" w:hAnsi="Arial" w:cs="Arial"/>
          <w:lang w:bidi="ar-SA"/>
        </w:rPr>
        <w:t xml:space="preserve"> P&amp;G provides an example of a technically quite good but reputationally poor sustainability communication. It's effective when it's product</w:t>
      </w:r>
      <w:r w:rsidRPr="002A77FC">
        <w:rPr>
          <w:rFonts w:ascii="Arial" w:hAnsi="Arial" w:cs="Arial"/>
          <w:lang w:val="en-US"/>
        </w:rPr>
        <w:t>-</w:t>
      </w:r>
      <w:r w:rsidRPr="002A77FC">
        <w:rPr>
          <w:rFonts w:ascii="Arial" w:hAnsi="Arial" w:cs="Arial"/>
          <w:lang w:bidi="ar-SA"/>
        </w:rPr>
        <w:t>based</w:t>
      </w:r>
      <w:r w:rsidRPr="002A77FC">
        <w:rPr>
          <w:rFonts w:ascii="Arial" w:hAnsi="Arial" w:cs="Arial"/>
          <w:lang w:val="en-US"/>
        </w:rPr>
        <w:t>.</w:t>
      </w:r>
      <w:r w:rsidRPr="002A77FC">
        <w:rPr>
          <w:rFonts w:ascii="Arial" w:hAnsi="Arial" w:cs="Arial"/>
          <w:lang w:bidi="ar-SA"/>
        </w:rPr>
        <w:t xml:space="preserve"> It's not as effective when</w:t>
      </w:r>
      <w:r w:rsidRPr="002A77FC">
        <w:rPr>
          <w:rFonts w:ascii="Arial" w:hAnsi="Arial" w:cs="Arial"/>
          <w:lang w:val="en-US"/>
        </w:rPr>
        <w:t xml:space="preserve"> it’s</w:t>
      </w:r>
      <w:r w:rsidRPr="002A77FC">
        <w:rPr>
          <w:rFonts w:ascii="Arial" w:hAnsi="Arial" w:cs="Arial"/>
          <w:lang w:bidi="ar-SA"/>
        </w:rPr>
        <w:t xml:space="preserve"> corporate, impersonal and emotionless (Camilleri </w:t>
      </w:r>
      <w:r w:rsidRPr="002A77FC">
        <w:rPr>
          <w:rFonts w:ascii="Arial" w:hAnsi="Arial" w:cs="Arial"/>
          <w:i/>
          <w:iCs/>
          <w:lang w:bidi="ar-SA"/>
        </w:rPr>
        <w:t>et al.</w:t>
      </w:r>
      <w:r w:rsidRPr="002A77FC">
        <w:rPr>
          <w:rFonts w:ascii="Arial" w:hAnsi="Arial" w:cs="Arial"/>
          <w:lang w:bidi="ar-SA"/>
        </w:rPr>
        <w:t>, 2023). </w:t>
      </w:r>
    </w:p>
    <w:p w14:paraId="25F52BD9" w14:textId="77777777" w:rsidR="00527880" w:rsidRPr="002A77FC" w:rsidRDefault="00527880" w:rsidP="00012868">
      <w:pPr>
        <w:pStyle w:val="Heading2"/>
        <w:rPr>
          <w:rFonts w:ascii="Arial" w:hAnsi="Arial" w:cs="Arial"/>
          <w:color w:val="auto"/>
        </w:rPr>
      </w:pPr>
      <w:bookmarkStart w:id="61" w:name="_Toc230268858"/>
      <w:r w:rsidRPr="002A77FC">
        <w:rPr>
          <w:rFonts w:ascii="Arial" w:hAnsi="Arial" w:cs="Arial"/>
          <w:color w:val="auto"/>
        </w:rPr>
        <w:lastRenderedPageBreak/>
        <w:t>4.4 Case Study 3: Nestlé UK</w:t>
      </w:r>
      <w:bookmarkEnd w:id="61"/>
    </w:p>
    <w:p w14:paraId="499FF6C7" w14:textId="77777777" w:rsidR="00527880" w:rsidRPr="002A77FC" w:rsidRDefault="00527880" w:rsidP="00012868">
      <w:pPr>
        <w:pStyle w:val="Heading3"/>
        <w:rPr>
          <w:rFonts w:ascii="Arial" w:hAnsi="Arial" w:cs="Arial"/>
          <w:color w:val="auto"/>
        </w:rPr>
      </w:pPr>
      <w:bookmarkStart w:id="62" w:name="_Toc230268859"/>
      <w:r w:rsidRPr="002A77FC">
        <w:rPr>
          <w:rFonts w:ascii="Arial" w:hAnsi="Arial" w:cs="Arial"/>
          <w:color w:val="auto"/>
        </w:rPr>
        <w:t>4.4.1 Introduction and Background</w:t>
      </w:r>
      <w:bookmarkEnd w:id="62"/>
    </w:p>
    <w:p w14:paraId="18CB0D0F" w14:textId="508CE4B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Nestlé is a global food and beverage manufacturer, and is highly represented in the UK confectionery, coffee, nutrition, cereals and pets market segments. It competes with Unilever for food products, and with other global FMCG (fast</w:t>
      </w:r>
      <w:r w:rsidRPr="002A77FC">
        <w:rPr>
          <w:rFonts w:ascii="Arial" w:hAnsi="Arial" w:cs="Arial"/>
          <w:lang w:val="en-US"/>
        </w:rPr>
        <w:t>-</w:t>
      </w:r>
      <w:r w:rsidRPr="002A77FC">
        <w:rPr>
          <w:rFonts w:ascii="Arial" w:hAnsi="Arial" w:cs="Arial"/>
          <w:lang w:bidi="ar-SA"/>
        </w:rPr>
        <w:t>moving consumer goods) multinationals for general household products (Nestlé, 2025). In 2024</w:t>
      </w:r>
      <w:r w:rsidRPr="002A77FC">
        <w:rPr>
          <w:rFonts w:ascii="Arial" w:hAnsi="Arial" w:cs="Arial"/>
          <w:lang w:val="en-US"/>
        </w:rPr>
        <w:t>,</w:t>
      </w:r>
      <w:r w:rsidRPr="002A77FC">
        <w:rPr>
          <w:rFonts w:ascii="Arial" w:hAnsi="Arial" w:cs="Arial"/>
          <w:lang w:bidi="ar-SA"/>
        </w:rPr>
        <w:t xml:space="preserve"> Nestlé announced its green progress</w:t>
      </w:r>
      <w:r w:rsidRPr="002A77FC">
        <w:rPr>
          <w:rFonts w:ascii="Arial" w:hAnsi="Arial" w:cs="Arial"/>
          <w:lang w:val="en-US"/>
        </w:rPr>
        <w:t>,</w:t>
      </w:r>
      <w:r w:rsidRPr="002A77FC">
        <w:rPr>
          <w:rFonts w:ascii="Arial" w:hAnsi="Arial" w:cs="Arial"/>
          <w:lang w:bidi="ar-SA"/>
        </w:rPr>
        <w:t xml:space="preserve"> which includes a net 20.38% improvement in GHG emissions (2018 base year) (Nestlé, 2025). But it doesn't have as squeaky-clean </w:t>
      </w:r>
      <w:r w:rsidRPr="002A77FC">
        <w:rPr>
          <w:rFonts w:ascii="Arial" w:hAnsi="Arial" w:cs="Arial"/>
          <w:lang w:val="en-US"/>
        </w:rPr>
        <w:t xml:space="preserve">an </w:t>
      </w:r>
      <w:r w:rsidRPr="002A77FC">
        <w:rPr>
          <w:rFonts w:ascii="Arial" w:hAnsi="Arial" w:cs="Arial"/>
          <w:lang w:bidi="ar-SA"/>
        </w:rPr>
        <w:t>image as Unilever. </w:t>
      </w:r>
    </w:p>
    <w:p w14:paraId="40C0A6FB" w14:textId="77777777" w:rsidR="00527880" w:rsidRPr="002A77FC" w:rsidRDefault="00527880" w:rsidP="00012868">
      <w:pPr>
        <w:pStyle w:val="Heading3"/>
        <w:rPr>
          <w:rFonts w:ascii="Arial" w:hAnsi="Arial" w:cs="Arial"/>
          <w:color w:val="auto"/>
        </w:rPr>
      </w:pPr>
      <w:bookmarkStart w:id="63" w:name="_Toc230268860"/>
      <w:r w:rsidRPr="002A77FC">
        <w:rPr>
          <w:rFonts w:ascii="Arial" w:hAnsi="Arial" w:cs="Arial"/>
          <w:color w:val="auto"/>
        </w:rPr>
        <w:t>4.4.2 The Challenge or Opportunity</w:t>
      </w:r>
      <w:bookmarkEnd w:id="63"/>
    </w:p>
    <w:p w14:paraId="39D2BD4E" w14:textId="09E78656"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Nestlé's problem is legitim</w:t>
      </w:r>
      <w:r w:rsidRPr="002A77FC">
        <w:rPr>
          <w:rFonts w:ascii="Arial" w:hAnsi="Arial" w:cs="Arial"/>
          <w:lang w:val="en-US"/>
        </w:rPr>
        <w:t>ate</w:t>
      </w:r>
      <w:r w:rsidRPr="002A77FC">
        <w:rPr>
          <w:rFonts w:ascii="Arial" w:hAnsi="Arial" w:cs="Arial"/>
          <w:lang w:bidi="ar-SA"/>
        </w:rPr>
        <w:t xml:space="preserve">. The current sustainability communication is seen in the light of past public scandals like water, counselling or power. Legitimation theory states </w:t>
      </w:r>
      <w:r w:rsidRPr="002A77FC">
        <w:rPr>
          <w:rFonts w:ascii="Arial" w:hAnsi="Arial" w:cs="Arial"/>
          <w:lang w:val="en-US"/>
        </w:rPr>
        <w:t xml:space="preserve">that </w:t>
      </w:r>
      <w:r w:rsidRPr="002A77FC">
        <w:rPr>
          <w:rFonts w:ascii="Arial" w:hAnsi="Arial" w:cs="Arial"/>
          <w:lang w:bidi="ar-SA"/>
        </w:rPr>
        <w:t>fresh legitimacy for firms occurs when social norms are satisfied (Jones, 2019). The problem is shown by Nestlé</w:t>
      </w:r>
      <w:r w:rsidRPr="002A77FC">
        <w:rPr>
          <w:rFonts w:ascii="Arial" w:hAnsi="Arial" w:cs="Arial"/>
          <w:lang w:val="en-US"/>
        </w:rPr>
        <w:t>.</w:t>
      </w:r>
      <w:r w:rsidRPr="002A77FC">
        <w:rPr>
          <w:rFonts w:ascii="Arial" w:hAnsi="Arial" w:cs="Arial"/>
          <w:lang w:bidi="ar-SA"/>
        </w:rPr>
        <w:t xml:space="preserve"> When trust is low, the defence messages are interpreted by the stakeholders to be </w:t>
      </w:r>
      <w:r w:rsidRPr="002A77FC">
        <w:rPr>
          <w:rFonts w:ascii="Arial" w:hAnsi="Arial" w:cs="Arial"/>
          <w:lang w:val="en-US"/>
        </w:rPr>
        <w:t xml:space="preserve">about </w:t>
      </w:r>
      <w:r w:rsidRPr="002A77FC">
        <w:rPr>
          <w:rFonts w:ascii="Arial" w:hAnsi="Arial" w:cs="Arial"/>
          <w:lang w:bidi="ar-SA"/>
        </w:rPr>
        <w:t xml:space="preserve">sustainability. The upside is to show change, but the downside is </w:t>
      </w:r>
      <w:r w:rsidRPr="002A77FC">
        <w:rPr>
          <w:rFonts w:ascii="Arial" w:hAnsi="Arial" w:cs="Arial"/>
          <w:lang w:val="en-US"/>
        </w:rPr>
        <w:t xml:space="preserve">that </w:t>
      </w:r>
      <w:r w:rsidRPr="002A77FC">
        <w:rPr>
          <w:rFonts w:ascii="Arial" w:hAnsi="Arial" w:cs="Arial"/>
          <w:lang w:bidi="ar-SA"/>
        </w:rPr>
        <w:t>messages are preëvaluated and ignored.</w:t>
      </w:r>
    </w:p>
    <w:p w14:paraId="64B5362C" w14:textId="77777777" w:rsidR="00527880" w:rsidRPr="002A77FC" w:rsidRDefault="00527880" w:rsidP="00012868">
      <w:pPr>
        <w:pStyle w:val="Heading3"/>
        <w:rPr>
          <w:rFonts w:ascii="Arial" w:hAnsi="Arial" w:cs="Arial"/>
          <w:color w:val="auto"/>
        </w:rPr>
      </w:pPr>
      <w:bookmarkStart w:id="64" w:name="_Toc230268861"/>
      <w:r w:rsidRPr="002A77FC">
        <w:rPr>
          <w:rFonts w:ascii="Arial" w:hAnsi="Arial" w:cs="Arial"/>
          <w:color w:val="auto"/>
        </w:rPr>
        <w:t>4.4.3 The Approach and Implementation</w:t>
      </w:r>
      <w:bookmarkEnd w:id="64"/>
    </w:p>
    <w:p w14:paraId="16EC11D9" w14:textId="0D94D5E2"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Sustainability reports, net zero targets, responsible sourcing policy, packaging reduction targets and regenerative agriculture are among the sustainability measures Nestlé uses. It tracks in its 2024 Creating Shared Value that it is well on the way to a 50% GHG emissions reduction (on a 2018 baseline) by 2030, and that it will be net zero by 2050. In 2024</w:t>
      </w:r>
      <w:r w:rsidRPr="002A77FC">
        <w:rPr>
          <w:rFonts w:ascii="Arial" w:hAnsi="Arial" w:cs="Arial"/>
          <w:lang w:val="en-US"/>
        </w:rPr>
        <w:t>,</w:t>
      </w:r>
      <w:r w:rsidRPr="002A77FC">
        <w:rPr>
          <w:rFonts w:ascii="Arial" w:hAnsi="Arial" w:cs="Arial"/>
          <w:lang w:bidi="ar-SA"/>
        </w:rPr>
        <w:t xml:space="preserve"> 93.5% of key commodities assessed were deforestation-free (Nestlé, 2025). Figures are important to send signals. But it's hard to put into action. The food-beverage industry's sustainability concerns its supply chains, dairy methane emissions, packaging and sourcing. These are issues difficult to comprehend. That means Nestlé has a challenge to engage the public in terms of technicality. Shoppers will be suspicious of their marketing due to their prejudices. </w:t>
      </w:r>
    </w:p>
    <w:p w14:paraId="79757FD4" w14:textId="77777777" w:rsidR="00527880" w:rsidRPr="002A77FC" w:rsidRDefault="00527880" w:rsidP="00012868">
      <w:pPr>
        <w:pStyle w:val="Heading3"/>
        <w:rPr>
          <w:rFonts w:ascii="Arial" w:hAnsi="Arial" w:cs="Arial"/>
          <w:color w:val="auto"/>
        </w:rPr>
      </w:pPr>
      <w:bookmarkStart w:id="65" w:name="_Toc230268862"/>
      <w:r w:rsidRPr="002A77FC">
        <w:rPr>
          <w:rFonts w:ascii="Arial" w:hAnsi="Arial" w:cs="Arial"/>
          <w:color w:val="auto"/>
        </w:rPr>
        <w:t>4.4.4 Outcomes and Results</w:t>
      </w:r>
      <w:bookmarkEnd w:id="65"/>
    </w:p>
    <w:p w14:paraId="2BB5EB97" w14:textId="390F5B4B"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 xml:space="preserve">Nestlé is not all successful. Its sustainable narrative is boosted by a 20.38% reduction. But there's </w:t>
      </w:r>
      <w:r w:rsidRPr="002A77FC">
        <w:rPr>
          <w:rFonts w:ascii="Arial" w:hAnsi="Arial" w:cs="Arial"/>
        </w:rPr>
        <w:t>a lot of</w:t>
      </w:r>
      <w:r w:rsidRPr="002A77FC">
        <w:rPr>
          <w:rFonts w:ascii="Arial" w:hAnsi="Arial" w:cs="Arial"/>
          <w:lang w:bidi="ar-SA"/>
        </w:rPr>
        <w:t xml:space="preserve"> downside for big food. In 2024, activists have said the top ten UK </w:t>
      </w:r>
      <w:r w:rsidRPr="002A77FC">
        <w:rPr>
          <w:rFonts w:ascii="Arial" w:hAnsi="Arial" w:cs="Arial"/>
          <w:lang w:bidi="ar-SA"/>
        </w:rPr>
        <w:lastRenderedPageBreak/>
        <w:t>food producers are responsible for 477 million tonnes of carbon dioxide emissions in 2022 (Nestlé, 2025). Th</w:t>
      </w:r>
      <w:r w:rsidRPr="002A77FC">
        <w:rPr>
          <w:rFonts w:ascii="Arial" w:hAnsi="Arial" w:cs="Arial"/>
        </w:rPr>
        <w:t>ese</w:t>
      </w:r>
      <w:r w:rsidRPr="002A77FC">
        <w:rPr>
          <w:rFonts w:ascii="Arial" w:hAnsi="Arial" w:cs="Arial"/>
          <w:lang w:bidi="ar-SA"/>
        </w:rPr>
        <w:t xml:space="preserve"> criticisms pervade specific allegations (Cheng and Huang, 2025). Nestlé's proof but not necessarily trusted Stakeholder confidence is aimed at through successful communications, with history, fact and perception colliding. </w:t>
      </w:r>
    </w:p>
    <w:p w14:paraId="7D1BD831" w14:textId="77777777" w:rsidR="00527880" w:rsidRPr="002A77FC" w:rsidRDefault="00527880" w:rsidP="00012868">
      <w:pPr>
        <w:pStyle w:val="Heading2"/>
        <w:rPr>
          <w:rFonts w:ascii="Arial" w:hAnsi="Arial" w:cs="Arial"/>
          <w:color w:val="auto"/>
        </w:rPr>
      </w:pPr>
      <w:bookmarkStart w:id="66" w:name="_Toc230268863"/>
      <w:r w:rsidRPr="002A77FC">
        <w:rPr>
          <w:rFonts w:ascii="Arial" w:hAnsi="Arial" w:cs="Arial"/>
          <w:color w:val="auto"/>
        </w:rPr>
        <w:t>4.5 Case Study 4: Reckitt UK</w:t>
      </w:r>
      <w:bookmarkEnd w:id="66"/>
    </w:p>
    <w:p w14:paraId="3041D5EC" w14:textId="77777777" w:rsidR="00527880" w:rsidRPr="002A77FC" w:rsidRDefault="00527880" w:rsidP="00012868">
      <w:pPr>
        <w:pStyle w:val="Heading3"/>
        <w:rPr>
          <w:rFonts w:ascii="Arial" w:hAnsi="Arial" w:cs="Arial"/>
          <w:color w:val="auto"/>
        </w:rPr>
      </w:pPr>
      <w:bookmarkStart w:id="67" w:name="_Toc230268864"/>
      <w:r w:rsidRPr="002A77FC">
        <w:rPr>
          <w:rFonts w:ascii="Arial" w:hAnsi="Arial" w:cs="Arial"/>
          <w:color w:val="auto"/>
        </w:rPr>
        <w:t>4.5.1 Introduction and Background</w:t>
      </w:r>
      <w:bookmarkEnd w:id="67"/>
    </w:p>
    <w:p w14:paraId="68B89DD1" w14:textId="536415D9"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Reckitt is a British multibillion-dollar consumer goods company that owns lots of brands in the categories of health and hygiene, and nutrition. It's behind the brand names of products Dettol, Lysol, Finish, Durex, Gaviscon and Nurofen (Gomez-Trujillo, Velez-Ocampo and Gonzalez-Perez, 2020). It's one of cleaning, personal care and households for Unilever and P&amp;G. It's</w:t>
      </w:r>
      <w:r w:rsidRPr="002A77FC">
        <w:rPr>
          <w:rFonts w:ascii="Arial" w:hAnsi="Arial" w:cs="Arial"/>
          <w:lang w:val="en-US"/>
        </w:rPr>
        <w:t xml:space="preserve"> </w:t>
      </w:r>
      <w:r w:rsidRPr="002A77FC">
        <w:rPr>
          <w:rFonts w:ascii="Arial" w:hAnsi="Arial" w:cs="Arial"/>
          <w:lang w:bidi="ar-SA"/>
        </w:rPr>
        <w:t>interesting because its social sustainability messages are connected with health and hygiene, not environmentalism. This provides it with an opportunity.</w:t>
      </w:r>
    </w:p>
    <w:p w14:paraId="0D8B4806" w14:textId="77777777" w:rsidR="00527880" w:rsidRPr="002A77FC" w:rsidRDefault="00527880" w:rsidP="00012868">
      <w:pPr>
        <w:pStyle w:val="Heading3"/>
        <w:rPr>
          <w:rFonts w:ascii="Arial" w:hAnsi="Arial" w:cs="Arial"/>
          <w:color w:val="auto"/>
        </w:rPr>
      </w:pPr>
      <w:bookmarkStart w:id="68" w:name="_Toc230268865"/>
      <w:r w:rsidRPr="002A77FC">
        <w:rPr>
          <w:rFonts w:ascii="Arial" w:hAnsi="Arial" w:cs="Arial"/>
          <w:color w:val="auto"/>
        </w:rPr>
        <w:t>4.5.2 The Challenge or Opportunity</w:t>
      </w:r>
      <w:bookmarkEnd w:id="68"/>
    </w:p>
    <w:p w14:paraId="3356D3A4" w14:textId="081EFAD3"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 xml:space="preserve">How can and should Reckitt tie </w:t>
      </w:r>
      <w:r w:rsidRPr="002A77FC">
        <w:rPr>
          <w:rFonts w:ascii="Arial" w:hAnsi="Arial" w:cs="Arial"/>
        </w:rPr>
        <w:t>its</w:t>
      </w:r>
      <w:r w:rsidRPr="002A77FC">
        <w:rPr>
          <w:rFonts w:ascii="Arial" w:hAnsi="Arial" w:cs="Arial"/>
          <w:lang w:bidi="ar-SA"/>
        </w:rPr>
        <w:t xml:space="preserve"> brands to sustainability</w:t>
      </w:r>
      <w:r w:rsidRPr="002A77FC">
        <w:rPr>
          <w:rFonts w:ascii="Arial" w:hAnsi="Arial" w:cs="Arial"/>
          <w:lang w:val="en-US"/>
        </w:rPr>
        <w:t>?</w:t>
      </w:r>
      <w:r w:rsidRPr="002A77FC">
        <w:rPr>
          <w:rFonts w:ascii="Arial" w:hAnsi="Arial" w:cs="Arial"/>
          <w:lang w:bidi="ar-SA"/>
        </w:rPr>
        <w:t xml:space="preserve"> </w:t>
      </w:r>
      <w:r w:rsidRPr="002A77FC">
        <w:rPr>
          <w:rFonts w:ascii="Arial" w:hAnsi="Arial" w:cs="Arial"/>
          <w:lang w:val="en-US"/>
        </w:rPr>
        <w:t>They</w:t>
      </w:r>
      <w:r w:rsidRPr="002A77FC">
        <w:rPr>
          <w:rFonts w:ascii="Arial" w:hAnsi="Arial" w:cs="Arial"/>
          <w:lang w:bidi="ar-SA"/>
        </w:rPr>
        <w:t xml:space="preserve"> are good towards hygiene and health products. If sustainability claims enhance safety, accessibility, well-being and ethical practices, they may improve the brand image (Peng and Zhang, 2022). But what about assured governance? In 2024</w:t>
      </w:r>
      <w:r w:rsidRPr="002A77FC">
        <w:rPr>
          <w:rFonts w:ascii="Arial" w:hAnsi="Arial" w:cs="Arial"/>
          <w:lang w:val="en-US"/>
        </w:rPr>
        <w:t>,</w:t>
      </w:r>
      <w:r w:rsidRPr="002A77FC">
        <w:rPr>
          <w:rFonts w:ascii="Arial" w:hAnsi="Arial" w:cs="Arial"/>
          <w:lang w:bidi="ar-SA"/>
        </w:rPr>
        <w:t xml:space="preserve"> Reckitt had investors worried over an investigation of undisclosed liabilities of its Middle East operation and falling share price (Reckitt, 2026). This is significant as it is not about sustainability. Reputations can be damaged due to poor governance. </w:t>
      </w:r>
    </w:p>
    <w:p w14:paraId="2501FCAB" w14:textId="77777777" w:rsidR="00527880" w:rsidRPr="002A77FC" w:rsidRDefault="00527880" w:rsidP="00012868">
      <w:pPr>
        <w:pStyle w:val="Heading3"/>
        <w:rPr>
          <w:rFonts w:ascii="Arial" w:hAnsi="Arial" w:cs="Arial"/>
          <w:color w:val="auto"/>
        </w:rPr>
      </w:pPr>
      <w:bookmarkStart w:id="69" w:name="_Toc230268866"/>
      <w:r w:rsidRPr="002A77FC">
        <w:rPr>
          <w:rFonts w:ascii="Arial" w:hAnsi="Arial" w:cs="Arial"/>
          <w:color w:val="auto"/>
        </w:rPr>
        <w:t>4.5.3 The Approach and Implementation</w:t>
      </w:r>
      <w:bookmarkEnd w:id="69"/>
    </w:p>
    <w:p w14:paraId="5846E78A" w14:textId="55FDD7FF"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Reckitt is sustainable reporting, reformulating products, making social impact investments and setting emissions targets. It stated in its 2024 Report 34.9% of the net revenue came from more sustainable products (29.6% in 2023) (Reckitt, 2026). It is 69% below 2015 greenhouse gas emissions from its operations and made £34 million of social impact investments (Reckitt, 2026). These numbers improve the communication as they link them to their impact. Reckitt’s approach is also in line with stakeholder theory. They appeal to consumers as they offer safer products, the community</w:t>
      </w:r>
      <w:r w:rsidRPr="002A77FC">
        <w:rPr>
          <w:rFonts w:ascii="Arial" w:hAnsi="Arial" w:cs="Arial"/>
          <w:lang w:val="en-US"/>
        </w:rPr>
        <w:t>.</w:t>
      </w:r>
      <w:r w:rsidRPr="002A77FC">
        <w:rPr>
          <w:rFonts w:ascii="Arial" w:hAnsi="Arial" w:cs="Arial"/>
          <w:lang w:bidi="ar-SA"/>
        </w:rPr>
        <w:t xml:space="preserve"> </w:t>
      </w:r>
      <w:r w:rsidRPr="002A77FC">
        <w:rPr>
          <w:rFonts w:ascii="Arial" w:hAnsi="Arial" w:cs="Arial"/>
          <w:lang w:val="en-US"/>
        </w:rPr>
        <w:t>T</w:t>
      </w:r>
      <w:r w:rsidRPr="002A77FC">
        <w:rPr>
          <w:rFonts w:ascii="Arial" w:hAnsi="Arial" w:cs="Arial"/>
          <w:lang w:bidi="ar-SA"/>
        </w:rPr>
        <w:t xml:space="preserve">hey impact their social return on investment and shareholders because </w:t>
      </w:r>
      <w:r w:rsidRPr="002A77FC">
        <w:rPr>
          <w:rFonts w:ascii="Arial" w:hAnsi="Arial" w:cs="Arial"/>
          <w:lang w:bidi="ar-SA"/>
        </w:rPr>
        <w:lastRenderedPageBreak/>
        <w:t xml:space="preserve">they impact their profit return on investment (Leal Filho </w:t>
      </w:r>
      <w:r w:rsidRPr="002A77FC">
        <w:rPr>
          <w:rFonts w:ascii="Arial" w:hAnsi="Arial" w:cs="Arial"/>
          <w:i/>
          <w:iCs/>
          <w:lang w:bidi="ar-SA"/>
        </w:rPr>
        <w:t>et al.</w:t>
      </w:r>
      <w:r w:rsidRPr="002A77FC">
        <w:rPr>
          <w:rFonts w:ascii="Arial" w:hAnsi="Arial" w:cs="Arial"/>
          <w:lang w:bidi="ar-SA"/>
        </w:rPr>
        <w:t>, 2025). But there are risks. Sustainability communication and corporate sustainability are only effective with corporate governance and operational excellence. Corporate (or financial) governance may be questioned if unsound. This means that sustainability, as we found with Reckitt, may not stand for corporate sustainability. </w:t>
      </w:r>
    </w:p>
    <w:p w14:paraId="332D748C" w14:textId="77777777" w:rsidR="00527880" w:rsidRPr="002A77FC" w:rsidRDefault="00527880" w:rsidP="00012868">
      <w:pPr>
        <w:pStyle w:val="Heading3"/>
        <w:rPr>
          <w:rFonts w:ascii="Arial" w:hAnsi="Arial" w:cs="Arial"/>
          <w:color w:val="auto"/>
        </w:rPr>
      </w:pPr>
      <w:bookmarkStart w:id="70" w:name="_Toc230268867"/>
      <w:r w:rsidRPr="002A77FC">
        <w:rPr>
          <w:rFonts w:ascii="Arial" w:hAnsi="Arial" w:cs="Arial"/>
          <w:color w:val="auto"/>
        </w:rPr>
        <w:t>4.5.4 Outcomes and Results</w:t>
      </w:r>
      <w:bookmarkEnd w:id="70"/>
    </w:p>
    <w:p w14:paraId="71DCE969" w14:textId="7BC54AA5"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 xml:space="preserve">Reckitt is relatively effective with outcomes as it translates to products. Sustainability, health and hygiene are related. The growth in sales from sustainable products suggests sustainability is shifting from being a message to a strategy for the portfolio. But the </w:t>
      </w:r>
      <w:r w:rsidRPr="002A77FC">
        <w:rPr>
          <w:rFonts w:ascii="Arial" w:hAnsi="Arial" w:cs="Arial"/>
        </w:rPr>
        <w:t>Middle E</w:t>
      </w:r>
      <w:r w:rsidRPr="002A77FC">
        <w:rPr>
          <w:rFonts w:ascii="Arial" w:hAnsi="Arial" w:cs="Arial"/>
          <w:lang w:bidi="ar-SA"/>
        </w:rPr>
        <w:t>ast crisis shows trust is holistic (Mandarić, Hunjet and Kozina, 2021). You can't be good for sustainability and not for governance. It works well for Reckitt that sustainability is sensible. It is not so sensible to transform a bad governance reputation into a bad sustainability reputation. </w:t>
      </w:r>
    </w:p>
    <w:p w14:paraId="42F35715" w14:textId="4D28CEC4" w:rsidR="00527880" w:rsidRPr="002A77FC" w:rsidRDefault="00527880" w:rsidP="00012868">
      <w:pPr>
        <w:pStyle w:val="Heading2"/>
        <w:rPr>
          <w:rFonts w:ascii="Arial" w:hAnsi="Arial" w:cs="Arial"/>
          <w:color w:val="auto"/>
        </w:rPr>
      </w:pPr>
      <w:bookmarkStart w:id="71" w:name="_Toc230268868"/>
      <w:r w:rsidRPr="002A77FC">
        <w:rPr>
          <w:rFonts w:ascii="Arial" w:hAnsi="Arial" w:cs="Arial"/>
          <w:color w:val="auto"/>
        </w:rPr>
        <w:t xml:space="preserve">4.6 Case Study 5: </w:t>
      </w:r>
      <w:r w:rsidR="00383D3A" w:rsidRPr="002A77FC">
        <w:rPr>
          <w:rFonts w:ascii="Arial" w:hAnsi="Arial" w:cs="Arial"/>
          <w:color w:val="auto"/>
          <w:lang w:val="en-BD"/>
        </w:rPr>
        <w:t>Henkel</w:t>
      </w:r>
      <w:bookmarkEnd w:id="71"/>
    </w:p>
    <w:p w14:paraId="0C6096BA" w14:textId="77777777" w:rsidR="00527880" w:rsidRPr="002A77FC" w:rsidRDefault="00527880" w:rsidP="00012868">
      <w:pPr>
        <w:pStyle w:val="Heading3"/>
        <w:rPr>
          <w:rFonts w:ascii="Arial" w:hAnsi="Arial" w:cs="Arial"/>
          <w:color w:val="auto"/>
        </w:rPr>
      </w:pPr>
      <w:bookmarkStart w:id="72" w:name="_Toc230268869"/>
      <w:r w:rsidRPr="002A77FC">
        <w:rPr>
          <w:rFonts w:ascii="Arial" w:hAnsi="Arial" w:cs="Arial"/>
          <w:color w:val="auto"/>
        </w:rPr>
        <w:t>4.6.1 Introduction and Background</w:t>
      </w:r>
      <w:bookmarkEnd w:id="72"/>
    </w:p>
    <w:p w14:paraId="708305BB" w14:textId="417EB7AE" w:rsidR="00527880" w:rsidRPr="002A77FC" w:rsidRDefault="00383D3A" w:rsidP="00012868">
      <w:pPr>
        <w:spacing w:before="120" w:after="120" w:line="360" w:lineRule="auto"/>
        <w:jc w:val="both"/>
        <w:rPr>
          <w:rFonts w:ascii="Arial" w:hAnsi="Arial" w:cs="Arial"/>
          <w:lang w:bidi="ar-SA"/>
        </w:rPr>
      </w:pPr>
      <w:r w:rsidRPr="002A77FC">
        <w:rPr>
          <w:rFonts w:ascii="Arial" w:hAnsi="Arial" w:cs="Arial"/>
          <w:lang w:bidi="ar-SA"/>
        </w:rPr>
        <w:t>The German</w:t>
      </w:r>
      <w:r w:rsidRPr="002A77FC">
        <w:rPr>
          <w:rFonts w:ascii="Arial" w:hAnsi="Arial" w:cs="Arial"/>
          <w:lang w:val="en-US" w:bidi="ar-SA"/>
        </w:rPr>
        <w:t>-</w:t>
      </w:r>
      <w:r w:rsidRPr="002A77FC">
        <w:rPr>
          <w:rFonts w:ascii="Arial" w:hAnsi="Arial" w:cs="Arial"/>
          <w:lang w:bidi="ar-SA"/>
        </w:rPr>
        <w:t xml:space="preserve">based multinational Henkel is </w:t>
      </w:r>
      <w:r w:rsidRPr="002A77FC">
        <w:rPr>
          <w:rFonts w:ascii="Arial" w:hAnsi="Arial" w:cs="Arial"/>
          <w:lang w:val="en-US" w:bidi="ar-SA"/>
        </w:rPr>
        <w:t>operational in</w:t>
      </w:r>
      <w:r w:rsidRPr="002A77FC">
        <w:rPr>
          <w:rFonts w:ascii="Arial" w:hAnsi="Arial" w:cs="Arial"/>
          <w:lang w:bidi="ar-SA"/>
        </w:rPr>
        <w:t xml:space="preserve"> the UK as a company, having its brands such as Persil, Schwarzkopf, Colour Catcher and Loctite (Henkel, 2026). It's a similar situation to Unilever. It is a laundry and home care business, a hair care and C-face sustainability business. Amidst a competitive FMCG environment, there is real pressure to back up environmental claims with other evidence – claims must be measurable and product-relevant</w:t>
      </w:r>
      <w:r w:rsidR="00527880" w:rsidRPr="002A77FC">
        <w:rPr>
          <w:rFonts w:ascii="Arial" w:hAnsi="Arial" w:cs="Arial"/>
          <w:lang w:bidi="ar-SA"/>
        </w:rPr>
        <w:t>. </w:t>
      </w:r>
    </w:p>
    <w:p w14:paraId="6D7FBE8F" w14:textId="77777777" w:rsidR="00527880" w:rsidRPr="002A77FC" w:rsidRDefault="00527880" w:rsidP="00012868">
      <w:pPr>
        <w:pStyle w:val="Heading3"/>
        <w:rPr>
          <w:rFonts w:ascii="Arial" w:hAnsi="Arial" w:cs="Arial"/>
          <w:color w:val="auto"/>
        </w:rPr>
      </w:pPr>
      <w:bookmarkStart w:id="73" w:name="_Toc230268870"/>
      <w:r w:rsidRPr="002A77FC">
        <w:rPr>
          <w:rFonts w:ascii="Arial" w:hAnsi="Arial" w:cs="Arial"/>
          <w:color w:val="auto"/>
        </w:rPr>
        <w:t>4.6.2 The Challenge or Opportunity</w:t>
      </w:r>
      <w:bookmarkEnd w:id="73"/>
    </w:p>
    <w:p w14:paraId="58BE55E1" w14:textId="7F164986" w:rsidR="00527880" w:rsidRPr="002A77FC" w:rsidRDefault="00383D3A" w:rsidP="00012868">
      <w:pPr>
        <w:spacing w:before="120" w:after="120" w:line="360" w:lineRule="auto"/>
        <w:jc w:val="both"/>
        <w:rPr>
          <w:rFonts w:ascii="Arial" w:hAnsi="Arial" w:cs="Arial"/>
          <w:lang w:bidi="ar-SA"/>
        </w:rPr>
      </w:pPr>
      <w:r w:rsidRPr="002A77FC">
        <w:rPr>
          <w:rFonts w:ascii="Arial" w:hAnsi="Arial" w:cs="Arial"/>
          <w:lang w:bidi="ar-SA"/>
        </w:rPr>
        <w:t xml:space="preserve">Underpinning sustainability and creating a brand reputation is Henkel's central task. While big:wiser companies like Unilever have for a long time credited sustainability as an integral part of their corporate fame (Siyal </w:t>
      </w:r>
      <w:r w:rsidRPr="002A77FC">
        <w:rPr>
          <w:rFonts w:ascii="Arial" w:hAnsi="Arial" w:cs="Arial"/>
          <w:i/>
          <w:iCs/>
          <w:lang w:bidi="ar-SA"/>
        </w:rPr>
        <w:t>et al.</w:t>
      </w:r>
      <w:r w:rsidRPr="002A77FC">
        <w:rPr>
          <w:rFonts w:ascii="Arial" w:hAnsi="Arial" w:cs="Arial"/>
          <w:lang w:bidi="ar-SA"/>
        </w:rPr>
        <w:t>, 2022). Henkel's consumer image more often than not matters to their functional product performance (Henkel, 2026). This leaves room and opens up a gap. But, if they become part of a brand and a product they know and understand, then sustainability messages can help to build trust; but, if they remain corporate and/or technical, then it is possible that consumers will not see them</w:t>
      </w:r>
      <w:r w:rsidR="00527880" w:rsidRPr="002A77FC">
        <w:rPr>
          <w:rFonts w:ascii="Arial" w:hAnsi="Arial" w:cs="Arial"/>
          <w:lang w:bidi="ar-SA"/>
        </w:rPr>
        <w:t>.</w:t>
      </w:r>
    </w:p>
    <w:p w14:paraId="18F1822A" w14:textId="77777777" w:rsidR="00527880" w:rsidRPr="002A77FC" w:rsidRDefault="00527880" w:rsidP="00012868">
      <w:pPr>
        <w:pStyle w:val="Heading3"/>
        <w:rPr>
          <w:rFonts w:ascii="Arial" w:hAnsi="Arial" w:cs="Arial"/>
          <w:color w:val="auto"/>
        </w:rPr>
      </w:pPr>
      <w:bookmarkStart w:id="74" w:name="_Toc230268871"/>
      <w:r w:rsidRPr="002A77FC">
        <w:rPr>
          <w:rFonts w:ascii="Arial" w:hAnsi="Arial" w:cs="Arial"/>
          <w:color w:val="auto"/>
        </w:rPr>
        <w:lastRenderedPageBreak/>
        <w:t>4.6.3 The Approach and Implementation</w:t>
      </w:r>
      <w:bookmarkEnd w:id="74"/>
    </w:p>
    <w:p w14:paraId="041B4E8B" w14:textId="5920DF0A" w:rsidR="00527880" w:rsidRPr="002A77FC" w:rsidRDefault="00383D3A" w:rsidP="00012868">
      <w:pPr>
        <w:spacing w:before="120" w:after="120" w:line="360" w:lineRule="auto"/>
        <w:jc w:val="both"/>
        <w:rPr>
          <w:rFonts w:ascii="Arial" w:hAnsi="Arial" w:cs="Arial"/>
          <w:lang w:bidi="ar-SA"/>
        </w:rPr>
      </w:pPr>
      <w:r w:rsidRPr="002A77FC">
        <w:rPr>
          <w:rFonts w:ascii="Arial" w:hAnsi="Arial" w:cs="Arial"/>
          <w:lang w:bidi="ar-SA"/>
        </w:rPr>
        <w:t>At Henkel, it's based on fact not feelings. Results achieved in relation to its sustainability communication in 2024 include a 64% decrease in the company's production CO</w:t>
      </w:r>
      <w:r w:rsidRPr="002A77FC">
        <w:rPr>
          <w:rFonts w:ascii="Cambria Math" w:hAnsi="Cambria Math" w:cs="Cambria Math"/>
          <w:lang w:bidi="ar-SA"/>
        </w:rPr>
        <w:t>₂</w:t>
      </w:r>
      <w:r w:rsidRPr="002A77FC">
        <w:rPr>
          <w:rFonts w:ascii="Arial" w:hAnsi="Arial" w:cs="Arial"/>
          <w:lang w:bidi="ar-SA"/>
        </w:rPr>
        <w:t xml:space="preserve"> emissions per tonne of product since 2017 (Henkel, 2026). 25% recycled plastic packaging for its consumer products, and a packaging percentage which is 89% recyclable (Henkel, 2026). These indicators can help signal theory to signal otherwise, and provide an additional avenue to signal without a diversity in general environmental promises. However, they do confirm the legitimacy approach: Henkel is such an example; they observe a consistency with respect to expectations from the communities of regulators and stakeholders (Pham and Huynh, 2025). There is a catch, though, in the use of the approach: the number of proofs must be converted to easy-to-understand product claims if it's going to have any effect on consumers</w:t>
      </w:r>
      <w:r w:rsidR="00527880" w:rsidRPr="002A77FC">
        <w:rPr>
          <w:rFonts w:ascii="Arial" w:hAnsi="Arial" w:cs="Arial"/>
          <w:lang w:bidi="ar-SA"/>
        </w:rPr>
        <w:t> </w:t>
      </w:r>
    </w:p>
    <w:p w14:paraId="26A0D056" w14:textId="77777777" w:rsidR="00527880" w:rsidRPr="002A77FC" w:rsidRDefault="00527880" w:rsidP="00012868">
      <w:pPr>
        <w:spacing w:before="120" w:after="120" w:line="360" w:lineRule="auto"/>
        <w:jc w:val="both"/>
        <w:rPr>
          <w:rFonts w:ascii="Arial" w:hAnsi="Arial" w:cs="Arial"/>
          <w:b/>
          <w:bCs/>
          <w:lang w:bidi="ar-SA"/>
        </w:rPr>
      </w:pPr>
      <w:r w:rsidRPr="002A77FC">
        <w:rPr>
          <w:rFonts w:ascii="Arial" w:hAnsi="Arial" w:cs="Arial"/>
          <w:b/>
          <w:bCs/>
          <w:lang w:bidi="ar-SA"/>
        </w:rPr>
        <w:t>4.6.4 Outcomes and Results</w:t>
      </w:r>
    </w:p>
    <w:p w14:paraId="026542AC" w14:textId="382D2512" w:rsidR="00527880" w:rsidRPr="002A77FC" w:rsidRDefault="00383D3A" w:rsidP="00012868">
      <w:pPr>
        <w:spacing w:before="120" w:after="120" w:line="360" w:lineRule="auto"/>
        <w:jc w:val="both"/>
        <w:rPr>
          <w:rFonts w:ascii="Arial" w:hAnsi="Arial" w:cs="Arial"/>
          <w:lang w:bidi="ar-SA"/>
        </w:rPr>
      </w:pPr>
      <w:r w:rsidRPr="002A77FC">
        <w:rPr>
          <w:rFonts w:ascii="Arial" w:hAnsi="Arial" w:cs="Arial"/>
          <w:lang w:bidi="ar-SA"/>
        </w:rPr>
        <w:t xml:space="preserve">With substantiation, communications for sustainability can reduce the potential of engaging in greenwashing, as Henkel does. But it can have an impact on reputation, albeit a conditional one. What this case suggests is “Evidence, visibility, product – these are all related and add up to a trust (Khan </w:t>
      </w:r>
      <w:r w:rsidRPr="002A77FC">
        <w:rPr>
          <w:rFonts w:ascii="Arial" w:hAnsi="Arial" w:cs="Arial"/>
          <w:i/>
          <w:iCs/>
          <w:lang w:bidi="ar-SA"/>
        </w:rPr>
        <w:t>et al.</w:t>
      </w:r>
      <w:r w:rsidRPr="002A77FC">
        <w:rPr>
          <w:rFonts w:ascii="Arial" w:hAnsi="Arial" w:cs="Arial"/>
          <w:lang w:bidi="ar-SA"/>
        </w:rPr>
        <w:t>, 2026).” The picture is hardly unique for Henkel, however, and, therefore, the credibility of the communication processes, in terms of sustainability, is higher, but not sufficient to alter the image in the UK. This allows Henkel to have a good comparative foil in the dissertation's design framework</w:t>
      </w:r>
      <w:r w:rsidR="00527880" w:rsidRPr="002A77FC">
        <w:rPr>
          <w:rFonts w:ascii="Arial" w:hAnsi="Arial" w:cs="Arial"/>
          <w:lang w:bidi="ar-SA"/>
        </w:rPr>
        <w:t>. </w:t>
      </w:r>
    </w:p>
    <w:p w14:paraId="01BB6248" w14:textId="77777777" w:rsidR="00527880" w:rsidRPr="002A77FC" w:rsidRDefault="00527880" w:rsidP="00012868">
      <w:pPr>
        <w:pStyle w:val="Heading2"/>
        <w:rPr>
          <w:rFonts w:ascii="Arial" w:hAnsi="Arial" w:cs="Arial"/>
          <w:color w:val="auto"/>
        </w:rPr>
      </w:pPr>
      <w:bookmarkStart w:id="75" w:name="_Toc230268872"/>
      <w:r w:rsidRPr="002A77FC">
        <w:rPr>
          <w:rFonts w:ascii="Arial" w:hAnsi="Arial" w:cs="Arial"/>
          <w:color w:val="auto"/>
        </w:rPr>
        <w:t>4.7 Summary of Cross-Case Analysis</w:t>
      </w:r>
      <w:bookmarkEnd w:id="75"/>
    </w:p>
    <w:p w14:paraId="0CB61491" w14:textId="77777777" w:rsidR="00527880" w:rsidRPr="002A77FC" w:rsidRDefault="00527880" w:rsidP="00012868">
      <w:pPr>
        <w:pStyle w:val="Heading3"/>
        <w:rPr>
          <w:rFonts w:ascii="Arial" w:hAnsi="Arial" w:cs="Arial"/>
          <w:color w:val="auto"/>
        </w:rPr>
      </w:pPr>
      <w:bookmarkStart w:id="76" w:name="_Toc230268873"/>
      <w:r w:rsidRPr="002A77FC">
        <w:rPr>
          <w:rFonts w:ascii="Arial" w:hAnsi="Arial" w:cs="Arial"/>
          <w:color w:val="auto"/>
        </w:rPr>
        <w:t>4.7.1 Recurring triggers across cases</w:t>
      </w:r>
      <w:bookmarkEnd w:id="76"/>
    </w:p>
    <w:p w14:paraId="403FAFD3" w14:textId="233D817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The key drivers of the five cases have been market saturation with sustainability, UK government responses, consumer and reputational risk. The companies don't stress the importance of safety because they want credit (Reilly and Larya, 2018). It is better to be silent in their business environment</w:t>
      </w:r>
      <w:r w:rsidRPr="002A77FC">
        <w:rPr>
          <w:rFonts w:ascii="Arial" w:hAnsi="Arial" w:cs="Arial"/>
          <w:lang w:val="en-US"/>
        </w:rPr>
        <w:t>,</w:t>
      </w:r>
      <w:r w:rsidRPr="002A77FC">
        <w:rPr>
          <w:rFonts w:ascii="Arial" w:hAnsi="Arial" w:cs="Arial"/>
          <w:lang w:bidi="ar-SA"/>
        </w:rPr>
        <w:t xml:space="preserve"> but worse to be too silent. This is an example of the usefulness of signalling theory, but its danger. Signals are effective if audiences believe the sender.</w:t>
      </w:r>
    </w:p>
    <w:p w14:paraId="664909DC" w14:textId="77777777" w:rsidR="00527880" w:rsidRPr="002A77FC" w:rsidRDefault="00527880" w:rsidP="00012868">
      <w:pPr>
        <w:pStyle w:val="Heading3"/>
        <w:rPr>
          <w:rFonts w:ascii="Arial" w:hAnsi="Arial" w:cs="Arial"/>
          <w:color w:val="auto"/>
        </w:rPr>
      </w:pPr>
      <w:bookmarkStart w:id="77" w:name="_Toc230268874"/>
      <w:r w:rsidRPr="002A77FC">
        <w:rPr>
          <w:rFonts w:ascii="Arial" w:hAnsi="Arial" w:cs="Arial"/>
          <w:color w:val="auto"/>
        </w:rPr>
        <w:lastRenderedPageBreak/>
        <w:t>4.7.2 Common response patterns</w:t>
      </w:r>
      <w:bookmarkEnd w:id="77"/>
    </w:p>
    <w:p w14:paraId="1B0C2D3E" w14:textId="07B9AFF4"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The response patterns were ESG data, packaging</w:t>
      </w:r>
      <w:r w:rsidRPr="002A77FC">
        <w:rPr>
          <w:rFonts w:ascii="Arial" w:hAnsi="Arial" w:cs="Arial"/>
          <w:lang w:val="en-US"/>
        </w:rPr>
        <w:t>-</w:t>
      </w:r>
      <w:r w:rsidRPr="002A77FC">
        <w:rPr>
          <w:rFonts w:ascii="Arial" w:hAnsi="Arial" w:cs="Arial"/>
          <w:lang w:bidi="ar-SA"/>
        </w:rPr>
        <w:t xml:space="preserve">related claims, emissions targets, product claims and purpose storytelling. But they had different executions. Unilever and </w:t>
      </w:r>
      <w:r w:rsidR="007B595B" w:rsidRPr="002A77FC">
        <w:rPr>
          <w:rFonts w:ascii="Arial" w:hAnsi="Arial" w:cs="Arial"/>
          <w:lang w:bidi="ar-SA"/>
        </w:rPr>
        <w:t>Henkel</w:t>
      </w:r>
      <w:r w:rsidRPr="002A77FC">
        <w:rPr>
          <w:rFonts w:ascii="Arial" w:hAnsi="Arial" w:cs="Arial"/>
          <w:lang w:bidi="ar-SA"/>
        </w:rPr>
        <w:t xml:space="preserve"> played the peace card. P&amp;G &amp; Reckitt were more functional (Tawiah, Samson and Jatau, 2025). Nestlé played the technical credentials to overpower cynics. We conclude that firms do not use unidimensional actions. They use several actions</w:t>
      </w:r>
      <w:r w:rsidRPr="002A77FC">
        <w:rPr>
          <w:rFonts w:ascii="Arial" w:hAnsi="Arial" w:cs="Arial"/>
          <w:lang w:val="en-US"/>
        </w:rPr>
        <w:t>,</w:t>
      </w:r>
      <w:r w:rsidRPr="002A77FC">
        <w:rPr>
          <w:rFonts w:ascii="Arial" w:hAnsi="Arial" w:cs="Arial"/>
          <w:lang w:bidi="ar-SA"/>
        </w:rPr>
        <w:t xml:space="preserve"> including reporting, campaigns, product and governance actions.</w:t>
      </w:r>
    </w:p>
    <w:p w14:paraId="3D3061B7" w14:textId="77777777" w:rsidR="00527880" w:rsidRPr="002A77FC" w:rsidRDefault="00527880" w:rsidP="00012868">
      <w:pPr>
        <w:pStyle w:val="Heading3"/>
        <w:rPr>
          <w:rFonts w:ascii="Arial" w:hAnsi="Arial" w:cs="Arial"/>
          <w:color w:val="auto"/>
        </w:rPr>
      </w:pPr>
      <w:bookmarkStart w:id="78" w:name="_Toc230268875"/>
      <w:r w:rsidRPr="002A77FC">
        <w:rPr>
          <w:rFonts w:ascii="Arial" w:hAnsi="Arial" w:cs="Arial"/>
          <w:color w:val="auto"/>
        </w:rPr>
        <w:t>4.7.3 Major differences between the five cases</w:t>
      </w:r>
      <w:bookmarkEnd w:id="78"/>
    </w:p>
    <w:tbl>
      <w:tblPr>
        <w:tblStyle w:val="GridTable3-Accent6"/>
        <w:tblW w:w="0" w:type="auto"/>
        <w:tblLook w:val="04A0" w:firstRow="1" w:lastRow="0" w:firstColumn="1" w:lastColumn="0" w:noHBand="0" w:noVBand="1"/>
      </w:tblPr>
      <w:tblGrid>
        <w:gridCol w:w="1941"/>
        <w:gridCol w:w="7085"/>
      </w:tblGrid>
      <w:tr w:rsidR="002A77FC" w:rsidRPr="002A77FC" w14:paraId="58B7BB98" w14:textId="77777777" w:rsidTr="00527880">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04217A2F" w14:textId="7777777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Company</w:t>
            </w:r>
          </w:p>
        </w:tc>
        <w:tc>
          <w:tcPr>
            <w:tcW w:w="0" w:type="auto"/>
            <w:hideMark/>
          </w:tcPr>
          <w:p w14:paraId="1359023E" w14:textId="77777777" w:rsidR="00527880" w:rsidRPr="002A77FC" w:rsidRDefault="00527880" w:rsidP="00012868">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bidi="ar-SA"/>
              </w:rPr>
            </w:pPr>
            <w:r w:rsidRPr="002A77FC">
              <w:rPr>
                <w:rFonts w:ascii="Arial" w:hAnsi="Arial" w:cs="Arial"/>
                <w:lang w:bidi="ar-SA"/>
              </w:rPr>
              <w:t>Main difference</w:t>
            </w:r>
          </w:p>
        </w:tc>
      </w:tr>
      <w:tr w:rsidR="002A77FC" w:rsidRPr="002A77FC" w14:paraId="5FD2DD55" w14:textId="77777777" w:rsidTr="0052788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BA4A377" w14:textId="7777777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Unilever UK</w:t>
            </w:r>
          </w:p>
        </w:tc>
        <w:tc>
          <w:tcPr>
            <w:tcW w:w="0" w:type="auto"/>
            <w:hideMark/>
          </w:tcPr>
          <w:p w14:paraId="161FDFA1" w14:textId="5BAAB054" w:rsidR="00527880" w:rsidRPr="002A77FC" w:rsidRDefault="00527880" w:rsidP="00012868">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bidi="ar-SA"/>
              </w:rPr>
            </w:pPr>
            <w:r w:rsidRPr="002A77FC">
              <w:rPr>
                <w:rFonts w:ascii="Arial" w:hAnsi="Arial" w:cs="Arial"/>
                <w:lang w:bidi="ar-SA"/>
              </w:rPr>
              <w:t>Strong sustainability visibility, but high regulatory and consumer scrutiny</w:t>
            </w:r>
            <w:r w:rsidR="008D6EF4" w:rsidRPr="002A77FC">
              <w:rPr>
                <w:rFonts w:ascii="Arial" w:hAnsi="Arial" w:cs="Arial"/>
                <w:lang w:val="en-US"/>
              </w:rPr>
              <w:t xml:space="preserve"> </w:t>
            </w:r>
            <w:r w:rsidR="008D6EF4" w:rsidRPr="002A77FC">
              <w:rPr>
                <w:rFonts w:ascii="Arial" w:hAnsi="Arial" w:cs="Arial"/>
                <w:lang w:val="en-GB"/>
              </w:rPr>
              <w:t>(Unilever PLC, 2025</w:t>
            </w:r>
            <w:r w:rsidR="008D6EF4" w:rsidRPr="002A77FC">
              <w:rPr>
                <w:rFonts w:ascii="Arial" w:hAnsi="Arial" w:cs="Arial"/>
              </w:rPr>
              <w:t>)</w:t>
            </w:r>
          </w:p>
        </w:tc>
      </w:tr>
      <w:tr w:rsidR="002A77FC" w:rsidRPr="002A77FC" w14:paraId="472807A9" w14:textId="77777777" w:rsidTr="00527880">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781E869" w14:textId="7777777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Procter &amp; Gamble UK</w:t>
            </w:r>
          </w:p>
        </w:tc>
        <w:tc>
          <w:tcPr>
            <w:tcW w:w="0" w:type="auto"/>
            <w:hideMark/>
          </w:tcPr>
          <w:p w14:paraId="0DBDD884" w14:textId="6BDF61FD" w:rsidR="00527880" w:rsidRPr="002A77FC" w:rsidRDefault="00527880" w:rsidP="00012868">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bidi="ar-SA"/>
              </w:rPr>
            </w:pPr>
            <w:r w:rsidRPr="002A77FC">
              <w:rPr>
                <w:rFonts w:ascii="Arial" w:hAnsi="Arial" w:cs="Arial"/>
                <w:lang w:bidi="ar-SA"/>
              </w:rPr>
              <w:t>Strong corporate ESG evidence, but weaker consumer-level sustainability association</w:t>
            </w:r>
            <w:r w:rsidR="008D6EF4" w:rsidRPr="002A77FC">
              <w:rPr>
                <w:rFonts w:ascii="Arial" w:hAnsi="Arial" w:cs="Arial"/>
                <w:lang w:val="en-US"/>
              </w:rPr>
              <w:t xml:space="preserve"> (</w:t>
            </w:r>
            <w:r w:rsidR="008D6EF4" w:rsidRPr="002A77FC">
              <w:rPr>
                <w:rFonts w:ascii="Arial" w:hAnsi="Arial" w:cs="Arial"/>
                <w:lang w:val="en-GB"/>
              </w:rPr>
              <w:t>Procter &amp; Gamble, 2025</w:t>
            </w:r>
            <w:r w:rsidR="008D6EF4" w:rsidRPr="002A77FC">
              <w:rPr>
                <w:rFonts w:ascii="Arial" w:hAnsi="Arial" w:cs="Arial"/>
              </w:rPr>
              <w:t>)</w:t>
            </w:r>
          </w:p>
        </w:tc>
      </w:tr>
      <w:tr w:rsidR="002A77FC" w:rsidRPr="002A77FC" w14:paraId="3649837F" w14:textId="77777777" w:rsidTr="0052788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5BAB1B6" w14:textId="7777777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Nestlé UK</w:t>
            </w:r>
          </w:p>
        </w:tc>
        <w:tc>
          <w:tcPr>
            <w:tcW w:w="0" w:type="auto"/>
            <w:hideMark/>
          </w:tcPr>
          <w:p w14:paraId="464092B8" w14:textId="763A0882" w:rsidR="00527880" w:rsidRPr="002A77FC" w:rsidRDefault="00527880" w:rsidP="00012868">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bidi="ar-SA"/>
              </w:rPr>
            </w:pPr>
            <w:r w:rsidRPr="002A77FC">
              <w:rPr>
                <w:rFonts w:ascii="Arial" w:hAnsi="Arial" w:cs="Arial"/>
                <w:lang w:bidi="ar-SA"/>
              </w:rPr>
              <w:t>Current progress is limited by historical controversy and scepticism</w:t>
            </w:r>
            <w:r w:rsidR="008D6EF4" w:rsidRPr="002A77FC">
              <w:rPr>
                <w:rFonts w:ascii="Arial" w:hAnsi="Arial" w:cs="Arial"/>
                <w:lang w:val="en-US"/>
              </w:rPr>
              <w:t xml:space="preserve"> (</w:t>
            </w:r>
            <w:r w:rsidR="008D6EF4" w:rsidRPr="002A77FC">
              <w:rPr>
                <w:rFonts w:ascii="Arial" w:hAnsi="Arial" w:cs="Arial"/>
                <w:lang w:val="en-GB"/>
              </w:rPr>
              <w:t>Nestlé, 2025</w:t>
            </w:r>
            <w:r w:rsidR="008D6EF4" w:rsidRPr="002A77FC">
              <w:rPr>
                <w:rFonts w:ascii="Arial" w:hAnsi="Arial" w:cs="Arial"/>
              </w:rPr>
              <w:t>)</w:t>
            </w:r>
          </w:p>
        </w:tc>
      </w:tr>
      <w:tr w:rsidR="002A77FC" w:rsidRPr="002A77FC" w14:paraId="048BD7B2" w14:textId="77777777" w:rsidTr="00527880">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D467322" w14:textId="77777777"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Reckitt UK</w:t>
            </w:r>
          </w:p>
        </w:tc>
        <w:tc>
          <w:tcPr>
            <w:tcW w:w="0" w:type="auto"/>
            <w:hideMark/>
          </w:tcPr>
          <w:p w14:paraId="52BBAA94" w14:textId="6F1EEE22" w:rsidR="00527880" w:rsidRPr="002A77FC" w:rsidRDefault="00527880" w:rsidP="00012868">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bidi="ar-SA"/>
              </w:rPr>
            </w:pPr>
            <w:r w:rsidRPr="002A77FC">
              <w:rPr>
                <w:rFonts w:ascii="Arial" w:hAnsi="Arial" w:cs="Arial"/>
                <w:lang w:bidi="ar-SA"/>
              </w:rPr>
              <w:t>Sustainability is credible when linked to health, hygiene and measurable product impact</w:t>
            </w:r>
            <w:r w:rsidR="008D6EF4" w:rsidRPr="002A77FC">
              <w:rPr>
                <w:rFonts w:ascii="Arial" w:hAnsi="Arial" w:cs="Arial"/>
                <w:lang w:val="en-US"/>
              </w:rPr>
              <w:t xml:space="preserve"> (</w:t>
            </w:r>
            <w:r w:rsidR="008D6EF4" w:rsidRPr="002A77FC">
              <w:rPr>
                <w:rFonts w:ascii="Arial" w:hAnsi="Arial" w:cs="Arial"/>
                <w:lang w:val="en-GB"/>
              </w:rPr>
              <w:t>Reckitt, 2026</w:t>
            </w:r>
            <w:r w:rsidR="008D6EF4" w:rsidRPr="002A77FC">
              <w:rPr>
                <w:rFonts w:ascii="Arial" w:hAnsi="Arial" w:cs="Arial"/>
              </w:rPr>
              <w:t>)</w:t>
            </w:r>
          </w:p>
        </w:tc>
      </w:tr>
      <w:tr w:rsidR="002A77FC" w:rsidRPr="002A77FC" w14:paraId="7D3529BF" w14:textId="77777777" w:rsidTr="0052788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3DE78AC" w14:textId="2C68ED1D" w:rsidR="00527880" w:rsidRPr="002A77FC" w:rsidRDefault="007B595B" w:rsidP="00012868">
            <w:pPr>
              <w:spacing w:before="120" w:after="120" w:line="360" w:lineRule="auto"/>
              <w:jc w:val="both"/>
              <w:rPr>
                <w:rFonts w:ascii="Arial" w:hAnsi="Arial" w:cs="Arial"/>
                <w:lang w:bidi="ar-SA"/>
              </w:rPr>
            </w:pPr>
            <w:r w:rsidRPr="002A77FC">
              <w:rPr>
                <w:rFonts w:ascii="Arial" w:hAnsi="Arial" w:cs="Arial"/>
                <w:lang w:bidi="ar-SA"/>
              </w:rPr>
              <w:t>Henkel</w:t>
            </w:r>
          </w:p>
        </w:tc>
        <w:tc>
          <w:tcPr>
            <w:tcW w:w="0" w:type="auto"/>
            <w:hideMark/>
          </w:tcPr>
          <w:p w14:paraId="08C80A05" w14:textId="4ACF9CBD" w:rsidR="008D6EF4" w:rsidRPr="002A77FC" w:rsidRDefault="007B595B" w:rsidP="00012868">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bidi="ar-SA"/>
              </w:rPr>
            </w:pPr>
            <w:r w:rsidRPr="002A77FC">
              <w:rPr>
                <w:rFonts w:ascii="Arial" w:hAnsi="Arial" w:cs="Arial"/>
                <w:lang w:bidi="ar-SA"/>
              </w:rPr>
              <w:t>Strong measurable evidence, but lower consumer visibility than Unilever</w:t>
            </w:r>
            <w:r w:rsidRPr="002A77FC">
              <w:rPr>
                <w:rFonts w:ascii="Arial" w:hAnsi="Arial" w:cs="Arial"/>
                <w:lang w:val="en-US" w:bidi="ar-SA"/>
              </w:rPr>
              <w:t xml:space="preserve"> </w:t>
            </w:r>
            <w:r w:rsidRPr="002A77FC">
              <w:rPr>
                <w:rFonts w:ascii="Arial" w:hAnsi="Arial" w:cs="Arial"/>
              </w:rPr>
              <w:t>(Henkel, 2026)</w:t>
            </w:r>
          </w:p>
        </w:tc>
      </w:tr>
    </w:tbl>
    <w:p w14:paraId="7B8F6C9C" w14:textId="77777777" w:rsidR="00527880" w:rsidRPr="002A77FC" w:rsidRDefault="00527880" w:rsidP="00012868">
      <w:pPr>
        <w:pStyle w:val="Heading3"/>
        <w:rPr>
          <w:rFonts w:ascii="Arial" w:hAnsi="Arial" w:cs="Arial"/>
          <w:color w:val="auto"/>
        </w:rPr>
      </w:pPr>
      <w:bookmarkStart w:id="79" w:name="_Toc230268876"/>
      <w:r w:rsidRPr="002A77FC">
        <w:rPr>
          <w:rFonts w:ascii="Arial" w:hAnsi="Arial" w:cs="Arial"/>
          <w:color w:val="auto"/>
        </w:rPr>
        <w:t>4.7.4 Emerging relationship between execution and results</w:t>
      </w:r>
      <w:bookmarkEnd w:id="79"/>
    </w:p>
    <w:p w14:paraId="48468FFD" w14:textId="23B141DA" w:rsidR="00527880" w:rsidRPr="002A77FC" w:rsidRDefault="00527880" w:rsidP="00012868">
      <w:pPr>
        <w:spacing w:before="120" w:after="120" w:line="360" w:lineRule="auto"/>
        <w:jc w:val="both"/>
        <w:rPr>
          <w:rFonts w:ascii="Arial" w:hAnsi="Arial" w:cs="Arial"/>
          <w:lang w:bidi="ar-SA"/>
        </w:rPr>
      </w:pPr>
      <w:r w:rsidRPr="002A77FC">
        <w:rPr>
          <w:rFonts w:ascii="Arial" w:hAnsi="Arial" w:cs="Arial"/>
          <w:lang w:bidi="ar-SA"/>
        </w:rPr>
        <w:t>The studies show execution-outcomes' connections. In an ideal world</w:t>
      </w:r>
      <w:r w:rsidRPr="002A77FC">
        <w:rPr>
          <w:rFonts w:ascii="Arial" w:hAnsi="Arial" w:cs="Arial"/>
          <w:lang w:val="en-US"/>
        </w:rPr>
        <w:t>,</w:t>
      </w:r>
      <w:r w:rsidRPr="002A77FC">
        <w:rPr>
          <w:rFonts w:ascii="Arial" w:hAnsi="Arial" w:cs="Arial"/>
          <w:lang w:bidi="ar-SA"/>
        </w:rPr>
        <w:t xml:space="preserve"> communication is quantifiable, product or firm behaviour reaffirming respectively (Tawiah, Samson and Jatau, 2025). It is bad when it is hard to find, not owned or relevant to the company, when there is history or when it does not relate to performance. So</w:t>
      </w:r>
      <w:r w:rsidRPr="002A77FC">
        <w:rPr>
          <w:rFonts w:ascii="Arial" w:hAnsi="Arial" w:cs="Arial"/>
          <w:lang w:val="en-US"/>
        </w:rPr>
        <w:t>,</w:t>
      </w:r>
      <w:r w:rsidRPr="002A77FC">
        <w:rPr>
          <w:rFonts w:ascii="Arial" w:hAnsi="Arial" w:cs="Arial"/>
          <w:lang w:bidi="ar-SA"/>
        </w:rPr>
        <w:t xml:space="preserve"> reputation is more than communication. It is fact, meaning, time and trust.</w:t>
      </w:r>
    </w:p>
    <w:p w14:paraId="560EA55D" w14:textId="77777777" w:rsidR="00527880" w:rsidRPr="002A77FC" w:rsidRDefault="00527880" w:rsidP="00012868">
      <w:pPr>
        <w:pStyle w:val="Heading2"/>
        <w:rPr>
          <w:rFonts w:ascii="Arial" w:hAnsi="Arial" w:cs="Arial"/>
          <w:color w:val="auto"/>
        </w:rPr>
      </w:pPr>
      <w:bookmarkStart w:id="80" w:name="_Toc230268877"/>
      <w:r w:rsidRPr="002A77FC">
        <w:rPr>
          <w:rFonts w:ascii="Arial" w:hAnsi="Arial" w:cs="Arial"/>
          <w:color w:val="auto"/>
        </w:rPr>
        <w:lastRenderedPageBreak/>
        <w:t>4.8 Chapter Summary</w:t>
      </w:r>
      <w:bookmarkEnd w:id="80"/>
    </w:p>
    <w:p w14:paraId="5405A400" w14:textId="40945A2F" w:rsidR="008D6EF4" w:rsidRPr="002A77FC" w:rsidRDefault="00527880" w:rsidP="00012868">
      <w:pPr>
        <w:spacing w:line="360" w:lineRule="auto"/>
        <w:jc w:val="both"/>
        <w:rPr>
          <w:rFonts w:ascii="Arial" w:hAnsi="Arial" w:cs="Arial"/>
        </w:rPr>
      </w:pPr>
      <w:r w:rsidRPr="002A77FC">
        <w:rPr>
          <w:rFonts w:ascii="Arial" w:hAnsi="Arial" w:cs="Arial"/>
          <w:lang w:bidi="ar-SA"/>
        </w:rPr>
        <w:t xml:space="preserve">Five examples of the conditional reputation management of sustainability communication are presented in this chapter. Unilever demonstrates the promise and perils associated with being highly sustainable. P&amp;G demonstrates </w:t>
      </w:r>
      <w:r w:rsidRPr="002A77FC">
        <w:rPr>
          <w:rFonts w:ascii="Arial" w:hAnsi="Arial" w:cs="Arial"/>
          <w:lang w:val="en-US"/>
        </w:rPr>
        <w:t xml:space="preserve">that </w:t>
      </w:r>
      <w:r w:rsidRPr="002A77FC">
        <w:rPr>
          <w:rFonts w:ascii="Arial" w:hAnsi="Arial" w:cs="Arial"/>
          <w:lang w:bidi="ar-SA"/>
        </w:rPr>
        <w:t xml:space="preserve">proof of sustainability is not a strong reputation if consumers don't connect it with brands. Nestlé shows that the past hampers present assertions. Reckitt demonstrates </w:t>
      </w:r>
      <w:r w:rsidRPr="002A77FC">
        <w:rPr>
          <w:rFonts w:ascii="Arial" w:hAnsi="Arial" w:cs="Arial"/>
          <w:lang w:val="en-US"/>
        </w:rPr>
        <w:t xml:space="preserve">a </w:t>
      </w:r>
      <w:r w:rsidRPr="002A77FC">
        <w:rPr>
          <w:rFonts w:ascii="Arial" w:hAnsi="Arial" w:cs="Arial"/>
          <w:lang w:bidi="ar-SA"/>
        </w:rPr>
        <w:t xml:space="preserve">greater fit with sustainability purposes for better health (Pong and Chun, 2024). </w:t>
      </w:r>
      <w:r w:rsidR="00B3380F" w:rsidRPr="002A77FC">
        <w:rPr>
          <w:rFonts w:ascii="Arial" w:hAnsi="Arial" w:cs="Arial"/>
          <w:lang w:bidi="ar-SA"/>
        </w:rPr>
        <w:t>Henkel shows that measurable sustainability evidence can reduce greenwashing risk, but its reputational impact remains limited when consumer visibility is weaker than Unilever’s</w:t>
      </w:r>
      <w:r w:rsidRPr="002A77FC">
        <w:rPr>
          <w:rFonts w:ascii="Arial" w:hAnsi="Arial" w:cs="Arial"/>
          <w:lang w:bidi="ar-SA"/>
        </w:rPr>
        <w:t>. The research subverts linear theory. Dialogues don't result in trust and reputation. It is seen when stakeholders think that companies are authentic, real and true. These lessons will be analysed by our theory in Chapter 5.</w:t>
      </w:r>
    </w:p>
    <w:p w14:paraId="53C5ABD3" w14:textId="77777777" w:rsidR="008D6EF4" w:rsidRPr="002A77FC" w:rsidRDefault="008D6EF4" w:rsidP="00012868">
      <w:pPr>
        <w:spacing w:after="160" w:line="360" w:lineRule="auto"/>
        <w:jc w:val="both"/>
        <w:rPr>
          <w:rFonts w:ascii="Arial" w:hAnsi="Arial" w:cs="Arial"/>
        </w:rPr>
      </w:pPr>
      <w:r w:rsidRPr="002A77FC">
        <w:rPr>
          <w:rFonts w:ascii="Arial" w:hAnsi="Arial" w:cs="Arial"/>
        </w:rPr>
        <w:br w:type="page"/>
      </w:r>
    </w:p>
    <w:p w14:paraId="6AEFC6D6" w14:textId="77777777" w:rsidR="008D6EF4" w:rsidRPr="002A77FC" w:rsidRDefault="008D6EF4" w:rsidP="00A808C0">
      <w:pPr>
        <w:pStyle w:val="Heading1"/>
      </w:pPr>
      <w:bookmarkStart w:id="81" w:name="_Toc230268878"/>
      <w:r w:rsidRPr="002A77FC">
        <w:lastRenderedPageBreak/>
        <w:t>Chapter 5: Discussion and Analysis</w:t>
      </w:r>
      <w:bookmarkEnd w:id="81"/>
    </w:p>
    <w:p w14:paraId="0BABE918" w14:textId="77777777" w:rsidR="008D6EF4" w:rsidRPr="002A77FC" w:rsidRDefault="008D6EF4" w:rsidP="00012868">
      <w:pPr>
        <w:pStyle w:val="Heading2"/>
        <w:rPr>
          <w:rFonts w:ascii="Arial" w:hAnsi="Arial" w:cs="Arial"/>
          <w:color w:val="auto"/>
        </w:rPr>
      </w:pPr>
      <w:bookmarkStart w:id="82" w:name="_Toc230268879"/>
      <w:r w:rsidRPr="002A77FC">
        <w:rPr>
          <w:rFonts w:ascii="Arial" w:hAnsi="Arial" w:cs="Arial"/>
          <w:color w:val="auto"/>
        </w:rPr>
        <w:t>5.1 Purpose and Positioning</w:t>
      </w:r>
      <w:bookmarkEnd w:id="82"/>
    </w:p>
    <w:p w14:paraId="5D1A0007" w14:textId="7D0F24B4"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This chapter aims to read the accounts presented in Chapter 4, in accordance with the theoretical and empirical arguments presented in Chapter 2. This chapter is not a summary of the five case studies. It is to tell a story of the significance of sustainability communication as reputation building (Pham and Huynh, 2025). Thus, in this chapter</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we explore Unilever UK, Procter &amp; Gamble UK, Nestlé UK, Reckitt UK and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bidi="ar-SA"/>
          <w14:ligatures w14:val="standardContextual"/>
        </w:rPr>
        <w:t xml:space="preserve"> as an amalgamated case. Is sustainability communication a driver of reputation and trust, or merely an arbitrator for authenticity, scepticism, product (relevance), governance and reputation</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Sustainability communication is vital to UK consumers, but it's not a given option (Cowan and Guzman, 2020). The most recent consumer survey data used in Chapter 4 found 57% of UK consumers believe that companies don't provide information on their social, environmental and economic performance. Unilever made 60.8 billion euros in 2024; 84.0 billion dollars of net sales for P&amp;G; Nestlé reduced their emissions by 20.38% on 2018 levels; Reckitt added 34.9% net turnover from creating more sustainable products; and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bidi="ar-SA"/>
          <w14:ligatures w14:val="standardContextual"/>
        </w:rPr>
        <w:t xml:space="preserve"> returned to profit after bankruptcy (Unilever PLC, 2025; Procter &amp; Gamble, 2025; Nestlé, 2025</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Reckitt, 2026;</w:t>
      </w:r>
      <w:r w:rsidR="00A656C4" w:rsidRPr="002A77FC">
        <w:rPr>
          <w:rFonts w:ascii="Arial" w:hAnsi="Arial" w:cs="Arial"/>
          <w:kern w:val="2"/>
          <w:szCs w:val="22"/>
          <w:lang w:val="en-US" w:bidi="ar-SA"/>
          <w14:ligatures w14:val="standardContextual"/>
        </w:rPr>
        <w:t xml:space="preserve"> </w:t>
      </w:r>
      <w:r w:rsidR="00383D3A" w:rsidRPr="002A77FC">
        <w:rPr>
          <w:rFonts w:ascii="Arial" w:hAnsi="Arial" w:cs="Arial"/>
        </w:rPr>
        <w:t>Henkel</w:t>
      </w:r>
      <w:r w:rsidR="007B595B" w:rsidRPr="002A77FC">
        <w:rPr>
          <w:rFonts w:ascii="Arial" w:hAnsi="Arial" w:cs="Arial"/>
          <w:lang w:val="en-US"/>
        </w:rPr>
        <w:t xml:space="preserve">, </w:t>
      </w:r>
      <w:r w:rsidR="00383D3A" w:rsidRPr="002A77FC">
        <w:rPr>
          <w:rFonts w:ascii="Arial" w:hAnsi="Arial" w:cs="Arial"/>
        </w:rPr>
        <w:t>2026)</w:t>
      </w:r>
      <w:r w:rsidRPr="002A77FC">
        <w:rPr>
          <w:rFonts w:ascii="Arial" w:hAnsi="Arial" w:cs="Arial"/>
          <w:kern w:val="2"/>
          <w:szCs w:val="22"/>
          <w:lang w:bidi="ar-SA"/>
          <w14:ligatures w14:val="standardContextual"/>
        </w:rPr>
        <w:t>. But these had varied reputation consequences.</w:t>
      </w:r>
    </w:p>
    <w:p w14:paraId="4980033B" w14:textId="77777777" w:rsidR="008D6EF4" w:rsidRPr="002A77FC" w:rsidRDefault="008D6EF4" w:rsidP="00012868">
      <w:pPr>
        <w:pStyle w:val="Heading2"/>
        <w:rPr>
          <w:rFonts w:ascii="Arial" w:hAnsi="Arial" w:cs="Arial"/>
          <w:color w:val="auto"/>
        </w:rPr>
      </w:pPr>
      <w:bookmarkStart w:id="83" w:name="_Toc230268880"/>
      <w:r w:rsidRPr="002A77FC">
        <w:rPr>
          <w:rFonts w:ascii="Arial" w:hAnsi="Arial" w:cs="Arial"/>
          <w:color w:val="auto"/>
        </w:rPr>
        <w:t>5.2 Analytical Framework and Logic</w:t>
      </w:r>
      <w:bookmarkEnd w:id="83"/>
    </w:p>
    <w:p w14:paraId="4F08BD7B" w14:textId="51352D89"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The analysis uses the model shown in Chapter 2. Stakeholder theory justifies communication as a way to entice consumers, shareholders, government, employees and non-government organisations. Legitimacy theory justifies communication to legitimise being socially acceptable. Signalling theory explains communication as a way to solve information problems, such as when there is no information on the supply chain, carbon emissions or sourcing (Weder, 2023). Brand equity theory links positive beliefs and trust to reputation. But Chapter 2 also noted the simplicity of the theories. They work based o</w:t>
      </w:r>
      <w:r w:rsidRPr="002A77FC">
        <w:rPr>
          <w:rFonts w:ascii="Arial" w:hAnsi="Arial" w:cs="Arial"/>
          <w:kern w:val="2"/>
          <w:szCs w:val="22"/>
          <w:lang w:val="en-US" w:bidi="ar-SA"/>
          <w14:ligatures w14:val="standardContextual"/>
        </w:rPr>
        <w:t>n</w:t>
      </w:r>
      <w:r w:rsidRPr="002A77FC">
        <w:rPr>
          <w:rFonts w:ascii="Arial" w:hAnsi="Arial" w:cs="Arial"/>
          <w:kern w:val="2"/>
          <w:szCs w:val="22"/>
          <w:lang w:bidi="ar-SA"/>
          <w14:ligatures w14:val="standardContextual"/>
        </w:rPr>
        <w:t xml:space="preserve"> communication leading to trust, and trust leading to reputability.</w:t>
      </w:r>
    </w:p>
    <w:p w14:paraId="1D5A09BA" w14:textId="116F7D36"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The case evidence suggests that's not the case. The new equations are a bit more complex. Sustainability communications are first sent as a signal. That signal is interpreted by stakeholders via their prior expertise and experience, the media, regulation and corporate purposes. If it appears specific, measurable and consistent </w:t>
      </w:r>
      <w:r w:rsidRPr="002A77FC">
        <w:rPr>
          <w:rFonts w:ascii="Arial" w:hAnsi="Arial" w:cs="Arial"/>
          <w:kern w:val="2"/>
          <w:szCs w:val="22"/>
          <w:lang w:bidi="ar-SA"/>
          <w14:ligatures w14:val="standardContextual"/>
        </w:rPr>
        <w:lastRenderedPageBreak/>
        <w:t>with behaviour</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it can be trusted (Gomez-Trujillo, Velez-Ocampo and Gonzalez-Perez, 2020). If it is vague, defensive, ritualistic or not related to behaviour</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it can inspire distrust. There are five themes to this analysis. These are publicity and cynicism, authority and proof, product-relevant, historical and governance-responsive and the challenges of ethical legacies</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These themes provide organisation for analysis - connecting Chapter 2 construction to Chapter 4 cases - as compare</w:t>
      </w:r>
      <w:r w:rsidRPr="002A77FC">
        <w:rPr>
          <w:rFonts w:ascii="Arial" w:hAnsi="Arial" w:cs="Arial"/>
          <w:kern w:val="2"/>
          <w:szCs w:val="22"/>
          <w:lang w:val="en-US" w:bidi="ar-SA"/>
          <w14:ligatures w14:val="standardContextual"/>
        </w:rPr>
        <w:t>d</w:t>
      </w:r>
      <w:r w:rsidRPr="002A77FC">
        <w:rPr>
          <w:rFonts w:ascii="Arial" w:hAnsi="Arial" w:cs="Arial"/>
          <w:kern w:val="2"/>
          <w:szCs w:val="22"/>
          <w:lang w:bidi="ar-SA"/>
          <w14:ligatures w14:val="standardContextual"/>
        </w:rPr>
        <w:t xml:space="preserve"> rather than describe</w:t>
      </w:r>
      <w:r w:rsidRPr="002A77FC">
        <w:rPr>
          <w:rFonts w:ascii="Arial" w:hAnsi="Arial" w:cs="Arial"/>
          <w:kern w:val="2"/>
          <w:szCs w:val="22"/>
          <w:lang w:val="en-US" w:bidi="ar-SA"/>
          <w14:ligatures w14:val="standardContextual"/>
        </w:rPr>
        <w:t>d</w:t>
      </w:r>
      <w:r w:rsidRPr="002A77FC">
        <w:rPr>
          <w:rFonts w:ascii="Arial" w:hAnsi="Arial" w:cs="Arial"/>
          <w:kern w:val="2"/>
          <w:szCs w:val="22"/>
          <w:lang w:bidi="ar-SA"/>
          <w14:ligatures w14:val="standardContextual"/>
        </w:rPr>
        <w:t>.</w:t>
      </w:r>
    </w:p>
    <w:p w14:paraId="2233E995" w14:textId="77777777" w:rsidR="008D6EF4" w:rsidRPr="002A77FC" w:rsidRDefault="008D6EF4" w:rsidP="00012868">
      <w:pPr>
        <w:pStyle w:val="Heading2"/>
        <w:rPr>
          <w:rFonts w:ascii="Arial" w:hAnsi="Arial" w:cs="Arial"/>
          <w:color w:val="auto"/>
        </w:rPr>
      </w:pPr>
      <w:bookmarkStart w:id="84" w:name="_Toc230268881"/>
      <w:r w:rsidRPr="002A77FC">
        <w:rPr>
          <w:rFonts w:ascii="Arial" w:hAnsi="Arial" w:cs="Arial"/>
          <w:color w:val="auto"/>
        </w:rPr>
        <w:t>5.3 Cross-Case Synthesis: Compare and Contrast with Literature</w:t>
      </w:r>
      <w:bookmarkEnd w:id="84"/>
    </w:p>
    <w:p w14:paraId="3C94B7C5" w14:textId="77777777" w:rsidR="008D6EF4" w:rsidRPr="002A77FC" w:rsidRDefault="008D6EF4" w:rsidP="00012868">
      <w:pPr>
        <w:pStyle w:val="Heading3"/>
        <w:rPr>
          <w:rFonts w:ascii="Arial" w:hAnsi="Arial" w:cs="Arial"/>
          <w:color w:val="auto"/>
        </w:rPr>
      </w:pPr>
      <w:bookmarkStart w:id="85" w:name="_Toc230268882"/>
      <w:r w:rsidRPr="002A77FC">
        <w:rPr>
          <w:rFonts w:ascii="Arial" w:hAnsi="Arial" w:cs="Arial"/>
          <w:color w:val="auto"/>
        </w:rPr>
        <w:t>5.3.1 Visibility, Scrutiny and the Reputation Paradox</w:t>
      </w:r>
      <w:bookmarkEnd w:id="85"/>
    </w:p>
    <w:p w14:paraId="305AD4B6" w14:textId="1958C3F0"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Literature states that sustainability communications can build </w:t>
      </w:r>
      <w:r w:rsidRPr="002A77FC">
        <w:rPr>
          <w:rFonts w:ascii="Arial" w:hAnsi="Arial" w:cs="Arial"/>
          <w:kern w:val="2"/>
          <w:szCs w:val="22"/>
          <w:lang w:val="en-US" w:bidi="ar-SA"/>
          <w14:ligatures w14:val="standardContextual"/>
        </w:rPr>
        <w:t xml:space="preserve">a </w:t>
      </w:r>
      <w:r w:rsidRPr="002A77FC">
        <w:rPr>
          <w:rFonts w:ascii="Arial" w:hAnsi="Arial" w:cs="Arial"/>
          <w:kern w:val="2"/>
          <w:szCs w:val="22"/>
          <w:lang w:bidi="ar-SA"/>
          <w14:ligatures w14:val="standardContextual"/>
        </w:rPr>
        <w:t>reputation as they reveal good works. The theory of stakeholders backs this idea as companies should satisfy stakeholders. Legitimacy theory is supportive</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as dissemination can show social acceptability. But the Chapter 4 illustrations pose a challenge (Luo et al., 2020). More publicity and exposure can have both positive and negative effect</w:t>
      </w:r>
      <w:r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The case of Unilever is number one. Its "green" profile is good and justified by 2024 revenues of €60.8 billion and 4.2% growth behind this revenue stream. It shows its ongoing market prowess (Unilever PLC, 2025). But we discovered in the CMA case to invalidate some Unilever operations</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which has attracted attention from regulators and consumers. </w:t>
      </w:r>
    </w:p>
    <w:p w14:paraId="279F2349" w14:textId="241681A2"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This extends the literature. It's not a refutation of stakeholder or legitimacy theory. It shows their boundary condition. Communications to magnify legitimacy work only if it's true. In a sceptical UK culture, visibility is more challenging. But it's not that for P&amp;G. It has global net sales of $84.0 billion and organic sales growth of 4%</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but its visibility is not as </w:t>
      </w:r>
      <w:r w:rsidRPr="002A77FC">
        <w:rPr>
          <w:rFonts w:ascii="Arial" w:hAnsi="Arial" w:cs="Arial"/>
          <w:kern w:val="2"/>
          <w:szCs w:val="22"/>
          <w:lang w:val="en-US" w:bidi="ar-SA"/>
          <w14:ligatures w14:val="standardContextual"/>
        </w:rPr>
        <w:t>e</w:t>
      </w:r>
      <w:r w:rsidRPr="002A77FC">
        <w:rPr>
          <w:rFonts w:ascii="Arial" w:hAnsi="Arial" w:cs="Arial"/>
          <w:kern w:val="2"/>
          <w:szCs w:val="22"/>
          <w:lang w:bidi="ar-SA"/>
          <w14:ligatures w14:val="standardContextual"/>
        </w:rPr>
        <w:t>ffectively appealing as Unilever's (Unilever PLC, 2025; Procter &amp; Gamble, 2025). This reduces any potential reputational risk, but so does reputational distinctiveness. It's harder for Nestlé. The negatively reframed 20.38% drop in emissions is a clear announcement, but it is being received in a context of past controversy (Nestlé, 2025). That is, it doesn't take place in a bubble. It occurs in a field of memory, awareness and evaluation. </w:t>
      </w:r>
    </w:p>
    <w:p w14:paraId="1F1960D8" w14:textId="2AED90C1"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So the lesson is. Sustainability Revealed is as good as scepticism or hyperbole. Otherwise</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the informing event informs the scepticism.</w:t>
      </w:r>
    </w:p>
    <w:p w14:paraId="2BA4F039" w14:textId="77777777" w:rsidR="008D6EF4" w:rsidRPr="002A77FC" w:rsidRDefault="008D6EF4" w:rsidP="00012868">
      <w:pPr>
        <w:pStyle w:val="Heading3"/>
        <w:rPr>
          <w:rFonts w:ascii="Arial" w:hAnsi="Arial" w:cs="Arial"/>
          <w:color w:val="auto"/>
        </w:rPr>
      </w:pPr>
      <w:bookmarkStart w:id="86" w:name="_Toc230268883"/>
      <w:r w:rsidRPr="002A77FC">
        <w:rPr>
          <w:rFonts w:ascii="Arial" w:hAnsi="Arial" w:cs="Arial"/>
          <w:color w:val="auto"/>
        </w:rPr>
        <w:lastRenderedPageBreak/>
        <w:t>5.3.2 Authenticity, Evidence and the Quality of Signals</w:t>
      </w:r>
      <w:bookmarkEnd w:id="86"/>
    </w:p>
    <w:p w14:paraId="71A0858F" w14:textId="3556002F"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Signalling theory refers to when communication is called for to resolve the uncertainty of stakeholders who are unable to directly observe a company's affairs. Our findings are only partially consistent with signalling theory. It was not the noises that were loud. The most concrete signals. The Reckitt case is important (Neumann, Martinez and Martinez, 2021). It reported 34.9% of net revenue accounted for was from more sustainable products, 69% reduction in greenhouse gas emissions (since 2015) and £34 million spent on social innovation (Reckitt, 2026). These figures evidence sustainability reporting and show how it relates to consumer decisions. </w:t>
      </w:r>
    </w:p>
    <w:p w14:paraId="3630AA66" w14:textId="64A024DA"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P&amp;G also employs signals. Its Ambition 2030 sustainability goals, and its carbon emissions and renewable energy electricity are evidence-based. This enhances credibility</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but it's not enough. The signal needs to reach customers via brands. This calls </w:t>
      </w:r>
      <w:r w:rsidRPr="002A77FC">
        <w:rPr>
          <w:rFonts w:ascii="Arial" w:hAnsi="Arial" w:cs="Arial"/>
          <w:kern w:val="2"/>
          <w:szCs w:val="22"/>
          <w:lang w:val="en-US" w:bidi="ar-SA"/>
          <w14:ligatures w14:val="standardContextual"/>
        </w:rPr>
        <w:t>in</w:t>
      </w:r>
      <w:r w:rsidRPr="002A77FC">
        <w:rPr>
          <w:rFonts w:ascii="Arial" w:hAnsi="Arial" w:cs="Arial"/>
          <w:kern w:val="2"/>
          <w:szCs w:val="22"/>
          <w:lang w:bidi="ar-SA"/>
          <w14:ligatures w14:val="standardContextual"/>
        </w:rPr>
        <w:t xml:space="preserve">to question the idea that all information signalled becomes </w:t>
      </w:r>
      <w:r w:rsidRPr="002A77FC">
        <w:rPr>
          <w:rFonts w:ascii="Arial" w:hAnsi="Arial" w:cs="Arial"/>
          <w:kern w:val="2"/>
          <w:szCs w:val="22"/>
          <w:lang w:val="en-US" w:bidi="ar-SA"/>
          <w14:ligatures w14:val="standardContextual"/>
        </w:rPr>
        <w:t xml:space="preserve">a </w:t>
      </w:r>
      <w:r w:rsidRPr="002A77FC">
        <w:rPr>
          <w:rFonts w:ascii="Arial" w:hAnsi="Arial" w:cs="Arial"/>
          <w:kern w:val="2"/>
          <w:szCs w:val="22"/>
          <w:lang w:bidi="ar-SA"/>
          <w14:ligatures w14:val="standardContextual"/>
        </w:rPr>
        <w:t>public good. Users must receive, identify and associate the information with the purchase (Neumann, Martinez and Martinez, 2021). Unilever is a case in point of signing broadly</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It has an emotional purpose message, but is vulnerable if seen as not precise. The CMA action is important as first impressions of trustworthiness can be triggered by imagery, words and connotation of env</w:t>
      </w:r>
      <w:proofErr w:type="spellStart"/>
      <w:r w:rsidRPr="002A77FC">
        <w:rPr>
          <w:rFonts w:ascii="Arial" w:hAnsi="Arial" w:cs="Arial"/>
          <w:kern w:val="2"/>
          <w:szCs w:val="22"/>
          <w:lang w:val="en-US" w:bidi="ar-SA"/>
          <w14:ligatures w14:val="standardContextual"/>
        </w:rPr>
        <w:t>ironment</w:t>
      </w:r>
      <w:proofErr w:type="spellEnd"/>
      <w:r w:rsidRPr="002A77FC">
        <w:rPr>
          <w:rFonts w:ascii="Arial" w:hAnsi="Arial" w:cs="Arial"/>
          <w:kern w:val="2"/>
          <w:szCs w:val="22"/>
          <w:lang w:bidi="ar-SA"/>
          <w14:ligatures w14:val="standardContextual"/>
        </w:rPr>
        <w:t>. benefit. Nestlé shows that numbers are required, but they cannot be enough</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given impaired perceptions. Its 20.38% reduction </w:t>
      </w:r>
      <w:r w:rsidRPr="002A77FC">
        <w:rPr>
          <w:rFonts w:ascii="Arial" w:hAnsi="Arial" w:cs="Arial"/>
          <w:kern w:val="2"/>
          <w:szCs w:val="22"/>
          <w:lang w:val="en-US" w:bidi="ar-SA"/>
          <w14:ligatures w14:val="standardContextual"/>
        </w:rPr>
        <w:t xml:space="preserve">that </w:t>
      </w:r>
      <w:r w:rsidRPr="002A77FC">
        <w:rPr>
          <w:rFonts w:ascii="Arial" w:hAnsi="Arial" w:cs="Arial"/>
          <w:kern w:val="2"/>
          <w:szCs w:val="22"/>
          <w:lang w:bidi="ar-SA"/>
          <w14:ligatures w14:val="standardContextual"/>
        </w:rPr>
        <w:t>promotes change, but cannot undo history.  The insight here is that being authentic is not about emotional bonds. Its integrity judgement is founded on evidence, consistency and congruence.</w:t>
      </w:r>
    </w:p>
    <w:p w14:paraId="0405D0AB" w14:textId="77777777" w:rsidR="008D6EF4" w:rsidRPr="002A77FC" w:rsidRDefault="008D6EF4" w:rsidP="00012868">
      <w:pPr>
        <w:pStyle w:val="Heading3"/>
        <w:rPr>
          <w:rFonts w:ascii="Arial" w:hAnsi="Arial" w:cs="Arial"/>
          <w:color w:val="auto"/>
        </w:rPr>
      </w:pPr>
      <w:bookmarkStart w:id="87" w:name="_Toc230268884"/>
      <w:r w:rsidRPr="002A77FC">
        <w:rPr>
          <w:rFonts w:ascii="Arial" w:hAnsi="Arial" w:cs="Arial"/>
          <w:color w:val="auto"/>
        </w:rPr>
        <w:t>5.3.3 Product-Level Relevance and Consumer Interpretation</w:t>
      </w:r>
      <w:bookmarkEnd w:id="87"/>
    </w:p>
    <w:p w14:paraId="6E22D9C7" w14:textId="3D0CCA8C"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Positive associations, brand equity theory, establish reputation. This is supported by our research</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but they need to be relevant. Unilever makes it easier to spread messages about sustainability through the brands which consumers know: Dove, Comfort, Cif and Hellmann. So</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sustainability is integrated into the product brand value proposition. But it also means that brands could be damaged by bad product claims (Veh, Göbel and Vogel, 2019). This is the case with P&amp;G. Its corporate ESG credentials are good, but customers might well have heard of Ariel, Fairy, Gillette or Pampers but not P&amp;G. Corporate sustainability/corporate brand equity are not connected to the consumer. The brand can do 'the right thing', but this might not </w:t>
      </w:r>
      <w:r w:rsidRPr="002A77FC">
        <w:rPr>
          <w:rFonts w:ascii="Arial" w:hAnsi="Arial" w:cs="Arial"/>
          <w:kern w:val="2"/>
          <w:szCs w:val="22"/>
          <w:lang w:bidi="ar-SA"/>
          <w14:ligatures w14:val="standardContextual"/>
        </w:rPr>
        <w:lastRenderedPageBreak/>
        <w:t>influence UK rap. This challenges Brand Equity. Positive associations with the company will not trickle down to products. Awareness, corporate and product brand communications are needed.</w:t>
      </w:r>
    </w:p>
    <w:p w14:paraId="4A09A732" w14:textId="68D2345D"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Reckitt has product relevance on the backs of health and hygiene products' associations with health, care and safety. Environmental messages work best when they complement functionality as a Dettol, Finish or Durex product.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bidi="ar-SA"/>
          <w14:ligatures w14:val="standardContextual"/>
        </w:rPr>
        <w:t xml:space="preserve"> has more ethical meaning due to the products' connection with cruelty-free cosmetics and fair trade practices (Rahman and Nguyen</w:t>
      </w:r>
      <w:r w:rsidRPr="002A77FC">
        <w:rPr>
          <w:rFonts w:ascii="Cambria Math" w:hAnsi="Cambria Math" w:cs="Cambria Math"/>
          <w:kern w:val="2"/>
          <w:szCs w:val="22"/>
          <w:lang w:bidi="ar-SA"/>
          <w14:ligatures w14:val="standardContextual"/>
        </w:rPr>
        <w:t>‐</w:t>
      </w:r>
      <w:r w:rsidRPr="002A77FC">
        <w:rPr>
          <w:rFonts w:ascii="Arial" w:hAnsi="Arial" w:cs="Arial"/>
          <w:kern w:val="2"/>
          <w:szCs w:val="22"/>
          <w:lang w:bidi="ar-SA"/>
          <w14:ligatures w14:val="standardContextual"/>
        </w:rPr>
        <w:t>Viet, 2023). But its experience reveals that it's important for the products to remain current. When the range becomes "old</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fashioned" and uncompetitive, this dilutes the meanings. The preliminary verdict is that sustainability messages work best when they communicate to the consumer that the relevant product (and company) is relevant.</w:t>
      </w:r>
    </w:p>
    <w:p w14:paraId="6F600566" w14:textId="77777777" w:rsidR="008D6EF4" w:rsidRPr="002A77FC" w:rsidRDefault="008D6EF4" w:rsidP="00012868">
      <w:pPr>
        <w:pStyle w:val="Heading3"/>
        <w:rPr>
          <w:rFonts w:ascii="Arial" w:hAnsi="Arial" w:cs="Arial"/>
          <w:color w:val="auto"/>
        </w:rPr>
      </w:pPr>
      <w:bookmarkStart w:id="88" w:name="_Toc230268885"/>
      <w:r w:rsidRPr="002A77FC">
        <w:rPr>
          <w:rFonts w:ascii="Arial" w:hAnsi="Arial" w:cs="Arial"/>
          <w:color w:val="auto"/>
        </w:rPr>
        <w:t>5.3.4 Historical Reputation, Governance and Path Dependence</w:t>
      </w:r>
      <w:bookmarkEnd w:id="88"/>
    </w:p>
    <w:p w14:paraId="51BC0AE5" w14:textId="31365076"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Several reputation accounts refer to reputation as an outcome of communication strategies. This is not entirely the case identified by the cases. Reputation is path-dependent. Past actions are seen as a predictor of current actions. The prime example is Nestlé. It takes effort to improve its existing reporting</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but its current reputation is coloured by past criticisms. And good news might be seen with a grain of salt (Welch et al., 2022). Legitimacy theory needs to be revised. It's not sufficient to demonstrate that it meets current standards, as it cannot regain legitimacy simply by communicating that. It also needs to reverse </w:t>
      </w:r>
      <w:r w:rsidRPr="002A77FC">
        <w:rPr>
          <w:rFonts w:ascii="Arial" w:hAnsi="Arial" w:cs="Arial"/>
          <w:kern w:val="2"/>
          <w:szCs w:val="22"/>
          <w:lang w:val="en-US" w:bidi="ar-SA"/>
          <w14:ligatures w14:val="standardContextual"/>
        </w:rPr>
        <w:t xml:space="preserve">the </w:t>
      </w:r>
      <w:r w:rsidRPr="002A77FC">
        <w:rPr>
          <w:rFonts w:ascii="Arial" w:hAnsi="Arial" w:cs="Arial"/>
          <w:kern w:val="2"/>
          <w:szCs w:val="22"/>
          <w:lang w:bidi="ar-SA"/>
          <w14:ligatures w14:val="standardContextual"/>
        </w:rPr>
        <w:t>paths of past illegitimacy.</w:t>
      </w:r>
    </w:p>
    <w:p w14:paraId="35FAE229" w14:textId="6C662EC8" w:rsidR="008D6EF4" w:rsidRPr="002A77FC" w:rsidRDefault="005B3228"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val="en-US" w:bidi="ar-SA"/>
          <w14:ligatures w14:val="standardContextual"/>
        </w:rPr>
        <w:t xml:space="preserve">The </w:t>
      </w:r>
      <w:r w:rsidR="007B595B" w:rsidRPr="002A77FC">
        <w:rPr>
          <w:rFonts w:ascii="Arial" w:hAnsi="Arial" w:cs="Arial"/>
          <w:kern w:val="2"/>
          <w:szCs w:val="22"/>
          <w:lang w:bidi="ar-SA"/>
          <w14:ligatures w14:val="standardContextual"/>
        </w:rPr>
        <w:t>Henkel</w:t>
      </w:r>
      <w:r w:rsidR="008D6EF4" w:rsidRPr="002A77FC">
        <w:rPr>
          <w:rFonts w:ascii="Arial" w:hAnsi="Arial" w:cs="Arial"/>
          <w:kern w:val="2"/>
          <w:szCs w:val="22"/>
          <w:lang w:bidi="ar-SA"/>
          <w14:ligatures w14:val="standardContextual"/>
        </w:rPr>
        <w:t xml:space="preserve"> example is significant for another health-related phenomenon. But past greatness can be bad for business unless persevered with. </w:t>
      </w:r>
      <w:r w:rsidRPr="002A77FC">
        <w:rPr>
          <w:rFonts w:ascii="Arial" w:hAnsi="Arial" w:cs="Arial"/>
          <w:kern w:val="2"/>
          <w:szCs w:val="22"/>
          <w:lang w:bidi="ar-SA"/>
          <w14:ligatures w14:val="standardContextual"/>
        </w:rPr>
        <w:t>Henkel reported measurable sustainability progress through emissions reduction, recycled packaging and improved packaging recyclability</w:t>
      </w:r>
      <w:r w:rsidR="008D6EF4" w:rsidRPr="002A77FC">
        <w:rPr>
          <w:rFonts w:ascii="Arial" w:hAnsi="Arial" w:cs="Arial"/>
          <w:kern w:val="2"/>
          <w:szCs w:val="22"/>
          <w:lang w:bidi="ar-SA"/>
          <w14:ligatures w14:val="standardContextual"/>
        </w:rPr>
        <w:t xml:space="preserve">. The ethical brand's values, logic, continuity and disruption were valued </w:t>
      </w:r>
      <w:r w:rsidR="00383D3A" w:rsidRPr="002A77FC">
        <w:rPr>
          <w:rFonts w:ascii="Arial" w:hAnsi="Arial" w:cs="Arial"/>
        </w:rPr>
        <w:t>(Henkel, 2026)</w:t>
      </w:r>
      <w:r w:rsidR="008D6EF4" w:rsidRPr="002A77FC">
        <w:rPr>
          <w:rFonts w:ascii="Arial" w:hAnsi="Arial" w:cs="Arial"/>
          <w:kern w:val="2"/>
          <w:szCs w:val="22"/>
          <w:lang w:bidi="ar-SA"/>
          <w14:ligatures w14:val="standardContextual"/>
        </w:rPr>
        <w:t>. This questions brand equity. Monolithic brands go bust if the business fails </w:t>
      </w:r>
    </w:p>
    <w:p w14:paraId="74C3191B" w14:textId="4DC0D603"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Reckitt introduces governance. It has good sustainability measures, but investors are concerned about hidden liabilities at its Middle East operation, implying </w:t>
      </w:r>
      <w:r w:rsidRPr="002A77FC">
        <w:rPr>
          <w:rFonts w:ascii="Arial" w:hAnsi="Arial" w:cs="Arial"/>
          <w:kern w:val="2"/>
          <w:szCs w:val="22"/>
          <w:lang w:val="en-US" w:bidi="ar-SA"/>
          <w14:ligatures w14:val="standardContextual"/>
        </w:rPr>
        <w:t xml:space="preserve">that </w:t>
      </w:r>
      <w:r w:rsidRPr="002A77FC">
        <w:rPr>
          <w:rFonts w:ascii="Arial" w:hAnsi="Arial" w:cs="Arial"/>
          <w:kern w:val="2"/>
          <w:szCs w:val="22"/>
          <w:lang w:bidi="ar-SA"/>
          <w14:ligatures w14:val="standardContextual"/>
        </w:rPr>
        <w:t>responsibility is looked at holistically. A firm cannot be relied on for environmental performance and ha</w:t>
      </w:r>
      <w:r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xml:space="preserve"> governance issues. And so goes Unilever for its eco messages. P&amp;G is safe because it communicates well and it is less variable, but less different </w:t>
      </w:r>
      <w:r w:rsidRPr="002A77FC">
        <w:rPr>
          <w:rFonts w:ascii="Arial" w:hAnsi="Arial" w:cs="Arial"/>
          <w:kern w:val="2"/>
          <w:szCs w:val="22"/>
          <w:lang w:bidi="ar-SA"/>
          <w14:ligatures w14:val="standardContextual"/>
        </w:rPr>
        <w:lastRenderedPageBreak/>
        <w:t>(Procter &amp; Gamble, 2025). Here</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the point of difference is that </w:t>
      </w:r>
      <w:r w:rsidRPr="002A77FC">
        <w:rPr>
          <w:rFonts w:ascii="Arial" w:hAnsi="Arial" w:cs="Arial"/>
          <w:kern w:val="2"/>
          <w:szCs w:val="22"/>
          <w:lang w:val="en-US" w:bidi="ar-SA"/>
          <w14:ligatures w14:val="standardContextual"/>
        </w:rPr>
        <w:t xml:space="preserve">the </w:t>
      </w:r>
      <w:r w:rsidRPr="002A77FC">
        <w:rPr>
          <w:rFonts w:ascii="Arial" w:hAnsi="Arial" w:cs="Arial"/>
          <w:kern w:val="2"/>
          <w:szCs w:val="22"/>
          <w:lang w:bidi="ar-SA"/>
          <w14:ligatures w14:val="standardContextual"/>
        </w:rPr>
        <w:t>image is not reset with each new communication. It is based on performance, environmental, social, commercial and governance.</w:t>
      </w:r>
    </w:p>
    <w:p w14:paraId="7BA71552" w14:textId="3632DB0E" w:rsidR="008D6EF4" w:rsidRPr="002A77FC" w:rsidRDefault="008D6EF4" w:rsidP="00012868">
      <w:pPr>
        <w:pStyle w:val="Heading3"/>
        <w:rPr>
          <w:rFonts w:ascii="Arial" w:hAnsi="Arial" w:cs="Arial"/>
          <w:color w:val="auto"/>
        </w:rPr>
      </w:pPr>
      <w:bookmarkStart w:id="89" w:name="_Toc230268886"/>
      <w:r w:rsidRPr="002A77FC">
        <w:rPr>
          <w:rFonts w:ascii="Arial" w:hAnsi="Arial" w:cs="Arial"/>
          <w:color w:val="auto"/>
        </w:rPr>
        <w:t xml:space="preserve">5.3.5 </w:t>
      </w:r>
      <w:r w:rsidR="00A02776" w:rsidRPr="002A77FC">
        <w:rPr>
          <w:rFonts w:ascii="Arial" w:hAnsi="Arial" w:cs="Arial"/>
          <w:color w:val="auto"/>
          <w:lang w:val="en-BD"/>
        </w:rPr>
        <w:t>Evidence, Visibility and the Limits of Technical Sustainability Communication</w:t>
      </w:r>
      <w:bookmarkEnd w:id="89"/>
    </w:p>
    <w:p w14:paraId="317E76B4" w14:textId="77777777" w:rsidR="00A02776" w:rsidRPr="002A77FC" w:rsidRDefault="00A02776" w:rsidP="00A02776">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Henkel demonstrates the boundaries of technical sustainable communication. It is not principally established in terms of emotional purpose, but by actual evidence of its operation. This entails emissions reduction, recyclability of packaging and recycled packaging (Golob, Podnar and Zabkar, 2023). These indicators are indicators of progress, which make the communication credible because they are not commitments in which you can only see general statements of intent.</w:t>
      </w:r>
    </w:p>
    <w:p w14:paraId="5B9C9E1F" w14:textId="77777777" w:rsidR="00A02776" w:rsidRPr="002A77FC" w:rsidRDefault="00A02776" w:rsidP="00A02776">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This is key in comparing Henkel with Unilever. The two companies have comparable FMCG businesses that include laundry, home care, hair care and personal care, among others. It's much different, however, with their sustainability communication. Unilever is more out there, more purposeful. Henkel is experiential and action oriented (Dessart and Standaert, 2023). This contrast demonstrates the possibility of two kinds of sustainability communication failure. Excessive visibility is bad because it boards the plane, and the lack of visibility is worse because consumers don't know it's on the plane.</w:t>
      </w:r>
    </w:p>
    <w:p w14:paraId="4CC4083B" w14:textId="6D3E836C" w:rsidR="008D6EF4" w:rsidRPr="002A77FC" w:rsidRDefault="00A02776"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Henkel subscribes to the signal</w:t>
      </w:r>
      <w:r w:rsidR="00DB3465" w:rsidRPr="002A77FC">
        <w:rPr>
          <w:rFonts w:ascii="Arial" w:hAnsi="Arial" w:cs="Arial"/>
          <w:kern w:val="2"/>
          <w:szCs w:val="22"/>
          <w:lang w:val="en-US" w:bidi="ar-SA"/>
          <w14:ligatures w14:val="standardContextual"/>
        </w:rPr>
        <w:t>l</w:t>
      </w:r>
      <w:r w:rsidRPr="002A77FC">
        <w:rPr>
          <w:rFonts w:ascii="Arial" w:hAnsi="Arial" w:cs="Arial"/>
          <w:kern w:val="2"/>
          <w:szCs w:val="22"/>
          <w:lang w:bidi="ar-SA"/>
          <w14:ligatures w14:val="standardContextual"/>
        </w:rPr>
        <w:t>ing theory – although in a limited sense. The evidence signals responsibilities</w:t>
      </w:r>
      <w:r w:rsidR="00DB3465"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but the signal needs stakeholder</w:t>
      </w:r>
      <w:r w:rsidR="00DB3465"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xml:space="preserve"> to understand it. Too technical, and it might meet regulators and investors' requirements, but may not make a difference for the shoppers (Borges et al., 2023). In the case of Henkel, however, credibility is not sufficient, as is demonstrated. Sustainability communication needs to also be understandable, simple and product value associated. The larger message is that evidence isn't everything that sets up a reputation (Borges et al., 2023). Evidence needs to be translated into </w:t>
      </w:r>
      <w:r w:rsidR="00DB3465" w:rsidRPr="002A77FC">
        <w:rPr>
          <w:rFonts w:ascii="Arial" w:hAnsi="Arial" w:cs="Arial"/>
          <w:kern w:val="2"/>
          <w:szCs w:val="22"/>
          <w:lang w:val="en-US" w:bidi="ar-SA"/>
          <w14:ligatures w14:val="standardContextual"/>
        </w:rPr>
        <w:t>a</w:t>
      </w:r>
      <w:r w:rsidRPr="002A77FC">
        <w:rPr>
          <w:rFonts w:ascii="Arial" w:hAnsi="Arial" w:cs="Arial"/>
          <w:kern w:val="2"/>
          <w:szCs w:val="22"/>
          <w:lang w:bidi="ar-SA"/>
          <w14:ligatures w14:val="standardContextual"/>
        </w:rPr>
        <w:t xml:space="preserve"> meaning for consumers. Sustainability communication can only boost trust and brand reputation on that basis</w:t>
      </w:r>
      <w:r w:rsidR="008D6EF4" w:rsidRPr="002A77FC">
        <w:rPr>
          <w:rFonts w:ascii="Arial" w:hAnsi="Arial" w:cs="Arial"/>
          <w:kern w:val="2"/>
          <w:szCs w:val="22"/>
          <w:lang w:bidi="ar-SA"/>
          <w14:ligatures w14:val="standardContextual"/>
        </w:rPr>
        <w:t>.</w:t>
      </w:r>
    </w:p>
    <w:p w14:paraId="177CA2CB" w14:textId="77777777" w:rsidR="008D6EF4" w:rsidRPr="002A77FC" w:rsidRDefault="008D6EF4" w:rsidP="00012868">
      <w:pPr>
        <w:pStyle w:val="Heading2"/>
        <w:rPr>
          <w:rFonts w:ascii="Arial" w:hAnsi="Arial" w:cs="Arial"/>
          <w:color w:val="auto"/>
        </w:rPr>
      </w:pPr>
      <w:bookmarkStart w:id="90" w:name="_Toc230268887"/>
      <w:r w:rsidRPr="002A77FC">
        <w:rPr>
          <w:rFonts w:ascii="Arial" w:hAnsi="Arial" w:cs="Arial"/>
          <w:color w:val="auto"/>
        </w:rPr>
        <w:t>5.4 Integration to Conceptual Model or Propositions</w:t>
      </w:r>
      <w:bookmarkEnd w:id="90"/>
    </w:p>
    <w:p w14:paraId="6A892166" w14:textId="64882E35" w:rsidR="00DB3465" w:rsidRPr="002A77FC" w:rsidRDefault="00DB3465" w:rsidP="00DB3465">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There is a widespread case </w:t>
      </w:r>
      <w:r w:rsidRPr="002A77FC">
        <w:rPr>
          <w:rFonts w:ascii="Arial" w:hAnsi="Arial" w:cs="Arial"/>
          <w:kern w:val="2"/>
          <w:szCs w:val="22"/>
          <w:lang w:val="en-US" w:bidi="ar-SA"/>
          <w14:ligatures w14:val="standardContextual"/>
        </w:rPr>
        <w:t xml:space="preserve">of </w:t>
      </w:r>
      <w:r w:rsidRPr="002A77FC">
        <w:rPr>
          <w:rFonts w:ascii="Arial" w:hAnsi="Arial" w:cs="Arial"/>
          <w:kern w:val="2"/>
          <w:szCs w:val="22"/>
          <w:lang w:bidi="ar-SA"/>
          <w14:ligatures w14:val="standardContextual"/>
        </w:rPr>
        <w:t xml:space="preserve">evidence broadly consistent with the conceptual model developed in Chapter 2. Consumer perception, consumer trust and reputation of the </w:t>
      </w:r>
      <w:r w:rsidRPr="002A77FC">
        <w:rPr>
          <w:rFonts w:ascii="Arial" w:hAnsi="Arial" w:cs="Arial"/>
          <w:kern w:val="2"/>
          <w:szCs w:val="22"/>
          <w:lang w:bidi="ar-SA"/>
          <w14:ligatures w14:val="standardContextual"/>
        </w:rPr>
        <w:lastRenderedPageBreak/>
        <w:t>brand are affected by sustainability communication, however, not directly. The results indicate a first approach to communication as a signal. This then has to be evaluated by the stakeholders before it becomes a reputational value (Dang, Nguyen and Pervan, 2020). The most solid relationship is sustainability communication, consumer perception, trust and brand reputation. When specific and linked to products, evidence-based claims can be a powerful means of building trust, as can be seen by Unilever</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P&amp;G, Reckitt and Henkel. Nestlé demonstrates that this pathway is eroded if previous disputes have occurred</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which impact</w:t>
      </w:r>
      <w:r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xml:space="preserve"> the interpretation.</w:t>
      </w:r>
    </w:p>
    <w:p w14:paraId="62E8B3B8" w14:textId="56EF437F" w:rsidR="008D6EF4" w:rsidRPr="002A77FC" w:rsidRDefault="00DB3465"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So there is a need for </w:t>
      </w:r>
      <w:r w:rsidRPr="002A77FC">
        <w:rPr>
          <w:rFonts w:ascii="Arial" w:hAnsi="Arial" w:cs="Arial"/>
          <w:kern w:val="2"/>
          <w:szCs w:val="22"/>
          <w:lang w:val="en-US" w:bidi="ar-SA"/>
          <w14:ligatures w14:val="standardContextual"/>
        </w:rPr>
        <w:t xml:space="preserve">a </w:t>
      </w:r>
      <w:r w:rsidRPr="002A77FC">
        <w:rPr>
          <w:rFonts w:ascii="Arial" w:hAnsi="Arial" w:cs="Arial"/>
          <w:kern w:val="2"/>
          <w:szCs w:val="22"/>
          <w:lang w:bidi="ar-SA"/>
          <w14:ligatures w14:val="standardContextual"/>
        </w:rPr>
        <w:t>little modification of the model. Authenticity and consumer scepticism shouldn't be considered background. Central conditions are they. Authenticity enhances the signal when claims do not appear to differ from what action occurs in reality (Koh, Burnasheva and Suh, 2022). This undermines the underlying message when consumers believe greenwashing or image management</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is taking place. The way pathway strength is affected by product relevance and brand history. The modified thesis becomes: perception of authenticity and product-relevance, combined with a good credibility assessment, are necessary for sustainability communication to be beneficial for brand reputation (Koh, Burnasheva and Suh, 2022). This effect is diluted if combined with scepticism, lack of visibility, or poor historical reputation that impedes stakeholders' interpretation. This retains the model conditional and practical and collects with five-case evidence from the UK FMCG marke</w:t>
      </w:r>
      <w:r w:rsidRPr="002A77FC">
        <w:rPr>
          <w:rFonts w:ascii="Arial" w:hAnsi="Arial" w:cs="Arial"/>
          <w:kern w:val="2"/>
          <w:szCs w:val="22"/>
          <w:lang w:val="en-US" w:bidi="ar-SA"/>
          <w14:ligatures w14:val="standardContextual"/>
        </w:rPr>
        <w:t>t</w:t>
      </w:r>
      <w:r w:rsidR="008D6EF4" w:rsidRPr="002A77FC">
        <w:rPr>
          <w:rFonts w:ascii="Arial" w:hAnsi="Arial" w:cs="Arial"/>
          <w:kern w:val="2"/>
          <w:szCs w:val="22"/>
          <w:lang w:bidi="ar-SA"/>
          <w14:ligatures w14:val="standardContextual"/>
        </w:rPr>
        <w:t>.</w:t>
      </w:r>
    </w:p>
    <w:p w14:paraId="144372B6" w14:textId="77777777" w:rsidR="008D6EF4" w:rsidRPr="002A77FC" w:rsidRDefault="008D6EF4" w:rsidP="00012868">
      <w:pPr>
        <w:pStyle w:val="Heading2"/>
        <w:rPr>
          <w:rFonts w:ascii="Arial" w:hAnsi="Arial" w:cs="Arial"/>
          <w:color w:val="auto"/>
        </w:rPr>
      </w:pPr>
      <w:bookmarkStart w:id="91" w:name="_Toc230268888"/>
      <w:r w:rsidRPr="002A77FC">
        <w:rPr>
          <w:rFonts w:ascii="Arial" w:hAnsi="Arial" w:cs="Arial"/>
          <w:color w:val="auto"/>
        </w:rPr>
        <w:t>5.5 Robustness Considerations</w:t>
      </w:r>
      <w:bookmarkEnd w:id="91"/>
    </w:p>
    <w:p w14:paraId="7A9473ED" w14:textId="66074E6E"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The analysis of the study needs to take this into account</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as the research is based on secondary data. There could be emphasis on the positive aspects in managerial reports and downplaying of the negative. The media has an interest in the negative. Market data might also be broad</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based and not highlight the UK anomaly (Neumann, Martinez and Martinez, 2021). The revenue of Unilever is €60.8 billion globally, of P&amp;G $84.0 billion</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and the carbon emissions reduction target is global for Nestlé (Unilever PLC, 2025; Nestlé, 2025). These show us the scale and whether it is rising or falling.</w:t>
      </w:r>
    </w:p>
    <w:p w14:paraId="2C3033B3" w14:textId="698757F3"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But the findings are triangulated from evidence sources. Sethi</w:t>
      </w:r>
      <w:r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xml:space="preserve"> </w:t>
      </w:r>
      <w:r w:rsidRPr="002A77FC">
        <w:rPr>
          <w:rFonts w:ascii="Arial" w:hAnsi="Arial" w:cs="Arial"/>
          <w:kern w:val="2"/>
          <w:szCs w:val="22"/>
          <w:lang w:val="en-US" w:bidi="ar-SA"/>
          <w14:ligatures w14:val="standardContextual"/>
        </w:rPr>
        <w:t>e</w:t>
      </w:r>
      <w:r w:rsidRPr="002A77FC">
        <w:rPr>
          <w:rFonts w:ascii="Arial" w:hAnsi="Arial" w:cs="Arial"/>
          <w:kern w:val="2"/>
          <w:szCs w:val="22"/>
          <w:lang w:bidi="ar-SA"/>
          <w14:ligatures w14:val="standardContextual"/>
        </w:rPr>
        <w:t xml:space="preserve">vidence of what they say and do. Government evidence of the CMA review of Unilever claims is scrutinised by outside regulators. Media reports of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xml:space="preserve"> difficulties and recovery prove forced </w:t>
      </w:r>
      <w:r w:rsidRPr="002A77FC">
        <w:rPr>
          <w:rFonts w:ascii="Arial" w:hAnsi="Arial" w:cs="Arial"/>
          <w:kern w:val="2"/>
          <w:szCs w:val="22"/>
          <w:lang w:bidi="ar-SA"/>
          <w14:ligatures w14:val="standardContextual"/>
        </w:rPr>
        <w:lastRenderedPageBreak/>
        <w:t xml:space="preserve">reputation (Borges et al., 2023). Cross-case analysis is also used as the pattern of theorisation may differ in individual cases. The primary alternative theory is that reputation is not affected by sustainability, merely profits.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bidi="ar-SA"/>
          <w14:ligatures w14:val="standardContextual"/>
        </w:rPr>
        <w:t xml:space="preserve"> case to some extent supports this. But the cases show that sustainability plays a role in consumer markets because it impacts trust, scrutiny and differentiation.</w:t>
      </w:r>
    </w:p>
    <w:p w14:paraId="503C2362" w14:textId="77777777" w:rsidR="008D6EF4" w:rsidRPr="002A77FC" w:rsidRDefault="008D6EF4" w:rsidP="00012868">
      <w:pPr>
        <w:pStyle w:val="Heading2"/>
        <w:rPr>
          <w:rFonts w:ascii="Arial" w:hAnsi="Arial" w:cs="Arial"/>
          <w:color w:val="auto"/>
        </w:rPr>
      </w:pPr>
      <w:bookmarkStart w:id="92" w:name="_Toc230268889"/>
      <w:r w:rsidRPr="002A77FC">
        <w:rPr>
          <w:rFonts w:ascii="Arial" w:hAnsi="Arial" w:cs="Arial"/>
          <w:color w:val="auto"/>
        </w:rPr>
        <w:t>5.6 Practical Synthesis</w:t>
      </w:r>
      <w:bookmarkEnd w:id="92"/>
    </w:p>
    <w:p w14:paraId="2E2639C6" w14:textId="77777777"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First, let the managers get less talkative, but more candid. In the UK, 57% of consumers believe companies don't disclose impact: business firms should not be ambiguous. The indicators, targets and the products should be transparent and obvious (Dessart and Standaert, 2023). Second, firms need to link sustainability with the product. P&amp;G shows the power of company ESG, if it is not relevant. Reckitt shows the impact of connecting sustainability to health, hygiene and function.</w:t>
      </w:r>
    </w:p>
    <w:p w14:paraId="0B832C3C" w14:textId="7F16E1D5"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Third, firms need to look to the past. Changing problems from the past and showing how </w:t>
      </w:r>
      <w:r w:rsidRPr="002A77FC">
        <w:rPr>
          <w:rFonts w:ascii="Arial" w:hAnsi="Arial" w:cs="Arial"/>
          <w:kern w:val="2"/>
          <w:szCs w:val="22"/>
          <w:lang w:val="en-US" w:bidi="ar-SA"/>
          <w14:ligatures w14:val="standardContextual"/>
        </w:rPr>
        <w:t xml:space="preserve">it </w:t>
      </w:r>
      <w:r w:rsidRPr="002A77FC">
        <w:rPr>
          <w:rFonts w:ascii="Arial" w:hAnsi="Arial" w:cs="Arial"/>
          <w:kern w:val="2"/>
          <w:szCs w:val="22"/>
          <w:lang w:bidi="ar-SA"/>
          <w14:ligatures w14:val="standardContextual"/>
        </w:rPr>
        <w:t xml:space="preserve">is critical for Nestlé.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bidi="ar-SA"/>
          <w14:ligatures w14:val="standardContextual"/>
        </w:rPr>
        <w:t xml:space="preserve"> needs to not only maintain its status quo, but </w:t>
      </w:r>
      <w:r w:rsidRPr="002A77FC">
        <w:rPr>
          <w:rFonts w:ascii="Arial" w:hAnsi="Arial" w:cs="Arial"/>
          <w:kern w:val="2"/>
          <w:szCs w:val="22"/>
          <w:lang w:val="en-US" w:bidi="ar-SA"/>
          <w14:ligatures w14:val="standardContextual"/>
        </w:rPr>
        <w:t xml:space="preserve">also </w:t>
      </w:r>
      <w:r w:rsidRPr="002A77FC">
        <w:rPr>
          <w:rFonts w:ascii="Arial" w:hAnsi="Arial" w:cs="Arial"/>
          <w:kern w:val="2"/>
          <w:szCs w:val="22"/>
          <w:lang w:bidi="ar-SA"/>
          <w14:ligatures w14:val="standardContextual"/>
        </w:rPr>
        <w:t>revitalise its branding online. Fourth, reputation counts on sustainability. Consumers and society take organisations as a whole (Rahman and Nguyen</w:t>
      </w:r>
      <w:r w:rsidRPr="002A77FC">
        <w:rPr>
          <w:rFonts w:ascii="Cambria Math" w:hAnsi="Cambria Math" w:cs="Cambria Math"/>
          <w:kern w:val="2"/>
          <w:szCs w:val="22"/>
          <w:lang w:bidi="ar-SA"/>
          <w14:ligatures w14:val="standardContextual"/>
        </w:rPr>
        <w:t>‐</w:t>
      </w:r>
      <w:r w:rsidRPr="002A77FC">
        <w:rPr>
          <w:rFonts w:ascii="Arial" w:hAnsi="Arial" w:cs="Arial"/>
          <w:kern w:val="2"/>
          <w:szCs w:val="22"/>
          <w:lang w:bidi="ar-SA"/>
          <w14:ligatures w14:val="standardContextual"/>
        </w:rPr>
        <w:t>Viet, 2023). In other words, no</w:t>
      </w:r>
      <w:r w:rsidRPr="002A77FC">
        <w:rPr>
          <w:rFonts w:ascii="Arial" w:hAnsi="Arial" w:cs="Arial"/>
          <w:kern w:val="2"/>
          <w:szCs w:val="22"/>
          <w:lang w:val="en-US" w:bidi="ar-SA"/>
          <w14:ligatures w14:val="standardContextual"/>
        </w:rPr>
        <w:t xml:space="preserve"> </w:t>
      </w:r>
      <w:r w:rsidRPr="002A77FC">
        <w:rPr>
          <w:rFonts w:ascii="Arial" w:hAnsi="Arial" w:cs="Arial"/>
          <w:kern w:val="2"/>
          <w:szCs w:val="22"/>
          <w:lang w:bidi="ar-SA"/>
          <w14:ligatures w14:val="standardContextual"/>
        </w:rPr>
        <w:t>one cares if a company is "green" if there is something amiss with its finances or regulatory or operational issues. Finally, Unilever should view sustainability as a critical role in its business. It needs to preserve its reputation differentiation by being correct in its claims and reporting, and by continuous communication of brand and product changes.</w:t>
      </w:r>
    </w:p>
    <w:p w14:paraId="4244C254" w14:textId="77777777" w:rsidR="008D6EF4" w:rsidRPr="002A77FC" w:rsidRDefault="008D6EF4" w:rsidP="00012868">
      <w:pPr>
        <w:pStyle w:val="Heading2"/>
        <w:rPr>
          <w:rFonts w:ascii="Arial" w:hAnsi="Arial" w:cs="Arial"/>
          <w:color w:val="auto"/>
        </w:rPr>
      </w:pPr>
      <w:bookmarkStart w:id="93" w:name="_Toc230268890"/>
      <w:r w:rsidRPr="002A77FC">
        <w:rPr>
          <w:rFonts w:ascii="Arial" w:hAnsi="Arial" w:cs="Arial"/>
          <w:color w:val="auto"/>
        </w:rPr>
        <w:t>5.7 Chapter Summary</w:t>
      </w:r>
      <w:bookmarkEnd w:id="93"/>
    </w:p>
    <w:p w14:paraId="62DFE3C2" w14:textId="30EBB391" w:rsidR="008D6EF4" w:rsidRPr="002A77FC" w:rsidRDefault="008D6EF4" w:rsidP="00012868">
      <w:pPr>
        <w:spacing w:before="120" w:after="120" w:line="360" w:lineRule="auto"/>
        <w:jc w:val="both"/>
        <w:rPr>
          <w:rFonts w:ascii="Arial" w:hAnsi="Arial" w:cs="Arial"/>
          <w:kern w:val="2"/>
          <w:szCs w:val="22"/>
          <w:lang w:bidi="ar-SA"/>
          <w14:ligatures w14:val="standardContextual"/>
        </w:rPr>
      </w:pPr>
      <w:r w:rsidRPr="002A77FC">
        <w:rPr>
          <w:rFonts w:ascii="Arial" w:hAnsi="Arial" w:cs="Arial"/>
          <w:kern w:val="2"/>
          <w:szCs w:val="22"/>
          <w:lang w:bidi="ar-SA"/>
          <w14:ligatures w14:val="standardContextual"/>
        </w:rPr>
        <w:t xml:space="preserve">This chapter shows </w:t>
      </w:r>
      <w:r w:rsidRPr="002A77FC">
        <w:rPr>
          <w:rFonts w:ascii="Arial" w:hAnsi="Arial" w:cs="Arial"/>
          <w:kern w:val="2"/>
          <w:szCs w:val="22"/>
          <w:lang w:val="en-US" w:bidi="ar-SA"/>
          <w14:ligatures w14:val="standardContextual"/>
        </w:rPr>
        <w:t xml:space="preserve">that </w:t>
      </w:r>
      <w:r w:rsidRPr="002A77FC">
        <w:rPr>
          <w:rFonts w:ascii="Arial" w:hAnsi="Arial" w:cs="Arial"/>
          <w:kern w:val="2"/>
          <w:szCs w:val="22"/>
          <w:lang w:bidi="ar-SA"/>
          <w14:ligatures w14:val="standardContextual"/>
        </w:rPr>
        <w:t xml:space="preserve">the Chapter 4 findings are consistent with </w:t>
      </w:r>
      <w:r w:rsidRPr="002A77FC">
        <w:rPr>
          <w:rFonts w:ascii="Arial" w:hAnsi="Arial" w:cs="Arial"/>
          <w:kern w:val="2"/>
          <w:szCs w:val="22"/>
          <w:lang w:val="en-US" w:bidi="ar-SA"/>
          <w14:ligatures w14:val="standardContextual"/>
        </w:rPr>
        <w:t xml:space="preserve">the </w:t>
      </w:r>
      <w:r w:rsidRPr="002A77FC">
        <w:rPr>
          <w:rFonts w:ascii="Arial" w:hAnsi="Arial" w:cs="Arial"/>
          <w:kern w:val="2"/>
          <w:szCs w:val="22"/>
          <w:lang w:bidi="ar-SA"/>
          <w14:ligatures w14:val="standardContextual"/>
        </w:rPr>
        <w:t xml:space="preserve">literature, although </w:t>
      </w:r>
      <w:r w:rsidRPr="002A77FC">
        <w:rPr>
          <w:rFonts w:ascii="Arial" w:hAnsi="Arial" w:cs="Arial"/>
          <w:kern w:val="2"/>
          <w:szCs w:val="22"/>
          <w:lang w:val="en-US" w:bidi="ar-SA"/>
          <w14:ligatures w14:val="standardContextual"/>
        </w:rPr>
        <w:t xml:space="preserve">they </w:t>
      </w:r>
      <w:r w:rsidRPr="002A77FC">
        <w:rPr>
          <w:rFonts w:ascii="Arial" w:hAnsi="Arial" w:cs="Arial"/>
          <w:kern w:val="2"/>
          <w:szCs w:val="22"/>
          <w:lang w:bidi="ar-SA"/>
          <w14:ligatures w14:val="standardContextual"/>
        </w:rPr>
        <w:t xml:space="preserve">also clarify and add new insights. Stakeholder theory is supported as the five firms are communicating sustainable practices due to expectations of consumers, investors, government and business. Legitimacy theory is also supported by businesses gaining legitimacy in the UK market through sustainability (Koh, Burnasheva and Suh, 2022). Signalling theory is partly supported as certainty can be restored. And brand equity theory is supported if sustainability makes positive and believable links. But the results challenge the notion of directly linking reputation and communication (Veh, Göbel and Vogel, 2019). The only improvement to attract people </w:t>
      </w:r>
      <w:r w:rsidRPr="002A77FC">
        <w:rPr>
          <w:rFonts w:ascii="Arial" w:hAnsi="Arial" w:cs="Arial"/>
          <w:kern w:val="2"/>
          <w:szCs w:val="22"/>
          <w:lang w:bidi="ar-SA"/>
          <w14:ligatures w14:val="standardContextual"/>
        </w:rPr>
        <w:lastRenderedPageBreak/>
        <w:t>is sustainability. Communication is conditional. These are believability, evidence, fit</w:t>
      </w:r>
      <w:r w:rsidRPr="002A77FC">
        <w:rPr>
          <w:rFonts w:ascii="Arial" w:hAnsi="Arial" w:cs="Arial"/>
          <w:kern w:val="2"/>
          <w:szCs w:val="22"/>
          <w:lang w:val="en-US" w:bidi="ar-SA"/>
          <w14:ligatures w14:val="standardContextual"/>
        </w:rPr>
        <w:t>,</w:t>
      </w:r>
      <w:r w:rsidRPr="002A77FC">
        <w:rPr>
          <w:rFonts w:ascii="Arial" w:hAnsi="Arial" w:cs="Arial"/>
          <w:kern w:val="2"/>
          <w:szCs w:val="22"/>
          <w:lang w:bidi="ar-SA"/>
          <w14:ligatures w14:val="standardContextual"/>
        </w:rPr>
        <w:t xml:space="preserve"> governance credibility and stability. Unilever displays the paradox of visibility. P&amp;G reveals weak corporate ESG. Nestlé shows historic scepticism. Reckitt shows the need to fit the product (Dang, Nguyen and Pervan, 2020). </w:t>
      </w:r>
      <w:r w:rsidR="007B595B" w:rsidRPr="002A77FC">
        <w:rPr>
          <w:rFonts w:ascii="Arial" w:hAnsi="Arial" w:cs="Arial"/>
          <w:kern w:val="2"/>
          <w:szCs w:val="22"/>
          <w:lang w:bidi="ar-SA"/>
          <w14:ligatures w14:val="standardContextual"/>
        </w:rPr>
        <w:t>Henkel</w:t>
      </w:r>
      <w:r w:rsidRPr="002A77FC">
        <w:rPr>
          <w:rFonts w:ascii="Arial" w:hAnsi="Arial" w:cs="Arial"/>
          <w:kern w:val="2"/>
          <w:szCs w:val="22"/>
          <w:lang w:bidi="ar-SA"/>
          <w14:ligatures w14:val="standardContextual"/>
        </w:rPr>
        <w:t xml:space="preserve"> shows the need for an ethical overhaul. This Chapter 6 builds on these insights with theoretical, managerial, limitation</w:t>
      </w:r>
      <w:r w:rsidRPr="002A77FC">
        <w:rPr>
          <w:rFonts w:ascii="Arial" w:hAnsi="Arial" w:cs="Arial"/>
          <w:kern w:val="2"/>
          <w:szCs w:val="22"/>
          <w:lang w:val="en-US" w:bidi="ar-SA"/>
          <w14:ligatures w14:val="standardContextual"/>
        </w:rPr>
        <w:t>s,</w:t>
      </w:r>
      <w:r w:rsidRPr="002A77FC">
        <w:rPr>
          <w:rFonts w:ascii="Arial" w:hAnsi="Arial" w:cs="Arial"/>
          <w:kern w:val="2"/>
          <w:szCs w:val="22"/>
          <w:lang w:bidi="ar-SA"/>
          <w14:ligatures w14:val="standardContextual"/>
        </w:rPr>
        <w:t xml:space="preserve"> and recommendations. The message is </w:t>
      </w:r>
      <w:r w:rsidRPr="002A77FC">
        <w:rPr>
          <w:rFonts w:ascii="Arial" w:hAnsi="Arial" w:cs="Arial"/>
          <w:kern w:val="2"/>
          <w:szCs w:val="22"/>
          <w:lang w:val="en-US" w:bidi="ar-SA"/>
          <w14:ligatures w14:val="standardContextual"/>
        </w:rPr>
        <w:t xml:space="preserve">that </w:t>
      </w:r>
      <w:r w:rsidRPr="002A77FC">
        <w:rPr>
          <w:rFonts w:ascii="Arial" w:hAnsi="Arial" w:cs="Arial"/>
          <w:kern w:val="2"/>
          <w:szCs w:val="22"/>
          <w:lang w:bidi="ar-SA"/>
          <w14:ligatures w14:val="standardContextual"/>
        </w:rPr>
        <w:t>sustainability (or green) talk is a marketing trick, but only if it is authentic, proven and grounded in practice.</w:t>
      </w:r>
    </w:p>
    <w:p w14:paraId="4231821C" w14:textId="77777777" w:rsidR="008D6EF4" w:rsidRPr="002A77FC" w:rsidRDefault="008D6EF4" w:rsidP="00012868">
      <w:pPr>
        <w:spacing w:before="120" w:after="120" w:line="360" w:lineRule="auto"/>
        <w:jc w:val="both"/>
        <w:rPr>
          <w:rFonts w:ascii="Arial" w:hAnsi="Arial" w:cs="Arial"/>
          <w:kern w:val="2"/>
          <w:szCs w:val="22"/>
          <w:lang w:bidi="ar-SA"/>
          <w14:ligatures w14:val="standardContextual"/>
        </w:rPr>
      </w:pPr>
    </w:p>
    <w:p w14:paraId="005956F3" w14:textId="77777777" w:rsidR="008D6EF4" w:rsidRPr="002A77FC" w:rsidRDefault="008D6EF4" w:rsidP="00012868">
      <w:pPr>
        <w:spacing w:before="120" w:after="120" w:line="360" w:lineRule="auto"/>
        <w:jc w:val="both"/>
        <w:rPr>
          <w:rFonts w:ascii="Arial" w:hAnsi="Arial" w:cs="Arial"/>
          <w:kern w:val="2"/>
          <w:szCs w:val="22"/>
          <w:lang w:bidi="ar-SA"/>
          <w14:ligatures w14:val="standardContextual"/>
        </w:rPr>
      </w:pPr>
    </w:p>
    <w:p w14:paraId="17BB4427" w14:textId="160552B5" w:rsidR="00D20612" w:rsidRPr="002A77FC" w:rsidRDefault="00D20612">
      <w:pPr>
        <w:spacing w:after="160" w:line="259" w:lineRule="auto"/>
        <w:rPr>
          <w:rFonts w:ascii="Arial" w:hAnsi="Arial" w:cs="Arial"/>
        </w:rPr>
      </w:pPr>
      <w:r w:rsidRPr="002A77FC">
        <w:rPr>
          <w:rFonts w:ascii="Arial" w:hAnsi="Arial" w:cs="Arial"/>
        </w:rPr>
        <w:br w:type="page"/>
      </w:r>
    </w:p>
    <w:p w14:paraId="394507C4" w14:textId="77777777" w:rsidR="00D20612" w:rsidRPr="002A77FC" w:rsidRDefault="00D20612" w:rsidP="00A808C0">
      <w:pPr>
        <w:pStyle w:val="Heading1"/>
      </w:pPr>
      <w:bookmarkStart w:id="94" w:name="_Toc230268891"/>
      <w:r w:rsidRPr="002A77FC">
        <w:lastRenderedPageBreak/>
        <w:t>Chapter 6: Conclusion</w:t>
      </w:r>
      <w:bookmarkEnd w:id="94"/>
    </w:p>
    <w:p w14:paraId="2847BE33" w14:textId="77777777" w:rsidR="00D20612" w:rsidRPr="002A77FC" w:rsidRDefault="00D20612" w:rsidP="00D20612">
      <w:pPr>
        <w:pStyle w:val="Heading2"/>
        <w:rPr>
          <w:rFonts w:ascii="Arial" w:hAnsi="Arial" w:cs="Arial"/>
          <w:color w:val="auto"/>
        </w:rPr>
      </w:pPr>
      <w:bookmarkStart w:id="95" w:name="_Toc230268892"/>
      <w:r w:rsidRPr="002A77FC">
        <w:rPr>
          <w:rFonts w:ascii="Arial" w:hAnsi="Arial" w:cs="Arial"/>
          <w:color w:val="auto"/>
        </w:rPr>
        <w:t>6.1 Introduction</w:t>
      </w:r>
      <w:bookmarkEnd w:id="95"/>
    </w:p>
    <w:p w14:paraId="635875C1" w14:textId="17476785" w:rsidR="00D20612" w:rsidRPr="002A77FC" w:rsidRDefault="00D20612" w:rsidP="00D20612">
      <w:pPr>
        <w:spacing w:line="360" w:lineRule="auto"/>
        <w:jc w:val="both"/>
        <w:rPr>
          <w:rFonts w:ascii="Arial" w:hAnsi="Arial" w:cs="Arial"/>
        </w:rPr>
      </w:pPr>
      <w:r w:rsidRPr="002A77FC">
        <w:rPr>
          <w:rFonts w:ascii="Arial" w:hAnsi="Arial" w:cs="Arial"/>
        </w:rPr>
        <w:t>This chapter provides a summary of the dissertation. It includes the explanation of the major findings, theoretical implications, managerial implications, limitation</w:t>
      </w:r>
      <w:r w:rsidRPr="002A77FC">
        <w:rPr>
          <w:rFonts w:ascii="Arial" w:hAnsi="Arial" w:cs="Arial"/>
          <w:lang w:val="en-US"/>
        </w:rPr>
        <w:t>s,</w:t>
      </w:r>
      <w:r w:rsidRPr="002A77FC">
        <w:rPr>
          <w:rFonts w:ascii="Arial" w:hAnsi="Arial" w:cs="Arial"/>
        </w:rPr>
        <w:t xml:space="preserve"> and future stud</w:t>
      </w:r>
      <w:r w:rsidRPr="002A77FC">
        <w:rPr>
          <w:rFonts w:ascii="Arial" w:hAnsi="Arial" w:cs="Arial"/>
          <w:lang w:val="en-US"/>
        </w:rPr>
        <w:t>y</w:t>
      </w:r>
      <w:r w:rsidRPr="002A77FC">
        <w:rPr>
          <w:rFonts w:ascii="Arial" w:hAnsi="Arial" w:cs="Arial"/>
        </w:rPr>
        <w:t xml:space="preserve"> directions. The study explored the impact of sustainability communication on consumer perception and trust and brand reputation in the UK, in the FMCG sector</w:t>
      </w:r>
      <w:r w:rsidRPr="002A77FC">
        <w:rPr>
          <w:rFonts w:ascii="Arial" w:hAnsi="Arial" w:cs="Arial"/>
          <w:lang w:val="en-US"/>
        </w:rPr>
        <w:t xml:space="preserve"> </w:t>
      </w:r>
      <w:r w:rsidRPr="002A77FC">
        <w:rPr>
          <w:rFonts w:ascii="Arial" w:hAnsi="Arial" w:cs="Arial"/>
        </w:rPr>
        <w:t>(van der Werff et al., 2019). They resorted to the use of secondary data, five case studies and cross</w:t>
      </w:r>
      <w:r w:rsidRPr="002A77FC">
        <w:rPr>
          <w:rFonts w:ascii="Arial" w:hAnsi="Arial" w:cs="Arial"/>
          <w:lang w:val="en-US"/>
        </w:rPr>
        <w:t>-</w:t>
      </w:r>
      <w:r w:rsidRPr="002A77FC">
        <w:rPr>
          <w:rFonts w:ascii="Arial" w:hAnsi="Arial" w:cs="Arial"/>
        </w:rPr>
        <w:t>case analysis. Unilever UK was mainly concerned in the case. For comparison, the brands P&amp;G, Nestlé, Reckitt and Henkel were used. Clear central conclusion. Sustainability communication can help to create and bolster reputation... only if stakeholders deem it credible, relevant and authentic.</w:t>
      </w:r>
    </w:p>
    <w:p w14:paraId="53AA550A" w14:textId="77777777" w:rsidR="00D20612" w:rsidRPr="002A77FC" w:rsidRDefault="00D20612" w:rsidP="00D20612">
      <w:pPr>
        <w:pStyle w:val="Heading2"/>
        <w:rPr>
          <w:rFonts w:ascii="Arial" w:hAnsi="Arial" w:cs="Arial"/>
          <w:color w:val="auto"/>
        </w:rPr>
      </w:pPr>
      <w:bookmarkStart w:id="96" w:name="_Toc230268893"/>
      <w:r w:rsidRPr="002A77FC">
        <w:rPr>
          <w:rFonts w:ascii="Arial" w:hAnsi="Arial" w:cs="Arial"/>
          <w:color w:val="auto"/>
        </w:rPr>
        <w:t>6.2 Brief Summary of Key Findings</w:t>
      </w:r>
      <w:bookmarkEnd w:id="96"/>
    </w:p>
    <w:p w14:paraId="488D3800" w14:textId="111C22EA" w:rsidR="00D20612" w:rsidRPr="002A77FC" w:rsidRDefault="00D20612" w:rsidP="00D20612">
      <w:pPr>
        <w:spacing w:line="360" w:lineRule="auto"/>
        <w:jc w:val="both"/>
        <w:rPr>
          <w:rFonts w:ascii="Arial" w:hAnsi="Arial" w:cs="Arial"/>
        </w:rPr>
      </w:pPr>
      <w:r w:rsidRPr="002A77FC">
        <w:rPr>
          <w:rFonts w:ascii="Arial" w:hAnsi="Arial" w:cs="Arial"/>
        </w:rPr>
        <w:t>The findings show that improving reputation through sustainability communication</w:t>
      </w:r>
      <w:r w:rsidRPr="002A77FC">
        <w:rPr>
          <w:rFonts w:ascii="Arial" w:hAnsi="Arial" w:cs="Arial"/>
          <w:lang w:val="en-US"/>
        </w:rPr>
        <w:t>,</w:t>
      </w:r>
      <w:r w:rsidRPr="002A77FC">
        <w:rPr>
          <w:rFonts w:ascii="Arial" w:hAnsi="Arial" w:cs="Arial"/>
        </w:rPr>
        <w:t xml:space="preserve"> but only if. Evidence</w:t>
      </w:r>
      <w:r w:rsidRPr="002A77FC">
        <w:rPr>
          <w:rFonts w:ascii="Arial" w:hAnsi="Arial" w:cs="Arial"/>
          <w:lang w:val="en-US"/>
        </w:rPr>
        <w:t>-</w:t>
      </w:r>
      <w:r w:rsidRPr="002A77FC">
        <w:rPr>
          <w:rFonts w:ascii="Arial" w:hAnsi="Arial" w:cs="Arial"/>
        </w:rPr>
        <w:t>based claims were more effective than general</w:t>
      </w:r>
      <w:r w:rsidRPr="002A77FC">
        <w:rPr>
          <w:rFonts w:ascii="Arial" w:hAnsi="Arial" w:cs="Arial"/>
          <w:lang w:val="en-US"/>
        </w:rPr>
        <w:t>-</w:t>
      </w:r>
      <w:r w:rsidRPr="002A77FC">
        <w:rPr>
          <w:rFonts w:ascii="Arial" w:hAnsi="Arial" w:cs="Arial"/>
        </w:rPr>
        <w:t>purpose claims. This was significant to obtain product-level relevance as consumers understand sustainability via the products they use on a day-to-day basis. Visibility also mattered. Unilever got attention, and as a result, the scrutiny</w:t>
      </w:r>
      <w:r w:rsidRPr="002A77FC">
        <w:rPr>
          <w:rFonts w:ascii="Arial" w:hAnsi="Arial" w:cs="Arial"/>
          <w:lang w:val="en-US"/>
        </w:rPr>
        <w:t xml:space="preserve"> </w:t>
      </w:r>
      <w:r w:rsidRPr="002A77FC">
        <w:rPr>
          <w:rFonts w:ascii="Arial" w:hAnsi="Arial" w:cs="Arial"/>
        </w:rPr>
        <w:t xml:space="preserve">(Weder, 2022). There is a measurable impact </w:t>
      </w:r>
      <w:r w:rsidRPr="002A77FC">
        <w:rPr>
          <w:rFonts w:ascii="Arial" w:hAnsi="Arial" w:cs="Arial"/>
          <w:lang w:val="en-US"/>
        </w:rPr>
        <w:t>o</w:t>
      </w:r>
      <w:r w:rsidRPr="002A77FC">
        <w:rPr>
          <w:rFonts w:ascii="Arial" w:hAnsi="Arial" w:cs="Arial"/>
        </w:rPr>
        <w:t>n the communication of P&amp;G and Henkel, but it wasn't as distinctive an emotion. Claims were discredited by a history of controversy as Nestlé proved. Reckitt had a stronger connection to sustainability when it came to health and hygiene. In general, communication was used as a signal, rather than evidence. A signal needed evidence and authenticity – and a consumer sense of meaning.</w:t>
      </w:r>
    </w:p>
    <w:p w14:paraId="6CAA29E5" w14:textId="77777777" w:rsidR="00D20612" w:rsidRPr="002A77FC" w:rsidRDefault="00D20612" w:rsidP="00D20612">
      <w:pPr>
        <w:pStyle w:val="Heading2"/>
        <w:rPr>
          <w:rFonts w:ascii="Arial" w:hAnsi="Arial" w:cs="Arial"/>
          <w:color w:val="auto"/>
        </w:rPr>
      </w:pPr>
      <w:bookmarkStart w:id="97" w:name="_Toc230268894"/>
      <w:r w:rsidRPr="002A77FC">
        <w:rPr>
          <w:rFonts w:ascii="Arial" w:hAnsi="Arial" w:cs="Arial"/>
          <w:color w:val="auto"/>
        </w:rPr>
        <w:t>6.3 Theoretical Implications</w:t>
      </w:r>
      <w:bookmarkEnd w:id="97"/>
    </w:p>
    <w:p w14:paraId="5716247C" w14:textId="2F80A7D8" w:rsidR="00D20612" w:rsidRPr="002A77FC" w:rsidRDefault="00D20612" w:rsidP="00D20612">
      <w:pPr>
        <w:spacing w:line="360" w:lineRule="auto"/>
        <w:jc w:val="both"/>
        <w:rPr>
          <w:rFonts w:ascii="Arial" w:hAnsi="Arial" w:cs="Arial"/>
        </w:rPr>
      </w:pPr>
      <w:r w:rsidRPr="002A77FC">
        <w:rPr>
          <w:rFonts w:ascii="Arial" w:hAnsi="Arial" w:cs="Arial"/>
        </w:rPr>
        <w:t>The first theoretical implication is related to Signalling Theory. The study corroborates the idea that corporate business communication helps to reduce the information gap (van der Werff et al., 2019). Sustainability reporting and targets, packaging claims and campaigns are all signals. The research results</w:t>
      </w:r>
      <w:r w:rsidRPr="002A77FC">
        <w:rPr>
          <w:rFonts w:ascii="Arial" w:hAnsi="Arial" w:cs="Arial"/>
          <w:lang w:val="en-US"/>
        </w:rPr>
        <w:t>,</w:t>
      </w:r>
      <w:r w:rsidRPr="002A77FC">
        <w:rPr>
          <w:rFonts w:ascii="Arial" w:hAnsi="Arial" w:cs="Arial"/>
        </w:rPr>
        <w:t xml:space="preserve"> however, ‘qualify’ the theory</w:t>
      </w:r>
      <w:r w:rsidRPr="002A77FC">
        <w:rPr>
          <w:rFonts w:ascii="Arial" w:hAnsi="Arial" w:cs="Arial"/>
          <w:lang w:val="en-US"/>
        </w:rPr>
        <w:t xml:space="preserve"> </w:t>
      </w:r>
      <w:r w:rsidRPr="002A77FC">
        <w:rPr>
          <w:rFonts w:ascii="Arial" w:hAnsi="Arial" w:cs="Arial"/>
        </w:rPr>
        <w:t>(Golob, Podnar and Zabkar, 2023). Trust doesn't simply arise from a signal. It can't be malicious</w:t>
      </w:r>
      <w:r w:rsidRPr="002A77FC">
        <w:rPr>
          <w:rFonts w:ascii="Arial" w:hAnsi="Arial" w:cs="Arial"/>
          <w:lang w:val="en-US"/>
        </w:rPr>
        <w:t>;</w:t>
      </w:r>
      <w:r w:rsidRPr="002A77FC">
        <w:rPr>
          <w:rFonts w:ascii="Arial" w:hAnsi="Arial" w:cs="Arial"/>
        </w:rPr>
        <w:t xml:space="preserve"> it needs to be easy to understand and obvious. This is relevant in the UK FMCG market because there are currently many companies that make similar ‘green' </w:t>
      </w:r>
      <w:r w:rsidRPr="002A77FC">
        <w:rPr>
          <w:rFonts w:ascii="Arial" w:hAnsi="Arial" w:cs="Arial"/>
        </w:rPr>
        <w:lastRenderedPageBreak/>
        <w:t>claims. Sustainability is a ubiquitous concept, and it is more about the character of the signal rather than its mere presence or absence.</w:t>
      </w:r>
    </w:p>
    <w:p w14:paraId="07829147" w14:textId="1C0558DC" w:rsidR="00D20612" w:rsidRPr="002A77FC" w:rsidRDefault="00D20612" w:rsidP="00D20612">
      <w:pPr>
        <w:spacing w:line="360" w:lineRule="auto"/>
        <w:jc w:val="both"/>
        <w:rPr>
          <w:rFonts w:ascii="Arial" w:hAnsi="Arial" w:cs="Arial"/>
        </w:rPr>
      </w:pPr>
      <w:r w:rsidRPr="002A77FC">
        <w:rPr>
          <w:rFonts w:ascii="Arial" w:hAnsi="Arial" w:cs="Arial"/>
        </w:rPr>
        <w:t xml:space="preserve">The second implication is within the realm of interpretation. Overall, previous communication studies conclude that there is a positive impact on reputation through transparent communication (Allen, 2016; Weder, 2022). The process in this study is more conditional. Those who receive the message are STAKEHOLDERS. They are appraisers of motives; they have assessments evidenced and consistencies. </w:t>
      </w:r>
      <w:r w:rsidRPr="002A77FC">
        <w:rPr>
          <w:rFonts w:ascii="Arial" w:hAnsi="Arial" w:cs="Arial"/>
          <w:lang w:val="en-US"/>
        </w:rPr>
        <w:t>H</w:t>
      </w:r>
      <w:r w:rsidRPr="002A77FC">
        <w:rPr>
          <w:rFonts w:ascii="Arial" w:hAnsi="Arial" w:cs="Arial"/>
        </w:rPr>
        <w:t>igh visibility created an increased awareness and an increased doubt in Unilever. In Nestlé, the food-related information was interpreted in a specific way, depending on the historical image of the food</w:t>
      </w:r>
      <w:r w:rsidRPr="002A77FC">
        <w:rPr>
          <w:rFonts w:ascii="Arial" w:hAnsi="Arial" w:cs="Arial"/>
          <w:lang w:val="en-US"/>
        </w:rPr>
        <w:t xml:space="preserve"> </w:t>
      </w:r>
      <w:r w:rsidRPr="002A77FC">
        <w:rPr>
          <w:rFonts w:ascii="Arial" w:hAnsi="Arial" w:cs="Arial"/>
        </w:rPr>
        <w:t>(van der Werff et al., 2019). Measurable evidence was from high credibility</w:t>
      </w:r>
      <w:r w:rsidRPr="002A77FC">
        <w:rPr>
          <w:rFonts w:ascii="Arial" w:hAnsi="Arial" w:cs="Arial"/>
          <w:lang w:val="en-US"/>
        </w:rPr>
        <w:t>,</w:t>
      </w:r>
      <w:r w:rsidRPr="002A77FC">
        <w:rPr>
          <w:rFonts w:ascii="Arial" w:hAnsi="Arial" w:cs="Arial"/>
        </w:rPr>
        <w:t xml:space="preserve"> and low visibility was from low consumer meaning in Henkel. It implies that reputation is associated with communication</w:t>
      </w:r>
      <w:r w:rsidRPr="002A77FC">
        <w:rPr>
          <w:rFonts w:ascii="Arial" w:hAnsi="Arial" w:cs="Arial"/>
          <w:lang w:val="en-US"/>
        </w:rPr>
        <w:t>,</w:t>
      </w:r>
      <w:r w:rsidRPr="002A77FC">
        <w:rPr>
          <w:rFonts w:ascii="Arial" w:hAnsi="Arial" w:cs="Arial"/>
        </w:rPr>
        <w:t xml:space="preserve"> and interpretation is a vital form of that relationship.</w:t>
      </w:r>
    </w:p>
    <w:p w14:paraId="370BF74F" w14:textId="05385C1F" w:rsidR="00D20612" w:rsidRPr="002A77FC" w:rsidRDefault="00D20612" w:rsidP="00D20612">
      <w:pPr>
        <w:spacing w:line="360" w:lineRule="auto"/>
        <w:jc w:val="both"/>
        <w:rPr>
          <w:rFonts w:ascii="Arial" w:hAnsi="Arial" w:cs="Arial"/>
        </w:rPr>
      </w:pPr>
      <w:r w:rsidRPr="002A77FC">
        <w:rPr>
          <w:rFonts w:ascii="Arial" w:hAnsi="Arial" w:cs="Arial"/>
        </w:rPr>
        <w:t xml:space="preserve">The third implication has to do with authenticity and scepticism. In </w:t>
      </w:r>
      <w:r w:rsidRPr="002A77FC">
        <w:rPr>
          <w:rFonts w:ascii="Arial" w:hAnsi="Arial" w:cs="Arial"/>
          <w:lang w:val="en-US"/>
        </w:rPr>
        <w:t>C</w:t>
      </w:r>
      <w:r w:rsidRPr="002A77FC">
        <w:rPr>
          <w:rFonts w:ascii="Arial" w:hAnsi="Arial" w:cs="Arial"/>
        </w:rPr>
        <w:t>hapter 2, questions about the excitement for the perceived authenticity and the consumer scepticism were addressed. Chapter 5 supports this. Authenticity contributes to the communication and trust between what is provided and "how it works"</w:t>
      </w:r>
      <w:r w:rsidRPr="002A77FC">
        <w:rPr>
          <w:rFonts w:ascii="Arial" w:hAnsi="Arial" w:cs="Arial"/>
          <w:lang w:val="en-US"/>
        </w:rPr>
        <w:t xml:space="preserve"> </w:t>
      </w:r>
      <w:r w:rsidRPr="002A77FC">
        <w:rPr>
          <w:rFonts w:ascii="Arial" w:hAnsi="Arial" w:cs="Arial"/>
        </w:rPr>
        <w:t>(Allen, 2016). Scepticism is used for claims that would seem to be a promotion or seem unrelated. This will help continue the research in the field of greenwashing and strategic risk (Arli et al., 2021; Prieto et al., 2024). The things that might be differently heard can be credible in one instance and suspicious in another. It is NOT just the message that is different. It's also what's going on around the message.</w:t>
      </w:r>
    </w:p>
    <w:p w14:paraId="611B531C" w14:textId="1350C4A5" w:rsidR="00D20612" w:rsidRPr="002A77FC" w:rsidRDefault="00D20612" w:rsidP="00D20612">
      <w:pPr>
        <w:spacing w:line="360" w:lineRule="auto"/>
        <w:jc w:val="both"/>
        <w:rPr>
          <w:rFonts w:ascii="Arial" w:hAnsi="Arial" w:cs="Arial"/>
        </w:rPr>
      </w:pPr>
      <w:r w:rsidRPr="002A77FC">
        <w:rPr>
          <w:rFonts w:ascii="Arial" w:hAnsi="Arial" w:cs="Arial"/>
        </w:rPr>
        <w:t>The fourth implication is in connection with the conceptual model. The original model posited movement from sustainability communication towards consumer</w:t>
      </w:r>
      <w:r w:rsidRPr="002A77FC">
        <w:rPr>
          <w:rFonts w:ascii="Arial" w:hAnsi="Arial" w:cs="Arial"/>
          <w:lang w:val="en-US"/>
        </w:rPr>
        <w:t xml:space="preserve"> </w:t>
      </w:r>
      <w:r w:rsidRPr="002A77FC">
        <w:rPr>
          <w:rFonts w:ascii="Arial" w:hAnsi="Arial" w:cs="Arial"/>
        </w:rPr>
        <w:t>perception towards trust and ultimately to brand</w:t>
      </w:r>
      <w:r w:rsidRPr="002A77FC">
        <w:rPr>
          <w:rFonts w:ascii="Arial" w:hAnsi="Arial" w:cs="Arial"/>
          <w:lang w:val="en-US"/>
        </w:rPr>
        <w:t xml:space="preserve"> </w:t>
      </w:r>
      <w:r w:rsidRPr="002A77FC">
        <w:rPr>
          <w:rFonts w:ascii="Arial" w:hAnsi="Arial" w:cs="Arial"/>
        </w:rPr>
        <w:t>reputation. There is evidence of this pathway and the need to develop it further. The new model will be based on four standards: Evidence, Product relevance, Brand history &amp; Brand visibility. Evidence supports credibility</w:t>
      </w:r>
      <w:r w:rsidRPr="002A77FC">
        <w:rPr>
          <w:rFonts w:ascii="Arial" w:hAnsi="Arial" w:cs="Arial"/>
          <w:lang w:val="en-US"/>
        </w:rPr>
        <w:t xml:space="preserve"> </w:t>
      </w:r>
      <w:r w:rsidRPr="002A77FC">
        <w:rPr>
          <w:rFonts w:ascii="Arial" w:hAnsi="Arial" w:cs="Arial"/>
        </w:rPr>
        <w:t>(Borges et al., 2023). The consumer must take cognisance of the claim – this can be achieved in the sense of product relevance. Trust has to do with brand history. As visibility leads to exposure</w:t>
      </w:r>
      <w:r w:rsidRPr="002A77FC">
        <w:rPr>
          <w:rFonts w:ascii="Arial" w:hAnsi="Arial" w:cs="Arial"/>
          <w:lang w:val="en-US"/>
        </w:rPr>
        <w:t>,</w:t>
      </w:r>
      <w:r w:rsidRPr="002A77FC">
        <w:rPr>
          <w:rFonts w:ascii="Arial" w:hAnsi="Arial" w:cs="Arial"/>
        </w:rPr>
        <w:t xml:space="preserve"> it also leads to scrutiny. These conditions explain why similar sustainability communication can produce different outcomes across the five cases.</w:t>
      </w:r>
    </w:p>
    <w:p w14:paraId="705048F6" w14:textId="7A2A4E70" w:rsidR="00D20612" w:rsidRPr="002A77FC" w:rsidRDefault="00D20612" w:rsidP="00D20612">
      <w:pPr>
        <w:spacing w:line="360" w:lineRule="auto"/>
        <w:jc w:val="both"/>
        <w:rPr>
          <w:rFonts w:ascii="Arial" w:hAnsi="Arial" w:cs="Arial"/>
        </w:rPr>
      </w:pPr>
      <w:r w:rsidRPr="002A77FC">
        <w:rPr>
          <w:rFonts w:ascii="Arial" w:hAnsi="Arial" w:cs="Arial"/>
        </w:rPr>
        <w:t>The fifth implication is regarding brand reputation theory. Brand reputation can be considered as an outcome</w:t>
      </w:r>
      <w:r w:rsidRPr="002A77FC">
        <w:rPr>
          <w:rFonts w:ascii="Arial" w:hAnsi="Arial" w:cs="Arial"/>
          <w:lang w:val="en-US"/>
        </w:rPr>
        <w:t>,</w:t>
      </w:r>
      <w:r w:rsidRPr="002A77FC">
        <w:rPr>
          <w:rFonts w:ascii="Arial" w:hAnsi="Arial" w:cs="Arial"/>
        </w:rPr>
        <w:t xml:space="preserve"> as positive communication and repetitive association </w:t>
      </w:r>
      <w:r w:rsidRPr="002A77FC">
        <w:rPr>
          <w:rFonts w:ascii="Arial" w:hAnsi="Arial" w:cs="Arial"/>
        </w:rPr>
        <w:lastRenderedPageBreak/>
        <w:t>constitute factors that impact this brand (Rahman and Nguyen-Viet, 2023). With regards to this study, it shows that it's less regulatory in terms of reputation. It's shaped by company rhetoric, and by media stories, regulation, past scandal and consumer debate. In this way, Reputation is co-created. It is affected by the firm, but can not be fully controlled. It is important for large, visible companies, such as Unilever.</w:t>
      </w:r>
    </w:p>
    <w:p w14:paraId="530C05DE" w14:textId="53E2878F" w:rsidR="00D20612" w:rsidRPr="002A77FC" w:rsidRDefault="00D20612" w:rsidP="00D20612">
      <w:pPr>
        <w:spacing w:line="360" w:lineRule="auto"/>
        <w:jc w:val="both"/>
        <w:rPr>
          <w:rFonts w:ascii="Arial" w:hAnsi="Arial" w:cs="Arial"/>
        </w:rPr>
      </w:pPr>
      <w:r w:rsidRPr="002A77FC">
        <w:rPr>
          <w:rFonts w:ascii="Arial" w:hAnsi="Arial" w:cs="Arial"/>
        </w:rPr>
        <w:t>Theories have contributed to the study</w:t>
      </w:r>
      <w:r w:rsidRPr="002A77FC">
        <w:rPr>
          <w:rFonts w:ascii="Arial" w:hAnsi="Arial" w:cs="Arial"/>
          <w:lang w:val="en-US"/>
        </w:rPr>
        <w:t>,</w:t>
      </w:r>
      <w:r w:rsidRPr="002A77FC">
        <w:rPr>
          <w:rFonts w:ascii="Arial" w:hAnsi="Arial" w:cs="Arial"/>
        </w:rPr>
        <w:t xml:space="preserve"> and they are good and present the subject. Does not challenge </w:t>
      </w:r>
      <w:r w:rsidRPr="002A77FC">
        <w:rPr>
          <w:rFonts w:ascii="Arial" w:hAnsi="Arial" w:cs="Arial"/>
          <w:lang w:val="en-US"/>
        </w:rPr>
        <w:t xml:space="preserve">the </w:t>
      </w:r>
      <w:r w:rsidRPr="002A77FC">
        <w:rPr>
          <w:rFonts w:ascii="Arial" w:hAnsi="Arial" w:cs="Arial"/>
        </w:rPr>
        <w:t>prevailing doctrine. It buffs it to a market perennially awash with jadedness and tiredness of the FMCG. The communication of sustainability should be considered to be a conditional signalling process</w:t>
      </w:r>
      <w:r w:rsidRPr="002A77FC">
        <w:rPr>
          <w:rFonts w:ascii="Arial" w:hAnsi="Arial" w:cs="Arial"/>
          <w:lang w:val="en-US"/>
        </w:rPr>
        <w:t xml:space="preserve"> </w:t>
      </w:r>
      <w:r w:rsidRPr="002A77FC">
        <w:rPr>
          <w:rFonts w:ascii="Arial" w:hAnsi="Arial" w:cs="Arial"/>
        </w:rPr>
        <w:t>(Allen, 2016). If specific</w:t>
      </w:r>
      <w:r w:rsidRPr="002A77FC">
        <w:rPr>
          <w:rFonts w:ascii="Arial" w:hAnsi="Arial" w:cs="Arial"/>
          <w:lang w:val="en-US"/>
        </w:rPr>
        <w:t>,</w:t>
      </w:r>
      <w:r w:rsidRPr="002A77FC">
        <w:rPr>
          <w:rFonts w:ascii="Arial" w:hAnsi="Arial" w:cs="Arial"/>
        </w:rPr>
        <w:t xml:space="preserve"> it can provide information, especially if evidence–based. It harms </w:t>
      </w:r>
      <w:r w:rsidRPr="002A77FC">
        <w:rPr>
          <w:rFonts w:ascii="Arial" w:hAnsi="Arial" w:cs="Arial"/>
          <w:lang w:val="en-US"/>
        </w:rPr>
        <w:t xml:space="preserve">the </w:t>
      </w:r>
      <w:r w:rsidRPr="002A77FC">
        <w:rPr>
          <w:rFonts w:ascii="Arial" w:hAnsi="Arial" w:cs="Arial"/>
        </w:rPr>
        <w:t>reputation because it has content that is generic, abstract, or not related to the content taught. This knowledge can only be directly applied in large CPG companies in regulated industries that make claims for sustainability that could be challenged</w:t>
      </w:r>
    </w:p>
    <w:p w14:paraId="0F4A0346" w14:textId="77777777" w:rsidR="00D20612" w:rsidRPr="002A77FC" w:rsidRDefault="00D20612" w:rsidP="00D20612">
      <w:pPr>
        <w:spacing w:line="360" w:lineRule="auto"/>
        <w:jc w:val="both"/>
        <w:rPr>
          <w:rFonts w:ascii="Arial" w:hAnsi="Arial" w:cs="Arial"/>
        </w:rPr>
      </w:pPr>
      <w:r w:rsidRPr="002A77FC">
        <w:rPr>
          <w:rFonts w:ascii="Arial" w:hAnsi="Arial" w:cs="Arial"/>
        </w:rPr>
        <w:t>.</w:t>
      </w:r>
    </w:p>
    <w:p w14:paraId="256C3DF1" w14:textId="77777777" w:rsidR="00D20612" w:rsidRPr="002A77FC" w:rsidRDefault="00D20612" w:rsidP="00D20612">
      <w:pPr>
        <w:pStyle w:val="Heading2"/>
        <w:rPr>
          <w:rFonts w:ascii="Arial" w:hAnsi="Arial" w:cs="Arial"/>
          <w:color w:val="auto"/>
        </w:rPr>
      </w:pPr>
      <w:bookmarkStart w:id="98" w:name="_Toc230268895"/>
      <w:r w:rsidRPr="002A77FC">
        <w:rPr>
          <w:rFonts w:ascii="Arial" w:hAnsi="Arial" w:cs="Arial"/>
          <w:color w:val="auto"/>
        </w:rPr>
        <w:t>6.4 Managerial Implications</w:t>
      </w:r>
      <w:bookmarkEnd w:id="98"/>
    </w:p>
    <w:p w14:paraId="44911227" w14:textId="10419513" w:rsidR="00D20612" w:rsidRPr="002A77FC" w:rsidRDefault="00D20612" w:rsidP="00D20612">
      <w:pPr>
        <w:spacing w:line="360" w:lineRule="auto"/>
        <w:jc w:val="both"/>
        <w:rPr>
          <w:rFonts w:ascii="Arial" w:hAnsi="Arial" w:cs="Arial"/>
        </w:rPr>
      </w:pPr>
      <w:r w:rsidRPr="002A77FC">
        <w:rPr>
          <w:rFonts w:ascii="Arial" w:hAnsi="Arial" w:cs="Arial"/>
        </w:rPr>
        <w:t xml:space="preserve">The first one is </w:t>
      </w:r>
      <w:r w:rsidRPr="002A77FC">
        <w:rPr>
          <w:rFonts w:ascii="Arial" w:hAnsi="Arial" w:cs="Arial"/>
          <w:lang w:val="en-US"/>
        </w:rPr>
        <w:t xml:space="preserve">the </w:t>
      </w:r>
      <w:r w:rsidRPr="002A77FC">
        <w:rPr>
          <w:rFonts w:ascii="Arial" w:hAnsi="Arial" w:cs="Arial"/>
        </w:rPr>
        <w:t>managerial implication of specifying claims. Of the managers using the word</w:t>
      </w:r>
      <w:r w:rsidRPr="002A77FC">
        <w:rPr>
          <w:rFonts w:ascii="Arial" w:hAnsi="Arial" w:cs="Arial"/>
          <w:lang w:val="en-US"/>
        </w:rPr>
        <w:t>s</w:t>
      </w:r>
      <w:r w:rsidRPr="002A77FC">
        <w:rPr>
          <w:rFonts w:ascii="Arial" w:hAnsi="Arial" w:cs="Arial"/>
        </w:rPr>
        <w:t xml:space="preserve"> “green” or “responsible” in their names, be wary of them if they cannot provide evidence</w:t>
      </w:r>
      <w:r w:rsidRPr="002A77FC">
        <w:rPr>
          <w:rFonts w:ascii="Arial" w:hAnsi="Arial" w:cs="Arial"/>
          <w:lang w:val="en-US"/>
        </w:rPr>
        <w:t xml:space="preserve"> </w:t>
      </w:r>
      <w:r w:rsidRPr="002A77FC">
        <w:rPr>
          <w:rFonts w:ascii="Arial" w:hAnsi="Arial" w:cs="Arial"/>
        </w:rPr>
        <w:t>(Weder, 2022). With specific claims, levels of confusion and risk of greenwashing are lowered. Emissions reduction, recycled content, packaging recyclability, and product-level improvements are useful metrics.</w:t>
      </w:r>
    </w:p>
    <w:p w14:paraId="0C724693" w14:textId="7E59FF14" w:rsidR="00D20612" w:rsidRPr="002A77FC" w:rsidRDefault="00D20612" w:rsidP="00D20612">
      <w:pPr>
        <w:spacing w:line="360" w:lineRule="auto"/>
        <w:jc w:val="both"/>
        <w:rPr>
          <w:rFonts w:ascii="Arial" w:hAnsi="Arial" w:cs="Arial"/>
        </w:rPr>
      </w:pPr>
      <w:r w:rsidRPr="002A77FC">
        <w:rPr>
          <w:rFonts w:ascii="Arial" w:hAnsi="Arial" w:cs="Arial"/>
        </w:rPr>
        <w:t xml:space="preserve">The </w:t>
      </w:r>
      <w:r w:rsidRPr="002A77FC">
        <w:rPr>
          <w:rFonts w:ascii="Arial" w:hAnsi="Arial" w:cs="Arial"/>
          <w:lang w:val="en-US"/>
        </w:rPr>
        <w:t>second</w:t>
      </w:r>
      <w:r w:rsidRPr="002A77FC">
        <w:rPr>
          <w:rFonts w:ascii="Arial" w:hAnsi="Arial" w:cs="Arial"/>
        </w:rPr>
        <w:t xml:space="preserve"> implication is: creating sustainability value – sustainability and product value. Not all consumers read </w:t>
      </w:r>
      <w:r w:rsidRPr="002A77FC">
        <w:rPr>
          <w:rFonts w:ascii="Arial" w:hAnsi="Arial" w:cs="Arial"/>
          <w:lang w:val="en-US"/>
        </w:rPr>
        <w:t xml:space="preserve">the </w:t>
      </w:r>
      <w:r w:rsidRPr="002A77FC">
        <w:rPr>
          <w:rFonts w:ascii="Arial" w:hAnsi="Arial" w:cs="Arial"/>
        </w:rPr>
        <w:t>ESG report. They comment on their favo</w:t>
      </w:r>
      <w:r w:rsidRPr="002A77FC">
        <w:rPr>
          <w:rFonts w:ascii="Arial" w:hAnsi="Arial" w:cs="Arial"/>
          <w:lang w:val="en-US"/>
        </w:rPr>
        <w:t>u</w:t>
      </w:r>
      <w:r w:rsidRPr="002A77FC">
        <w:rPr>
          <w:rFonts w:ascii="Arial" w:hAnsi="Arial" w:cs="Arial"/>
        </w:rPr>
        <w:t>rite and disliked brands and products that they use in life</w:t>
      </w:r>
      <w:r w:rsidRPr="002A77FC">
        <w:rPr>
          <w:rFonts w:ascii="Arial" w:hAnsi="Arial" w:cs="Arial"/>
          <w:lang w:val="en-US"/>
        </w:rPr>
        <w:t xml:space="preserve"> </w:t>
      </w:r>
      <w:r w:rsidRPr="002A77FC">
        <w:rPr>
          <w:rFonts w:ascii="Arial" w:hAnsi="Arial" w:cs="Arial"/>
        </w:rPr>
        <w:t>(Prieto et al., 2024). Managers should clearly communicate the value of sustainability to the packaging, use, sourcing and disposal. Key KPIs include claim recognition, trust scores, product preference and repeat purchase.</w:t>
      </w:r>
    </w:p>
    <w:p w14:paraId="170A382B" w14:textId="11968781" w:rsidR="00D20612" w:rsidRPr="002A77FC" w:rsidRDefault="00D20612" w:rsidP="00D20612">
      <w:pPr>
        <w:spacing w:line="360" w:lineRule="auto"/>
        <w:jc w:val="both"/>
        <w:rPr>
          <w:rFonts w:ascii="Arial" w:hAnsi="Arial" w:cs="Arial"/>
        </w:rPr>
      </w:pPr>
      <w:r w:rsidRPr="002A77FC">
        <w:rPr>
          <w:rFonts w:ascii="Arial" w:hAnsi="Arial" w:cs="Arial"/>
        </w:rPr>
        <w:t>The third implication is to manage the visibility: caution balance. Prominent media time can elicit a garnered reputation reward – and a thrust into the light of day. The manager has to conduct tests before campaigns launch</w:t>
      </w:r>
      <w:r w:rsidRPr="002A77FC">
        <w:rPr>
          <w:rFonts w:ascii="Arial" w:hAnsi="Arial" w:cs="Arial"/>
          <w:lang w:val="en-US"/>
        </w:rPr>
        <w:t xml:space="preserve"> </w:t>
      </w:r>
      <w:r w:rsidRPr="002A77FC">
        <w:rPr>
          <w:rFonts w:ascii="Arial" w:hAnsi="Arial" w:cs="Arial"/>
        </w:rPr>
        <w:t>(Veh, Göbel and Vogel, 2019). With legal, sustainability and marketing teams, wording should be considered. Here are some of the hot topics</w:t>
      </w:r>
      <w:r w:rsidRPr="002A77FC">
        <w:rPr>
          <w:rFonts w:ascii="Arial" w:hAnsi="Arial" w:cs="Arial"/>
          <w:lang w:val="en-US"/>
        </w:rPr>
        <w:t>,</w:t>
      </w:r>
      <w:r w:rsidRPr="002A77FC">
        <w:rPr>
          <w:rFonts w:ascii="Arial" w:hAnsi="Arial" w:cs="Arial"/>
        </w:rPr>
        <w:t xml:space="preserve"> which can be</w:t>
      </w:r>
      <w:r w:rsidRPr="002A77FC">
        <w:rPr>
          <w:rFonts w:ascii="Arial" w:hAnsi="Arial" w:cs="Arial"/>
          <w:lang w:val="en-US"/>
        </w:rPr>
        <w:t xml:space="preserve"> c</w:t>
      </w:r>
      <w:r w:rsidRPr="002A77FC">
        <w:rPr>
          <w:rFonts w:ascii="Arial" w:hAnsi="Arial" w:cs="Arial"/>
        </w:rPr>
        <w:t xml:space="preserve">omplaint rates, media sentiment, regulator enquiries, </w:t>
      </w:r>
      <w:r w:rsidRPr="002A77FC">
        <w:rPr>
          <w:rFonts w:ascii="Arial" w:hAnsi="Arial" w:cs="Arial"/>
          <w:lang w:val="en-US"/>
        </w:rPr>
        <w:t xml:space="preserve">and </w:t>
      </w:r>
      <w:r w:rsidRPr="002A77FC">
        <w:rPr>
          <w:rFonts w:ascii="Arial" w:hAnsi="Arial" w:cs="Arial"/>
        </w:rPr>
        <w:t>social media criticism.</w:t>
      </w:r>
    </w:p>
    <w:p w14:paraId="7E197706" w14:textId="58E62349" w:rsidR="00D20612" w:rsidRPr="002A77FC" w:rsidRDefault="00D20612" w:rsidP="00D20612">
      <w:pPr>
        <w:spacing w:line="360" w:lineRule="auto"/>
        <w:jc w:val="both"/>
        <w:rPr>
          <w:rFonts w:ascii="Arial" w:hAnsi="Arial" w:cs="Arial"/>
        </w:rPr>
      </w:pPr>
      <w:r w:rsidRPr="002A77FC">
        <w:rPr>
          <w:rFonts w:ascii="Arial" w:hAnsi="Arial" w:cs="Arial"/>
        </w:rPr>
        <w:lastRenderedPageBreak/>
        <w:t>The fourth implication involves trusting as a process. Building trust is not done overnight</w:t>
      </w:r>
      <w:r w:rsidRPr="002A77FC">
        <w:rPr>
          <w:rFonts w:ascii="Arial" w:hAnsi="Arial" w:cs="Arial"/>
          <w:lang w:val="en-US"/>
        </w:rPr>
        <w:t>;</w:t>
      </w:r>
      <w:r w:rsidRPr="002A77FC">
        <w:rPr>
          <w:rFonts w:ascii="Arial" w:hAnsi="Arial" w:cs="Arial"/>
        </w:rPr>
        <w:t xml:space="preserve"> it takes lots of time and consistency. This is weak evidence and in the past a slight controversy, and one that this particular campaign can't fix</w:t>
      </w:r>
      <w:r w:rsidRPr="002A77FC">
        <w:rPr>
          <w:rFonts w:ascii="Arial" w:hAnsi="Arial" w:cs="Arial"/>
          <w:lang w:val="en-US"/>
        </w:rPr>
        <w:t xml:space="preserve"> </w:t>
      </w:r>
      <w:r w:rsidRPr="002A77FC">
        <w:rPr>
          <w:rFonts w:ascii="Arial" w:hAnsi="Arial" w:cs="Arial"/>
        </w:rPr>
        <w:t>(Rahman and Nguyen</w:t>
      </w:r>
      <w:r w:rsidRPr="002A77FC">
        <w:rPr>
          <w:rFonts w:ascii="Cambria Math" w:hAnsi="Cambria Math" w:cs="Cambria Math"/>
        </w:rPr>
        <w:t>‐</w:t>
      </w:r>
      <w:r w:rsidRPr="002A77FC">
        <w:rPr>
          <w:rFonts w:ascii="Arial" w:hAnsi="Arial" w:cs="Arial"/>
        </w:rPr>
        <w:t>Viet, 2023). If the claim made is believed</w:t>
      </w:r>
      <w:r w:rsidRPr="002A77FC">
        <w:rPr>
          <w:rFonts w:ascii="Arial" w:hAnsi="Arial" w:cs="Arial"/>
          <w:lang w:val="en-US"/>
        </w:rPr>
        <w:t>,</w:t>
      </w:r>
      <w:r w:rsidRPr="002A77FC">
        <w:rPr>
          <w:rFonts w:ascii="Arial" w:hAnsi="Arial" w:cs="Arial"/>
        </w:rPr>
        <w:t xml:space="preserve"> then the firm should be aware of that</w:t>
      </w:r>
      <w:r w:rsidRPr="002A77FC">
        <w:rPr>
          <w:rFonts w:ascii="Arial" w:hAnsi="Arial" w:cs="Arial"/>
          <w:lang w:val="en-US"/>
        </w:rPr>
        <w:t>,</w:t>
      </w:r>
      <w:r w:rsidRPr="002A77FC">
        <w:rPr>
          <w:rFonts w:ascii="Arial" w:hAnsi="Arial" w:cs="Arial"/>
        </w:rPr>
        <w:t xml:space="preserve"> and not only that the consumer saw the claim. As part of brand tracking, authenticity is to be measured</w:t>
      </w:r>
      <w:r w:rsidRPr="002A77FC">
        <w:rPr>
          <w:rFonts w:ascii="Arial" w:hAnsi="Arial" w:cs="Arial"/>
          <w:lang w:val="en-US"/>
        </w:rPr>
        <w:t>,</w:t>
      </w:r>
      <w:r w:rsidRPr="002A77FC">
        <w:rPr>
          <w:rFonts w:ascii="Arial" w:hAnsi="Arial" w:cs="Arial"/>
        </w:rPr>
        <w:t xml:space="preserve"> and scenes of perceived honesty and scepticism.</w:t>
      </w:r>
    </w:p>
    <w:p w14:paraId="31F8243B" w14:textId="27FA6B9A" w:rsidR="00D20612" w:rsidRPr="002A77FC" w:rsidRDefault="00D20612" w:rsidP="00D20612">
      <w:pPr>
        <w:spacing w:line="360" w:lineRule="auto"/>
        <w:jc w:val="both"/>
        <w:rPr>
          <w:rFonts w:ascii="Arial" w:hAnsi="Arial" w:cs="Arial"/>
        </w:rPr>
      </w:pPr>
      <w:r w:rsidRPr="002A77FC">
        <w:rPr>
          <w:rFonts w:ascii="Arial" w:hAnsi="Arial" w:cs="Arial"/>
        </w:rPr>
        <w:t>The last implication is to adapt communication in the context of brand history. This is not what Nestlé needs when it comes to the Last Thing they need, which is Past Controversy Changing Interpretation. One example is that the evidence may be credible, but not as obvious," says Henkel. Don't use a single communication approach for all of the brands</w:t>
      </w:r>
      <w:r w:rsidRPr="002A77FC">
        <w:rPr>
          <w:rFonts w:ascii="Arial" w:hAnsi="Arial" w:cs="Arial"/>
          <w:lang w:val="en-US"/>
        </w:rPr>
        <w:t xml:space="preserve"> </w:t>
      </w:r>
      <w:r w:rsidRPr="002A77FC">
        <w:rPr>
          <w:rFonts w:ascii="Arial" w:hAnsi="Arial" w:cs="Arial"/>
        </w:rPr>
        <w:t>(Veh, Göbel and Vogel, 2019). Brands that score high on scepticism require more proof than do the rest. Easy-to-digest messages are required from low</w:t>
      </w:r>
      <w:r w:rsidRPr="002A77FC">
        <w:rPr>
          <w:rFonts w:ascii="Arial" w:hAnsi="Arial" w:cs="Arial"/>
          <w:lang w:val="en-US"/>
        </w:rPr>
        <w:t>-</w:t>
      </w:r>
      <w:r w:rsidRPr="002A77FC">
        <w:rPr>
          <w:rFonts w:ascii="Arial" w:hAnsi="Arial" w:cs="Arial"/>
        </w:rPr>
        <w:t>visibility brands. Well-known brands must be better managed.</w:t>
      </w:r>
    </w:p>
    <w:p w14:paraId="1792B970" w14:textId="63564BB7" w:rsidR="00D20612" w:rsidRPr="002A77FC" w:rsidRDefault="00D20612" w:rsidP="00D20612">
      <w:pPr>
        <w:spacing w:line="360" w:lineRule="auto"/>
        <w:jc w:val="both"/>
        <w:rPr>
          <w:rFonts w:ascii="Arial" w:hAnsi="Arial" w:cs="Arial"/>
        </w:rPr>
      </w:pPr>
      <w:r w:rsidRPr="002A77FC">
        <w:rPr>
          <w:rFonts w:ascii="Arial" w:hAnsi="Arial" w:cs="Arial"/>
        </w:rPr>
        <w:t>The last implication is to match reporting with consumer communication. ESG reports can be very helpful for investors and the regulators, but are too technical for the shoppers. The company needs to go from techno-speak to relatively simple, but still compelling, marketing messages for the consumer</w:t>
      </w:r>
      <w:r w:rsidRPr="002A77FC">
        <w:rPr>
          <w:rFonts w:ascii="Arial" w:hAnsi="Arial" w:cs="Arial"/>
          <w:lang w:val="en-US"/>
        </w:rPr>
        <w:t xml:space="preserve"> </w:t>
      </w:r>
      <w:r w:rsidRPr="002A77FC">
        <w:rPr>
          <w:rFonts w:ascii="Arial" w:hAnsi="Arial" w:cs="Arial"/>
        </w:rPr>
        <w:t>(Rahman and Nguyen</w:t>
      </w:r>
      <w:r w:rsidRPr="002A77FC">
        <w:rPr>
          <w:rFonts w:ascii="Cambria Math" w:hAnsi="Cambria Math" w:cs="Cambria Math"/>
        </w:rPr>
        <w:t>‐</w:t>
      </w:r>
      <w:r w:rsidRPr="002A77FC">
        <w:rPr>
          <w:rFonts w:ascii="Arial" w:hAnsi="Arial" w:cs="Arial"/>
        </w:rPr>
        <w:t>Viet, 2023). Sustainability teams can be asked to provide facts and figures. It should be translated by the marketing teams. Governance teams and checks to ensure correctness.</w:t>
      </w:r>
    </w:p>
    <w:p w14:paraId="72E0B488" w14:textId="77777777" w:rsidR="00D20612" w:rsidRPr="002A77FC" w:rsidRDefault="00D20612" w:rsidP="00D20612">
      <w:pPr>
        <w:pStyle w:val="Heading2"/>
        <w:rPr>
          <w:rFonts w:ascii="Arial" w:hAnsi="Arial" w:cs="Arial"/>
          <w:color w:val="auto"/>
        </w:rPr>
      </w:pPr>
      <w:bookmarkStart w:id="99" w:name="_Toc230268896"/>
      <w:r w:rsidRPr="002A77FC">
        <w:rPr>
          <w:rFonts w:ascii="Arial" w:hAnsi="Arial" w:cs="Arial"/>
          <w:color w:val="auto"/>
        </w:rPr>
        <w:t>6.5 Limitations and Directions for Future Research</w:t>
      </w:r>
      <w:bookmarkEnd w:id="99"/>
    </w:p>
    <w:p w14:paraId="317AC41C" w14:textId="7DE3F42A" w:rsidR="00D20612" w:rsidRPr="002A77FC" w:rsidRDefault="00D20612" w:rsidP="00D20612">
      <w:pPr>
        <w:spacing w:line="360" w:lineRule="auto"/>
        <w:jc w:val="both"/>
        <w:rPr>
          <w:rFonts w:ascii="Arial" w:hAnsi="Arial" w:cs="Arial"/>
        </w:rPr>
      </w:pPr>
      <w:r w:rsidRPr="002A77FC">
        <w:rPr>
          <w:rFonts w:ascii="Arial" w:hAnsi="Arial" w:cs="Arial"/>
        </w:rPr>
        <w:t>Some limitations of this study are presented. It was based on secondary data. “Good news” information is allowed on corporate reports. The media may focus on controversial aspects. Triangulation was used</w:t>
      </w:r>
      <w:r w:rsidRPr="002A77FC">
        <w:rPr>
          <w:rFonts w:ascii="Arial" w:hAnsi="Arial" w:cs="Arial"/>
          <w:lang w:val="en-US"/>
        </w:rPr>
        <w:t>,</w:t>
      </w:r>
      <w:r w:rsidRPr="002A77FC">
        <w:rPr>
          <w:rFonts w:ascii="Arial" w:hAnsi="Arial" w:cs="Arial"/>
        </w:rPr>
        <w:t xml:space="preserve"> which mitigated this problem</w:t>
      </w:r>
      <w:r w:rsidRPr="002A77FC">
        <w:rPr>
          <w:rFonts w:ascii="Arial" w:hAnsi="Arial" w:cs="Arial"/>
          <w:lang w:val="en-US"/>
        </w:rPr>
        <w:t>. H</w:t>
      </w:r>
      <w:r w:rsidRPr="002A77FC">
        <w:rPr>
          <w:rFonts w:ascii="Arial" w:hAnsi="Arial" w:cs="Arial"/>
        </w:rPr>
        <w:t>owever</w:t>
      </w:r>
      <w:r w:rsidRPr="002A77FC">
        <w:rPr>
          <w:rFonts w:ascii="Arial" w:hAnsi="Arial" w:cs="Arial"/>
          <w:lang w:val="en-US"/>
        </w:rPr>
        <w:t>,</w:t>
      </w:r>
      <w:r w:rsidRPr="002A77FC">
        <w:rPr>
          <w:rFonts w:ascii="Arial" w:hAnsi="Arial" w:cs="Arial"/>
        </w:rPr>
        <w:t xml:space="preserve"> there can still be source bias. As the study was focused, the market of UK FMCG was covered</w:t>
      </w:r>
      <w:r w:rsidRPr="002A77FC">
        <w:rPr>
          <w:rFonts w:ascii="Arial" w:hAnsi="Arial" w:cs="Arial"/>
          <w:lang w:val="en-US"/>
        </w:rPr>
        <w:t xml:space="preserve"> </w:t>
      </w:r>
      <w:r w:rsidRPr="002A77FC">
        <w:rPr>
          <w:rFonts w:ascii="Arial" w:hAnsi="Arial" w:cs="Arial"/>
        </w:rPr>
        <w:t xml:space="preserve">(Reilly and Hynan, 2014). This context may be useful as it helps you get to know your competitive landscape and is highly regulated and reviewed, but </w:t>
      </w:r>
      <w:r w:rsidRPr="002A77FC">
        <w:rPr>
          <w:rFonts w:ascii="Arial" w:hAnsi="Arial" w:cs="Arial"/>
          <w:lang w:val="en-US"/>
        </w:rPr>
        <w:t xml:space="preserve">it </w:t>
      </w:r>
      <w:r w:rsidRPr="002A77FC">
        <w:rPr>
          <w:rFonts w:ascii="Arial" w:hAnsi="Arial" w:cs="Arial"/>
        </w:rPr>
        <w:t>may not be relevant to smaller companies or less regulated areas of the market.</w:t>
      </w:r>
    </w:p>
    <w:p w14:paraId="4DC24601" w14:textId="1152D85E" w:rsidR="00D20612" w:rsidRPr="002A77FC" w:rsidRDefault="00D20612" w:rsidP="00D20612">
      <w:pPr>
        <w:spacing w:line="360" w:lineRule="auto"/>
        <w:jc w:val="both"/>
        <w:rPr>
          <w:rFonts w:ascii="Arial" w:hAnsi="Arial" w:cs="Arial"/>
        </w:rPr>
      </w:pPr>
      <w:r w:rsidRPr="002A77FC">
        <w:rPr>
          <w:rFonts w:ascii="Arial" w:hAnsi="Arial" w:cs="Arial"/>
        </w:rPr>
        <w:t xml:space="preserve">This study also lacks </w:t>
      </w:r>
      <w:r w:rsidRPr="002A77FC">
        <w:rPr>
          <w:rFonts w:ascii="Arial" w:hAnsi="Arial" w:cs="Arial"/>
          <w:lang w:val="en-US"/>
        </w:rPr>
        <w:t xml:space="preserve">a </w:t>
      </w:r>
      <w:r w:rsidRPr="002A77FC">
        <w:rPr>
          <w:rFonts w:ascii="Arial" w:hAnsi="Arial" w:cs="Arial"/>
        </w:rPr>
        <w:t>causal relationship. Can explain the interrelationships of communication, perception, trust and reputation. Is not able to explain the connection between a message and a response in terms of reputation</w:t>
      </w:r>
      <w:r w:rsidRPr="002A77FC">
        <w:rPr>
          <w:rFonts w:ascii="Arial" w:hAnsi="Arial" w:cs="Arial"/>
          <w:lang w:val="en-US"/>
        </w:rPr>
        <w:t xml:space="preserve"> </w:t>
      </w:r>
      <w:r w:rsidRPr="002A77FC">
        <w:rPr>
          <w:rFonts w:ascii="Arial" w:hAnsi="Arial" w:cs="Arial"/>
        </w:rPr>
        <w:t>(Koh, Burnasheva and Suh, 2022). There are also some public data reflecting private but consumer interpretation</w:t>
      </w:r>
      <w:r w:rsidRPr="002A77FC">
        <w:rPr>
          <w:rFonts w:ascii="Arial" w:hAnsi="Arial" w:cs="Arial"/>
          <w:lang w:val="en-US"/>
        </w:rPr>
        <w:t>,</w:t>
      </w:r>
      <w:r w:rsidRPr="002A77FC">
        <w:rPr>
          <w:rFonts w:ascii="Arial" w:hAnsi="Arial" w:cs="Arial"/>
        </w:rPr>
        <w:t xml:space="preserve"> which yield limited information.</w:t>
      </w:r>
    </w:p>
    <w:p w14:paraId="31047A6B" w14:textId="4A83037A" w:rsidR="00D20612" w:rsidRPr="002A77FC" w:rsidRDefault="00D20612" w:rsidP="00D20612">
      <w:pPr>
        <w:spacing w:line="360" w:lineRule="auto"/>
        <w:jc w:val="both"/>
        <w:rPr>
          <w:rFonts w:ascii="Arial" w:hAnsi="Arial" w:cs="Arial"/>
        </w:rPr>
      </w:pPr>
      <w:r w:rsidRPr="002A77FC">
        <w:rPr>
          <w:rFonts w:ascii="Arial" w:hAnsi="Arial" w:cs="Arial"/>
        </w:rPr>
        <w:lastRenderedPageBreak/>
        <w:t>Further studies with primary data should be done to validate the modified model. Totally</w:t>
      </w:r>
      <w:r w:rsidRPr="002A77FC">
        <w:rPr>
          <w:rFonts w:ascii="Arial" w:hAnsi="Arial" w:cs="Arial"/>
          <w:lang w:val="en-US"/>
        </w:rPr>
        <w:t>,</w:t>
      </w:r>
      <w:r w:rsidRPr="002A77FC">
        <w:rPr>
          <w:rFonts w:ascii="Arial" w:hAnsi="Arial" w:cs="Arial"/>
        </w:rPr>
        <w:t xml:space="preserve"> we can research the consumers' claim judgment through interviews, surveys and experiments. Longitudinal studies could be used to determine if trust is changed over time. Comparative research may be conducted with other sectors and/or countries</w:t>
      </w:r>
      <w:r w:rsidRPr="002A77FC">
        <w:rPr>
          <w:rFonts w:ascii="Arial" w:hAnsi="Arial" w:cs="Arial"/>
          <w:lang w:val="en-US"/>
        </w:rPr>
        <w:t xml:space="preserve"> </w:t>
      </w:r>
      <w:r w:rsidRPr="002A77FC">
        <w:rPr>
          <w:rFonts w:ascii="Arial" w:hAnsi="Arial" w:cs="Arial"/>
        </w:rPr>
        <w:t>(van der Werff et al., 2019). In the future, there may be research correlating Up Web Analytics with sentiment on Twitter and sale</w:t>
      </w:r>
      <w:r w:rsidRPr="002A77FC">
        <w:rPr>
          <w:rFonts w:ascii="Arial" w:hAnsi="Arial" w:cs="Arial"/>
          <w:lang w:val="en-US"/>
        </w:rPr>
        <w:t>s</w:t>
      </w:r>
      <w:r w:rsidRPr="002A77FC">
        <w:rPr>
          <w:rFonts w:ascii="Arial" w:hAnsi="Arial" w:cs="Arial"/>
        </w:rPr>
        <w:t xml:space="preserve"> figures. This would provide a more compelling measure of impact upon reputation.</w:t>
      </w:r>
    </w:p>
    <w:p w14:paraId="13D91D7C" w14:textId="77777777" w:rsidR="00D20612" w:rsidRPr="002A77FC" w:rsidRDefault="00D20612" w:rsidP="00D20612">
      <w:pPr>
        <w:spacing w:line="360" w:lineRule="auto"/>
        <w:jc w:val="both"/>
        <w:rPr>
          <w:rFonts w:ascii="Arial" w:hAnsi="Arial" w:cs="Arial"/>
        </w:rPr>
      </w:pPr>
    </w:p>
    <w:p w14:paraId="0B4CE3E2" w14:textId="77777777" w:rsidR="00D20612" w:rsidRPr="002A77FC" w:rsidRDefault="00D20612" w:rsidP="00D20612">
      <w:pPr>
        <w:pStyle w:val="Heading2"/>
        <w:rPr>
          <w:rFonts w:ascii="Arial" w:hAnsi="Arial" w:cs="Arial"/>
          <w:color w:val="auto"/>
        </w:rPr>
      </w:pPr>
      <w:bookmarkStart w:id="100" w:name="_Toc230268897"/>
      <w:r w:rsidRPr="002A77FC">
        <w:rPr>
          <w:rFonts w:ascii="Arial" w:hAnsi="Arial" w:cs="Arial"/>
          <w:color w:val="auto"/>
        </w:rPr>
        <w:t>6.6 Closing Statement</w:t>
      </w:r>
      <w:bookmarkEnd w:id="100"/>
    </w:p>
    <w:p w14:paraId="65429895" w14:textId="36135D79" w:rsidR="006C421E" w:rsidRPr="002A77FC" w:rsidRDefault="00D20612" w:rsidP="00012868">
      <w:pPr>
        <w:spacing w:line="360" w:lineRule="auto"/>
        <w:jc w:val="both"/>
        <w:rPr>
          <w:rFonts w:ascii="Arial" w:hAnsi="Arial" w:cs="Arial"/>
        </w:rPr>
      </w:pPr>
      <w:r w:rsidRPr="002A77FC">
        <w:rPr>
          <w:rFonts w:ascii="Arial" w:hAnsi="Arial" w:cs="Arial"/>
        </w:rPr>
        <w:t>The dissertation demonstrates that although sustainability communication is an important strategic tool, it does not necessarily have a beneficial impact. It is content</w:t>
      </w:r>
      <w:r w:rsidRPr="002A77FC">
        <w:rPr>
          <w:rFonts w:ascii="Arial" w:hAnsi="Arial" w:cs="Arial"/>
          <w:lang w:val="en-US"/>
        </w:rPr>
        <w:t>-</w:t>
      </w:r>
      <w:r w:rsidRPr="002A77FC">
        <w:rPr>
          <w:rFonts w:ascii="Arial" w:hAnsi="Arial" w:cs="Arial"/>
        </w:rPr>
        <w:t>dependent, content</w:t>
      </w:r>
      <w:r w:rsidRPr="002A77FC">
        <w:rPr>
          <w:rFonts w:ascii="Arial" w:hAnsi="Arial" w:cs="Arial"/>
          <w:lang w:val="en-US"/>
        </w:rPr>
        <w:t>-</w:t>
      </w:r>
      <w:r w:rsidRPr="002A77FC">
        <w:rPr>
          <w:rFonts w:ascii="Arial" w:hAnsi="Arial" w:cs="Arial"/>
        </w:rPr>
        <w:t>specific, with evidence and authenticity, and it is interpreted by stakeholders</w:t>
      </w:r>
      <w:r w:rsidRPr="002A77FC">
        <w:rPr>
          <w:rFonts w:ascii="Arial" w:hAnsi="Arial" w:cs="Arial"/>
          <w:lang w:val="en-US"/>
        </w:rPr>
        <w:t xml:space="preserve"> </w:t>
      </w:r>
      <w:r w:rsidRPr="002A77FC">
        <w:rPr>
          <w:rFonts w:ascii="Arial" w:hAnsi="Arial" w:cs="Arial"/>
        </w:rPr>
        <w:t xml:space="preserve">(Prieto et al., 2024). But the kind of sustainable brands consumers want must be understandable and make sense, and if it does, the reputation can be built among the ranks of FMCGs like Unilever. Downplays when the communication aspect appears to be symbolic. There is a firm idea underpinning it: when it comes to sustainability communication, there is no such thing as </w:t>
      </w:r>
      <w:r w:rsidRPr="002A77FC">
        <w:rPr>
          <w:rFonts w:ascii="Arial" w:hAnsi="Arial" w:cs="Arial"/>
          <w:lang w:val="en-US"/>
        </w:rPr>
        <w:t xml:space="preserve">a </w:t>
      </w:r>
      <w:r w:rsidRPr="002A77FC">
        <w:rPr>
          <w:rFonts w:ascii="Arial" w:hAnsi="Arial" w:cs="Arial"/>
        </w:rPr>
        <w:t>promise</w:t>
      </w:r>
      <w:r w:rsidRPr="002A77FC">
        <w:rPr>
          <w:rFonts w:ascii="Arial" w:hAnsi="Arial" w:cs="Arial"/>
          <w:lang w:val="en-US"/>
        </w:rPr>
        <w:t>.</w:t>
      </w:r>
      <w:r w:rsidRPr="002A77FC">
        <w:rPr>
          <w:rFonts w:ascii="Arial" w:hAnsi="Arial" w:cs="Arial"/>
        </w:rPr>
        <w:t xml:space="preserve"> </w:t>
      </w:r>
      <w:r w:rsidRPr="002A77FC">
        <w:rPr>
          <w:rFonts w:ascii="Arial" w:hAnsi="Arial" w:cs="Arial"/>
          <w:lang w:val="en-US"/>
        </w:rPr>
        <w:t>I</w:t>
      </w:r>
      <w:r w:rsidRPr="002A77FC">
        <w:rPr>
          <w:rFonts w:ascii="Arial" w:hAnsi="Arial" w:cs="Arial"/>
        </w:rPr>
        <w:t>t has to deliver, and deliver now.</w:t>
      </w:r>
    </w:p>
    <w:p w14:paraId="06FAEFFA" w14:textId="2E3B4EFD" w:rsidR="000C49EB" w:rsidRPr="002A77FC" w:rsidRDefault="000C49EB" w:rsidP="00012868">
      <w:pPr>
        <w:spacing w:line="360" w:lineRule="auto"/>
        <w:jc w:val="both"/>
        <w:rPr>
          <w:rFonts w:ascii="Arial" w:hAnsi="Arial" w:cs="Arial"/>
        </w:rPr>
      </w:pPr>
      <w:r w:rsidRPr="002A77FC">
        <w:rPr>
          <w:rFonts w:ascii="Arial" w:hAnsi="Arial" w:cs="Arial"/>
        </w:rPr>
        <w:br w:type="page"/>
      </w:r>
    </w:p>
    <w:p w14:paraId="2A00CCB7" w14:textId="0B95A581" w:rsidR="00D04293" w:rsidRPr="002A77FC" w:rsidRDefault="00D04293" w:rsidP="00A808C0">
      <w:pPr>
        <w:pStyle w:val="Heading1"/>
      </w:pPr>
      <w:bookmarkStart w:id="101" w:name="_Toc224795959"/>
      <w:bookmarkStart w:id="102" w:name="_Toc225905086"/>
      <w:bookmarkStart w:id="103" w:name="_Toc230268898"/>
      <w:r w:rsidRPr="002A77FC">
        <w:lastRenderedPageBreak/>
        <w:t>Reference</w:t>
      </w:r>
      <w:bookmarkEnd w:id="101"/>
      <w:bookmarkEnd w:id="102"/>
      <w:bookmarkEnd w:id="103"/>
    </w:p>
    <w:p w14:paraId="7F00DFBB"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Aggerholm, H.K. and Thomsen, C. (2024) 'Strategic communication in contexts of high sustainability pressure: balancing purposefulness, transparency and participation in pursuit of organizational legitimacy', </w:t>
      </w:r>
      <w:r w:rsidRPr="002A77FC">
        <w:rPr>
          <w:rFonts w:ascii="Arial" w:hAnsi="Arial" w:cs="Arial"/>
          <w:i/>
          <w:iCs/>
        </w:rPr>
        <w:t>Journal of communication management (London, England), </w:t>
      </w:r>
      <w:r w:rsidRPr="002A77FC">
        <w:rPr>
          <w:rFonts w:ascii="Arial" w:hAnsi="Arial" w:cs="Arial"/>
        </w:rPr>
        <w:t xml:space="preserve">28(1), pp. 58–73 Available at: </w:t>
      </w:r>
      <w:r w:rsidRPr="002A77FC">
        <w:fldChar w:fldCharType="begin"/>
      </w:r>
      <w:r w:rsidRPr="002A77FC">
        <w:instrText>HYPERLINK "https://doi.org/10.1108/JCOM-12-2022-0131"</w:instrText>
      </w:r>
      <w:r w:rsidRPr="002A77FC">
        <w:fldChar w:fldCharType="separate"/>
      </w:r>
      <w:r w:rsidRPr="002A77FC">
        <w:rPr>
          <w:rStyle w:val="Hyperlink"/>
          <w:rFonts w:ascii="Arial" w:hAnsi="Arial" w:cs="Arial"/>
          <w:color w:val="auto"/>
        </w:rPr>
        <w:t>https://doi.org/10.1108/JCOM-12-2022-0131</w:t>
      </w:r>
      <w:r w:rsidRPr="002A77FC">
        <w:rPr>
          <w:rStyle w:val="Hyperlink"/>
          <w:rFonts w:ascii="Arial" w:hAnsi="Arial" w:cs="Arial"/>
          <w:color w:val="auto"/>
        </w:rPr>
        <w:fldChar w:fldCharType="end"/>
      </w:r>
      <w:r w:rsidRPr="002A77FC">
        <w:rPr>
          <w:rFonts w:ascii="Arial" w:hAnsi="Arial" w:cs="Arial"/>
        </w:rPr>
        <w:t xml:space="preserve">. </w:t>
      </w:r>
    </w:p>
    <w:p w14:paraId="5F940DA1"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Aguinis, H., Bergh, D. and Molina-Azorin, J.F. (2022) ‘Methodological challenges and insights for future international business research’, </w:t>
      </w:r>
      <w:r w:rsidRPr="002A77FC">
        <w:rPr>
          <w:rFonts w:ascii="Arial" w:hAnsi="Arial" w:cs="Arial"/>
          <w:i/>
          <w:iCs/>
        </w:rPr>
        <w:t>Journal of International Business Studies</w:t>
      </w:r>
      <w:r w:rsidRPr="002A77FC">
        <w:rPr>
          <w:rFonts w:ascii="Arial" w:hAnsi="Arial" w:cs="Arial"/>
        </w:rPr>
        <w:t xml:space="preserve"> [Preprint]. Available at: </w:t>
      </w:r>
      <w:r w:rsidRPr="002A77FC">
        <w:fldChar w:fldCharType="begin"/>
      </w:r>
      <w:r w:rsidRPr="002A77FC">
        <w:instrText>HYPERLINK "https://doi.org/10.1057/s41267-022-00578-8"</w:instrText>
      </w:r>
      <w:r w:rsidRPr="002A77FC">
        <w:fldChar w:fldCharType="separate"/>
      </w:r>
      <w:r w:rsidRPr="002A77FC">
        <w:rPr>
          <w:rStyle w:val="Hyperlink"/>
          <w:rFonts w:ascii="Arial" w:hAnsi="Arial" w:cs="Arial"/>
          <w:color w:val="auto"/>
        </w:rPr>
        <w:t>https://doi.org/10.1057/s41267-022-00578-8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DDBCDB4"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Ahmad, F. and Guzmán, F. (2021) ‘Consumer skepticism about online reviews and their decision-making process: the role of review self-efficacy and regulatory focus’, </w:t>
      </w:r>
      <w:r w:rsidRPr="002A77FC">
        <w:rPr>
          <w:rFonts w:ascii="Arial" w:hAnsi="Arial" w:cs="Arial"/>
          <w:i/>
          <w:iCs/>
        </w:rPr>
        <w:t>Journal of Consumer Marketing</w:t>
      </w:r>
      <w:r w:rsidRPr="002A77FC">
        <w:rPr>
          <w:rFonts w:ascii="Arial" w:hAnsi="Arial" w:cs="Arial"/>
        </w:rPr>
        <w:t xml:space="preserve">, 38(5), pp. 587–600. Available at: </w:t>
      </w:r>
      <w:r w:rsidRPr="002A77FC">
        <w:fldChar w:fldCharType="begin"/>
      </w:r>
      <w:r w:rsidRPr="002A77FC">
        <w:instrText>HYPERLINK "https://doi.org/10.1108/jcm-09-2020-4119"</w:instrText>
      </w:r>
      <w:r w:rsidRPr="002A77FC">
        <w:fldChar w:fldCharType="separate"/>
      </w:r>
      <w:r w:rsidRPr="002A77FC">
        <w:rPr>
          <w:rStyle w:val="Hyperlink"/>
          <w:rFonts w:ascii="Arial" w:hAnsi="Arial" w:cs="Arial"/>
          <w:color w:val="auto"/>
        </w:rPr>
        <w:t>https://doi.org/10.1108/jcm-09-2020-4119</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46F41AB"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Aksoy, Z. and Misci Kip, S. (2025) ‘From tactical to strategic sustainability communication: a qualitative study on corporations in Türkiye’, </w:t>
      </w:r>
      <w:r w:rsidRPr="002A77FC">
        <w:rPr>
          <w:rFonts w:ascii="Arial" w:hAnsi="Arial" w:cs="Arial"/>
          <w:i/>
          <w:iCs/>
        </w:rPr>
        <w:t>Corporate Communications: An International Journal</w:t>
      </w:r>
      <w:r w:rsidRPr="002A77FC">
        <w:rPr>
          <w:rFonts w:ascii="Arial" w:hAnsi="Arial" w:cs="Arial"/>
        </w:rPr>
        <w:t xml:space="preserve">, 30(2), pp. 313–334. Available at: </w:t>
      </w:r>
      <w:r w:rsidRPr="002A77FC">
        <w:fldChar w:fldCharType="begin"/>
      </w:r>
      <w:r w:rsidRPr="002A77FC">
        <w:instrText>HYPERLINK "https://doi.org/10.1108/ccij-07-2024-0135"</w:instrText>
      </w:r>
      <w:r w:rsidRPr="002A77FC">
        <w:fldChar w:fldCharType="separate"/>
      </w:r>
      <w:r w:rsidRPr="002A77FC">
        <w:rPr>
          <w:rStyle w:val="Hyperlink"/>
          <w:rFonts w:ascii="Arial" w:hAnsi="Arial" w:cs="Arial"/>
          <w:color w:val="auto"/>
        </w:rPr>
        <w:t>https://doi.org/10.1108/ccij-07-2024-0135</w:t>
      </w:r>
      <w:r w:rsidRPr="002A77FC">
        <w:rPr>
          <w:rStyle w:val="Hyperlink"/>
          <w:rFonts w:ascii="Arial" w:hAnsi="Arial" w:cs="Arial"/>
          <w:color w:val="auto"/>
        </w:rPr>
        <w:fldChar w:fldCharType="end"/>
      </w:r>
      <w:r w:rsidRPr="002A77FC">
        <w:rPr>
          <w:rFonts w:ascii="Arial" w:hAnsi="Arial" w:cs="Arial"/>
        </w:rPr>
        <w:t xml:space="preserve">. </w:t>
      </w:r>
    </w:p>
    <w:p w14:paraId="3B36F757"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Allen, M. (2016) </w:t>
      </w:r>
      <w:r w:rsidRPr="002A77FC">
        <w:rPr>
          <w:rFonts w:ascii="Arial" w:hAnsi="Arial" w:cs="Arial"/>
          <w:i/>
          <w:iCs/>
        </w:rPr>
        <w:t>Strategic Communication for Sustainable Organizations</w:t>
      </w:r>
      <w:r w:rsidRPr="002A77FC">
        <w:rPr>
          <w:rFonts w:ascii="Arial" w:hAnsi="Arial" w:cs="Arial"/>
        </w:rPr>
        <w:t xml:space="preserve">, </w:t>
      </w:r>
      <w:r w:rsidRPr="002A77FC">
        <w:rPr>
          <w:rFonts w:ascii="Arial" w:hAnsi="Arial" w:cs="Arial"/>
          <w:i/>
          <w:iCs/>
        </w:rPr>
        <w:t>CSR, Sustainability, Ethics &amp; Governance</w:t>
      </w:r>
      <w:r w:rsidRPr="002A77FC">
        <w:rPr>
          <w:rFonts w:ascii="Arial" w:hAnsi="Arial" w:cs="Arial"/>
        </w:rPr>
        <w:t xml:space="preserve">. Springer International Publishing. Available at: </w:t>
      </w:r>
      <w:r w:rsidRPr="002A77FC">
        <w:fldChar w:fldCharType="begin"/>
      </w:r>
      <w:r w:rsidRPr="002A77FC">
        <w:instrText>HYPERLINK "https://doi.org/10.1007/978-3-319-18005-2"</w:instrText>
      </w:r>
      <w:r w:rsidRPr="002A77FC">
        <w:fldChar w:fldCharType="separate"/>
      </w:r>
      <w:r w:rsidRPr="002A77FC">
        <w:rPr>
          <w:rStyle w:val="Hyperlink"/>
          <w:rFonts w:ascii="Arial" w:hAnsi="Arial" w:cs="Arial"/>
          <w:color w:val="auto"/>
        </w:rPr>
        <w:t>https://doi.org/10.1007/978-3-319-18005-2</w:t>
      </w:r>
      <w:r w:rsidRPr="002A77FC">
        <w:rPr>
          <w:rStyle w:val="Hyperlink"/>
          <w:rFonts w:ascii="Arial" w:hAnsi="Arial" w:cs="Arial"/>
          <w:color w:val="auto"/>
        </w:rPr>
        <w:fldChar w:fldCharType="end"/>
      </w:r>
      <w:r w:rsidRPr="002A77FC">
        <w:rPr>
          <w:rFonts w:ascii="Arial" w:hAnsi="Arial" w:cs="Arial"/>
        </w:rPr>
        <w:t xml:space="preserve">. </w:t>
      </w:r>
    </w:p>
    <w:p w14:paraId="46BBA39D" w14:textId="38714BF1"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Altaf, M. (2022) ‘Strategic Communication: A Tool to Engage Multiple Stakeholders for Corporate Sustainability’, </w:t>
      </w:r>
      <w:r w:rsidRPr="002A77FC">
        <w:rPr>
          <w:rFonts w:ascii="Arial" w:hAnsi="Arial" w:cs="Arial"/>
          <w:i/>
          <w:iCs/>
        </w:rPr>
        <w:t>Journal of Management and Research</w:t>
      </w:r>
      <w:r w:rsidRPr="002A77FC">
        <w:rPr>
          <w:rFonts w:ascii="Arial" w:hAnsi="Arial" w:cs="Arial"/>
        </w:rPr>
        <w:t xml:space="preserve">, 9(2). Available at: </w:t>
      </w:r>
      <w:r w:rsidRPr="002A77FC">
        <w:fldChar w:fldCharType="begin"/>
      </w:r>
      <w:r w:rsidRPr="002A77FC">
        <w:instrText>HYPERLINK "https://doi.org/10.29145/jmr.92.04"</w:instrText>
      </w:r>
      <w:r w:rsidRPr="002A77FC">
        <w:fldChar w:fldCharType="separate"/>
      </w:r>
      <w:r w:rsidRPr="002A77FC">
        <w:rPr>
          <w:rStyle w:val="Hyperlink"/>
          <w:rFonts w:ascii="Arial" w:hAnsi="Arial" w:cs="Arial"/>
          <w:color w:val="auto"/>
        </w:rPr>
        <w:t>https://doi.org/10.29145/jmr.92.04</w:t>
      </w:r>
      <w:r w:rsidRPr="002A77FC">
        <w:rPr>
          <w:rStyle w:val="Hyperlink"/>
          <w:rFonts w:ascii="Arial" w:hAnsi="Arial" w:cs="Arial"/>
          <w:color w:val="auto"/>
        </w:rPr>
        <w:fldChar w:fldCharType="end"/>
      </w:r>
      <w:r w:rsidRPr="002A77FC">
        <w:rPr>
          <w:rFonts w:ascii="Arial" w:hAnsi="Arial" w:cs="Arial"/>
        </w:rPr>
        <w:t>.</w:t>
      </w:r>
      <w:r w:rsidR="00E27A7F" w:rsidRPr="002A77FC">
        <w:rPr>
          <w:rFonts w:ascii="Arial" w:hAnsi="Arial" w:cs="Arial"/>
          <w:lang w:val="en-US"/>
        </w:rPr>
        <w:t xml:space="preserve"> </w:t>
      </w:r>
    </w:p>
    <w:p w14:paraId="2780A42A"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Arli, D., van Esch, P., Bakpayev, M. and Laurence, A. (2021) ‘Do consumers really trust cryptocurrencies?’, </w:t>
      </w:r>
      <w:r w:rsidRPr="002A77FC">
        <w:rPr>
          <w:rFonts w:ascii="Arial" w:hAnsi="Arial" w:cs="Arial"/>
          <w:i/>
          <w:iCs/>
        </w:rPr>
        <w:t>Marketing Intelligence &amp; Planning</w:t>
      </w:r>
      <w:r w:rsidRPr="002A77FC">
        <w:rPr>
          <w:rFonts w:ascii="Arial" w:hAnsi="Arial" w:cs="Arial"/>
        </w:rPr>
        <w:t xml:space="preserve">, 39(1). Available at: </w:t>
      </w:r>
      <w:r w:rsidRPr="002A77FC">
        <w:fldChar w:fldCharType="begin"/>
      </w:r>
      <w:r w:rsidRPr="002A77FC">
        <w:instrText>HYPERLINK "https://doi.org/10.1108/mip-01-2020-0036"</w:instrText>
      </w:r>
      <w:r w:rsidRPr="002A77FC">
        <w:fldChar w:fldCharType="separate"/>
      </w:r>
      <w:r w:rsidRPr="002A77FC">
        <w:rPr>
          <w:rStyle w:val="Hyperlink"/>
          <w:rFonts w:ascii="Arial" w:hAnsi="Arial" w:cs="Arial"/>
          <w:color w:val="auto"/>
        </w:rPr>
        <w:t>https://doi.org/10.1108/mip-01-2020-0036</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D26A8D7"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Armstrong, B. and Reynolds, C. (2023) ‘China and the USA, a higher perceived risk for UK consumers in a post COVID-19 food system: the impact of country of origin and ethical information on consumer perceptions of food’, </w:t>
      </w:r>
      <w:r w:rsidRPr="002A77FC">
        <w:rPr>
          <w:rFonts w:ascii="Arial" w:hAnsi="Arial" w:cs="Arial"/>
          <w:i/>
          <w:iCs/>
        </w:rPr>
        <w:t>Emerald open research</w:t>
      </w:r>
      <w:r w:rsidRPr="002A77FC">
        <w:rPr>
          <w:rFonts w:ascii="Arial" w:hAnsi="Arial" w:cs="Arial"/>
        </w:rPr>
        <w:t xml:space="preserve">, 1(6). Available at: </w:t>
      </w:r>
      <w:r w:rsidRPr="002A77FC">
        <w:fldChar w:fldCharType="begin"/>
      </w:r>
      <w:r w:rsidRPr="002A77FC">
        <w:instrText>HYPERLINK "https://doi.org/10.1108/eor-06-2023-0007"</w:instrText>
      </w:r>
      <w:r w:rsidRPr="002A77FC">
        <w:fldChar w:fldCharType="separate"/>
      </w:r>
      <w:r w:rsidRPr="002A77FC">
        <w:rPr>
          <w:rStyle w:val="Hyperlink"/>
          <w:rFonts w:ascii="Arial" w:hAnsi="Arial" w:cs="Arial"/>
          <w:color w:val="auto"/>
        </w:rPr>
        <w:t>https://doi.org/10.1108/eor-06-2023-0007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1F2801D2"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Bae, G.-K., Lee, S.-M. and Luan, B.-K. (2023) ‘The Impact of ESG on Brand Trust and Word of Mouth in Food and Beverage Companies: Focusing on Jeju </w:t>
      </w:r>
      <w:r w:rsidRPr="002A77FC">
        <w:rPr>
          <w:rFonts w:ascii="Arial" w:hAnsi="Arial" w:cs="Arial"/>
        </w:rPr>
        <w:lastRenderedPageBreak/>
        <w:t xml:space="preserve">Island Tourists’, </w:t>
      </w:r>
      <w:r w:rsidRPr="002A77FC">
        <w:rPr>
          <w:rFonts w:ascii="Arial" w:hAnsi="Arial" w:cs="Arial"/>
          <w:i/>
          <w:iCs/>
        </w:rPr>
        <w:t>Sustainability</w:t>
      </w:r>
      <w:r w:rsidRPr="002A77FC">
        <w:rPr>
          <w:rFonts w:ascii="Arial" w:hAnsi="Arial" w:cs="Arial"/>
        </w:rPr>
        <w:t xml:space="preserve">, 15(3), p. 2348. Available at: </w:t>
      </w:r>
      <w:r w:rsidRPr="002A77FC">
        <w:fldChar w:fldCharType="begin"/>
      </w:r>
      <w:r w:rsidRPr="002A77FC">
        <w:instrText>HYPERLINK "https://doi.org/10.3390/su15032348"</w:instrText>
      </w:r>
      <w:r w:rsidRPr="002A77FC">
        <w:fldChar w:fldCharType="separate"/>
      </w:r>
      <w:r w:rsidRPr="002A77FC">
        <w:rPr>
          <w:rStyle w:val="Hyperlink"/>
          <w:rFonts w:ascii="Arial" w:hAnsi="Arial" w:cs="Arial"/>
          <w:color w:val="auto"/>
        </w:rPr>
        <w:t>https://doi.org/10.3390/su15032348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CDA943A"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Batırlık, S.N., Gencer, Y.G. and Akkucuk, U. (2022) ‘Global Virtual Team Leadership Scale (GVTLS) Development in Multinational Companies’, </w:t>
      </w:r>
      <w:r w:rsidRPr="002A77FC">
        <w:rPr>
          <w:rFonts w:ascii="Arial" w:hAnsi="Arial" w:cs="Arial"/>
          <w:i/>
          <w:iCs/>
        </w:rPr>
        <w:t>Sustainability</w:t>
      </w:r>
      <w:r w:rsidRPr="002A77FC">
        <w:rPr>
          <w:rFonts w:ascii="Arial" w:hAnsi="Arial" w:cs="Arial"/>
        </w:rPr>
        <w:t xml:space="preserve">, 14(2), p. 1038. Available at: </w:t>
      </w:r>
      <w:r w:rsidRPr="002A77FC">
        <w:fldChar w:fldCharType="begin"/>
      </w:r>
      <w:r w:rsidRPr="002A77FC">
        <w:instrText>HYPERLINK "https://doi.org/10.3390/su14021038"</w:instrText>
      </w:r>
      <w:r w:rsidRPr="002A77FC">
        <w:fldChar w:fldCharType="separate"/>
      </w:r>
      <w:r w:rsidRPr="002A77FC">
        <w:rPr>
          <w:rStyle w:val="Hyperlink"/>
          <w:rFonts w:ascii="Arial" w:hAnsi="Arial" w:cs="Arial"/>
          <w:color w:val="auto"/>
        </w:rPr>
        <w:t>https://doi.org/10.3390/su14021038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8756517"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Bodenheimer, M. and Leidenberger, J. (2020) ‘COVID-19 as a window of opportunity for sustainability transitions? Narratives and communication strategies beyond the pandemic’, </w:t>
      </w:r>
      <w:r w:rsidRPr="002A77FC">
        <w:rPr>
          <w:rFonts w:ascii="Arial" w:hAnsi="Arial" w:cs="Arial"/>
          <w:i/>
          <w:iCs/>
        </w:rPr>
        <w:t>Sustainability: Science, Practice and Policy</w:t>
      </w:r>
      <w:r w:rsidRPr="002A77FC">
        <w:rPr>
          <w:rFonts w:ascii="Arial" w:hAnsi="Arial" w:cs="Arial"/>
        </w:rPr>
        <w:t xml:space="preserve">, 16(1), pp. 61–66. Available at: </w:t>
      </w:r>
      <w:r w:rsidRPr="002A77FC">
        <w:fldChar w:fldCharType="begin"/>
      </w:r>
      <w:r w:rsidRPr="002A77FC">
        <w:instrText>HYPERLINK "https://doi.org/10.1080/15487733.2020.1766318"</w:instrText>
      </w:r>
      <w:r w:rsidRPr="002A77FC">
        <w:fldChar w:fldCharType="separate"/>
      </w:r>
      <w:r w:rsidRPr="002A77FC">
        <w:rPr>
          <w:rStyle w:val="Hyperlink"/>
          <w:rFonts w:ascii="Arial" w:hAnsi="Arial" w:cs="Arial"/>
          <w:color w:val="auto"/>
        </w:rPr>
        <w:t>https://doi.org/10.1080/15487733.2020.1766318</w:t>
      </w:r>
      <w:r w:rsidRPr="002A77FC">
        <w:rPr>
          <w:rStyle w:val="Hyperlink"/>
          <w:rFonts w:ascii="Arial" w:hAnsi="Arial" w:cs="Arial"/>
          <w:color w:val="auto"/>
        </w:rPr>
        <w:fldChar w:fldCharType="end"/>
      </w:r>
      <w:r w:rsidRPr="002A77FC">
        <w:rPr>
          <w:rFonts w:ascii="Arial" w:hAnsi="Arial" w:cs="Arial"/>
        </w:rPr>
        <w:t xml:space="preserve">. </w:t>
      </w:r>
    </w:p>
    <w:p w14:paraId="5AB3EC09"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Borges, E., Campos, S., Teixeira, M.S., Lucas, M.R., Ferreira-Oliveira, A.T., Rodrigues, A.S. and Vaz-Velho, M. (2023) ‘How Do Companies Communicate Sustainability? A Systematic Literature Review’, </w:t>
      </w:r>
      <w:r w:rsidRPr="002A77FC">
        <w:rPr>
          <w:rFonts w:ascii="Arial" w:hAnsi="Arial" w:cs="Arial"/>
          <w:i/>
          <w:iCs/>
        </w:rPr>
        <w:t>Sustainability</w:t>
      </w:r>
      <w:r w:rsidRPr="002A77FC">
        <w:rPr>
          <w:rFonts w:ascii="Arial" w:hAnsi="Arial" w:cs="Arial"/>
        </w:rPr>
        <w:t xml:space="preserve">, 15(10), p. 8263. Available at: </w:t>
      </w:r>
      <w:r w:rsidRPr="002A77FC">
        <w:fldChar w:fldCharType="begin"/>
      </w:r>
      <w:r w:rsidRPr="002A77FC">
        <w:instrText>HYPERLINK "https://doi.org/10.3390/su15108263"</w:instrText>
      </w:r>
      <w:r w:rsidRPr="002A77FC">
        <w:fldChar w:fldCharType="separate"/>
      </w:r>
      <w:r w:rsidRPr="002A77FC">
        <w:rPr>
          <w:rStyle w:val="Hyperlink"/>
          <w:rFonts w:ascii="Arial" w:hAnsi="Arial" w:cs="Arial"/>
          <w:color w:val="auto"/>
        </w:rPr>
        <w:t>https://doi.org/10.3390/su15108263</w:t>
      </w:r>
      <w:r w:rsidRPr="002A77FC">
        <w:rPr>
          <w:rStyle w:val="Hyperlink"/>
          <w:rFonts w:ascii="Arial" w:hAnsi="Arial" w:cs="Arial"/>
          <w:color w:val="auto"/>
        </w:rPr>
        <w:fldChar w:fldCharType="end"/>
      </w:r>
      <w:r w:rsidRPr="002A77FC">
        <w:rPr>
          <w:rFonts w:ascii="Arial" w:hAnsi="Arial" w:cs="Arial"/>
        </w:rPr>
        <w:t xml:space="preserve">. </w:t>
      </w:r>
    </w:p>
    <w:p w14:paraId="4372F674"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Camilleri, M.A. </w:t>
      </w:r>
      <w:r w:rsidRPr="002A77FC">
        <w:rPr>
          <w:rFonts w:ascii="Arial" w:hAnsi="Arial" w:cs="Arial"/>
          <w:i/>
          <w:iCs/>
        </w:rPr>
        <w:t>et al.</w:t>
      </w:r>
      <w:r w:rsidRPr="002A77FC">
        <w:rPr>
          <w:rFonts w:ascii="Arial" w:hAnsi="Arial" w:cs="Arial"/>
        </w:rPr>
        <w:t xml:space="preserve"> (2023) ‘Consumer perceptions of sustainable products: A systematic literature review’, </w:t>
      </w:r>
      <w:r w:rsidRPr="002A77FC">
        <w:rPr>
          <w:rFonts w:ascii="Arial" w:hAnsi="Arial" w:cs="Arial"/>
          <w:i/>
          <w:iCs/>
        </w:rPr>
        <w:t>Sustainability</w:t>
      </w:r>
      <w:r w:rsidRPr="002A77FC">
        <w:rPr>
          <w:rFonts w:ascii="Arial" w:hAnsi="Arial" w:cs="Arial"/>
        </w:rPr>
        <w:t xml:space="preserve">, 15(11), p. 8923. Available at: </w:t>
      </w:r>
      <w:r w:rsidRPr="002A77FC">
        <w:fldChar w:fldCharType="begin"/>
      </w:r>
      <w:r w:rsidRPr="002A77FC">
        <w:instrText>HYPERLINK "https://doi.org/10.3390/su15118923"</w:instrText>
      </w:r>
      <w:r w:rsidRPr="002A77FC">
        <w:fldChar w:fldCharType="separate"/>
      </w:r>
      <w:r w:rsidRPr="002A77FC">
        <w:rPr>
          <w:rStyle w:val="Hyperlink"/>
          <w:rFonts w:ascii="Arial" w:hAnsi="Arial" w:cs="Arial"/>
          <w:color w:val="auto"/>
        </w:rPr>
        <w:t>https://doi.org/10.3390/su15118923</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C658A2C"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Casado-Molina, A.-M., Ramos, C.M.Q., Rojas-de-Gracia, M.-M. and Peláez Sánchez, J.I. (2020) ‘Reputational intelligence: innovating brand management through social media data’, </w:t>
      </w:r>
      <w:r w:rsidRPr="002A77FC">
        <w:rPr>
          <w:rFonts w:ascii="Arial" w:hAnsi="Arial" w:cs="Arial"/>
          <w:i/>
          <w:iCs/>
        </w:rPr>
        <w:t>Industrial Management &amp; Data Systems</w:t>
      </w:r>
      <w:r w:rsidRPr="002A77FC">
        <w:rPr>
          <w:rFonts w:ascii="Arial" w:hAnsi="Arial" w:cs="Arial"/>
        </w:rPr>
        <w:t xml:space="preserve">, 120(1), pp. 40–56. Available at: </w:t>
      </w:r>
      <w:r w:rsidRPr="002A77FC">
        <w:fldChar w:fldCharType="begin"/>
      </w:r>
      <w:r w:rsidRPr="002A77FC">
        <w:instrText>HYPERLINK "https://doi.org/10.1108/imds-03-2019-0145"</w:instrText>
      </w:r>
      <w:r w:rsidRPr="002A77FC">
        <w:fldChar w:fldCharType="separate"/>
      </w:r>
      <w:r w:rsidRPr="002A77FC">
        <w:rPr>
          <w:rStyle w:val="Hyperlink"/>
          <w:rFonts w:ascii="Arial" w:hAnsi="Arial" w:cs="Arial"/>
          <w:color w:val="auto"/>
        </w:rPr>
        <w:t>https://doi.org/10.1108/imds-03-2019-0145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E727F25"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Cheng, L.K. and Huang, H.-L. (2025) ‘Influence of environmental, social and governance (ESG) disclosures on consumer brand perceptions and behavioral intentions’, </w:t>
      </w:r>
      <w:r w:rsidRPr="002A77FC">
        <w:rPr>
          <w:rFonts w:ascii="Arial" w:hAnsi="Arial" w:cs="Arial"/>
          <w:i/>
          <w:iCs/>
        </w:rPr>
        <w:t>Asia Pacific Journal of Marketing and Logistics</w:t>
      </w:r>
      <w:r w:rsidRPr="002A77FC">
        <w:rPr>
          <w:rFonts w:ascii="Arial" w:hAnsi="Arial" w:cs="Arial"/>
        </w:rPr>
        <w:t xml:space="preserve">, 37(7). Available at: </w:t>
      </w:r>
      <w:r w:rsidRPr="002A77FC">
        <w:fldChar w:fldCharType="begin"/>
      </w:r>
      <w:r w:rsidRPr="002A77FC">
        <w:instrText>HYPERLINK "https://doi.org/10.1108/apjml-06-2024-0727"</w:instrText>
      </w:r>
      <w:r w:rsidRPr="002A77FC">
        <w:fldChar w:fldCharType="separate"/>
      </w:r>
      <w:r w:rsidRPr="002A77FC">
        <w:rPr>
          <w:rStyle w:val="Hyperlink"/>
          <w:rFonts w:ascii="Arial" w:hAnsi="Arial" w:cs="Arial"/>
          <w:color w:val="auto"/>
        </w:rPr>
        <w:t>https://doi.org/10.1108/apjml-06-2024-0727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19847B05"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Cowan, K. and Guzman, F. (2020) ‘How CSR reputation, sustainability signals, and country-of-origin sustainability reputation contribute to corporate brand performance: An exploratory study’, </w:t>
      </w:r>
      <w:r w:rsidRPr="002A77FC">
        <w:rPr>
          <w:rFonts w:ascii="Arial" w:hAnsi="Arial" w:cs="Arial"/>
          <w:i/>
          <w:iCs/>
        </w:rPr>
        <w:t>Journal of Business Research</w:t>
      </w:r>
      <w:r w:rsidRPr="002A77FC">
        <w:rPr>
          <w:rFonts w:ascii="Arial" w:hAnsi="Arial" w:cs="Arial"/>
        </w:rPr>
        <w:t xml:space="preserve">, 117. Available at: </w:t>
      </w:r>
      <w:r w:rsidRPr="002A77FC">
        <w:fldChar w:fldCharType="begin"/>
      </w:r>
      <w:r w:rsidRPr="002A77FC">
        <w:instrText>HYPERLINK "https://doi.org/10.1016/j.jbusres.2018.11.017"</w:instrText>
      </w:r>
      <w:r w:rsidRPr="002A77FC">
        <w:fldChar w:fldCharType="separate"/>
      </w:r>
      <w:r w:rsidRPr="002A77FC">
        <w:rPr>
          <w:rStyle w:val="Hyperlink"/>
          <w:rFonts w:ascii="Arial" w:hAnsi="Arial" w:cs="Arial"/>
          <w:color w:val="auto"/>
        </w:rPr>
        <w:t>https://doi.org/10.1016/j.jbusres.2018.11.017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A703AB9"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Crumley, E.T., Grandy, K., Sundararajan, B. and Roy, J. (2022) ‘Media interviews as strategic external communication to maintain legitimacy for sustainability activities’, </w:t>
      </w:r>
      <w:r w:rsidRPr="002A77FC">
        <w:rPr>
          <w:rFonts w:ascii="Arial" w:hAnsi="Arial" w:cs="Arial"/>
          <w:i/>
          <w:iCs/>
        </w:rPr>
        <w:t>Corporate Communications: An International Journal</w:t>
      </w:r>
      <w:r w:rsidRPr="002A77FC">
        <w:rPr>
          <w:rFonts w:ascii="Arial" w:hAnsi="Arial" w:cs="Arial"/>
        </w:rPr>
        <w:t xml:space="preserve">, 27(1), pp. 148–166. Available at: </w:t>
      </w:r>
      <w:r w:rsidRPr="002A77FC">
        <w:fldChar w:fldCharType="begin"/>
      </w:r>
      <w:r w:rsidRPr="002A77FC">
        <w:instrText>HYPERLINK "https://doi.org/10.1108/ccij-05-2021-0053"</w:instrText>
      </w:r>
      <w:r w:rsidRPr="002A77FC">
        <w:fldChar w:fldCharType="separate"/>
      </w:r>
      <w:r w:rsidRPr="002A77FC">
        <w:rPr>
          <w:rStyle w:val="Hyperlink"/>
          <w:rFonts w:ascii="Arial" w:hAnsi="Arial" w:cs="Arial"/>
          <w:color w:val="auto"/>
        </w:rPr>
        <w:t>https://doi.org/10.1108/ccij-05-2021-0053</w:t>
      </w:r>
      <w:r w:rsidRPr="002A77FC">
        <w:rPr>
          <w:rStyle w:val="Hyperlink"/>
          <w:rFonts w:ascii="Arial" w:hAnsi="Arial" w:cs="Arial"/>
          <w:color w:val="auto"/>
        </w:rPr>
        <w:fldChar w:fldCharType="end"/>
      </w:r>
      <w:r w:rsidRPr="002A77FC">
        <w:rPr>
          <w:rFonts w:ascii="Arial" w:hAnsi="Arial" w:cs="Arial"/>
        </w:rPr>
        <w:t xml:space="preserve">. </w:t>
      </w:r>
    </w:p>
    <w:p w14:paraId="0E897EC3"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shd w:val="clear" w:color="auto" w:fill="FFFFFF"/>
        </w:rPr>
        <w:lastRenderedPageBreak/>
        <w:t>Custódio Santos, M., Veiga, C., Águas, P. and Santos, J.A.C. (2019) 'Sustainability communication in hospitality in peripheral tourist destinations Implications for marketing strategies',</w:t>
      </w:r>
      <w:r w:rsidRPr="002A77FC">
        <w:rPr>
          <w:rStyle w:val="apple-converted-space"/>
          <w:rFonts w:ascii="Arial" w:eastAsiaTheme="majorEastAsia" w:hAnsi="Arial" w:cs="Arial"/>
          <w:shd w:val="clear" w:color="auto" w:fill="FFFFFF"/>
        </w:rPr>
        <w:t> </w:t>
      </w:r>
      <w:r w:rsidRPr="002A77FC">
        <w:rPr>
          <w:rFonts w:ascii="Arial" w:hAnsi="Arial" w:cs="Arial"/>
          <w:i/>
          <w:iCs/>
        </w:rPr>
        <w:t>Worldwide hospitality and tourism themes,</w:t>
      </w:r>
      <w:r w:rsidRPr="002A77FC">
        <w:rPr>
          <w:rStyle w:val="apple-converted-space"/>
          <w:rFonts w:ascii="Arial" w:eastAsiaTheme="majorEastAsia" w:hAnsi="Arial" w:cs="Arial"/>
          <w:i/>
          <w:iCs/>
        </w:rPr>
        <w:t> </w:t>
      </w:r>
      <w:r w:rsidRPr="002A77FC">
        <w:rPr>
          <w:rFonts w:ascii="Arial" w:hAnsi="Arial" w:cs="Arial"/>
          <w:shd w:val="clear" w:color="auto" w:fill="FFFFFF"/>
        </w:rPr>
        <w:t xml:space="preserve">11(6), pp. 660–676 Available at: </w:t>
      </w:r>
      <w:r w:rsidRPr="002A77FC">
        <w:fldChar w:fldCharType="begin"/>
      </w:r>
      <w:r w:rsidRPr="002A77FC">
        <w:instrText>HYPERLINK "https://doi.org/10.1108/WHATT-08-2019-0049"</w:instrText>
      </w:r>
      <w:r w:rsidRPr="002A77FC">
        <w:fldChar w:fldCharType="separate"/>
      </w:r>
      <w:r w:rsidRPr="002A77FC">
        <w:rPr>
          <w:rStyle w:val="Hyperlink"/>
          <w:rFonts w:ascii="Arial" w:hAnsi="Arial" w:cs="Arial"/>
          <w:color w:val="auto"/>
          <w:shd w:val="clear" w:color="auto" w:fill="FFFFFF"/>
        </w:rPr>
        <w:t>https://doi.org/10.1108/WHATT-08-2019-0049</w:t>
      </w:r>
      <w:r w:rsidRPr="002A77FC">
        <w:rPr>
          <w:rStyle w:val="Hyperlink"/>
          <w:rFonts w:ascii="Arial" w:hAnsi="Arial" w:cs="Arial"/>
          <w:color w:val="auto"/>
          <w:shd w:val="clear" w:color="auto" w:fill="FFFFFF"/>
        </w:rPr>
        <w:fldChar w:fldCharType="end"/>
      </w:r>
      <w:r w:rsidRPr="002A77FC">
        <w:rPr>
          <w:rFonts w:ascii="Arial" w:hAnsi="Arial" w:cs="Arial"/>
        </w:rPr>
        <w:t xml:space="preserve">. </w:t>
      </w:r>
    </w:p>
    <w:p w14:paraId="4BD0B11E"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Dang, V.T., Nguyen, N. and Pervan, S. (2020) ‘Retailer corporate social responsibility and consumer citizenship behavior: The mediating roles of perceived consumer effectiveness and consumer trust’, </w:t>
      </w:r>
      <w:r w:rsidRPr="002A77FC">
        <w:rPr>
          <w:rFonts w:ascii="Arial" w:hAnsi="Arial" w:cs="Arial"/>
          <w:i/>
          <w:iCs/>
        </w:rPr>
        <w:t>Journal of Retailing and Consumer Services</w:t>
      </w:r>
      <w:r w:rsidRPr="002A77FC">
        <w:rPr>
          <w:rFonts w:ascii="Arial" w:hAnsi="Arial" w:cs="Arial"/>
        </w:rPr>
        <w:t xml:space="preserve">, 55, p. 102082. Available at: </w:t>
      </w:r>
      <w:r w:rsidRPr="002A77FC">
        <w:fldChar w:fldCharType="begin"/>
      </w:r>
      <w:r w:rsidRPr="002A77FC">
        <w:instrText>HYPERLINK "https://doi.org/10.1016/j.jretconser.2020.102082"</w:instrText>
      </w:r>
      <w:r w:rsidRPr="002A77FC">
        <w:fldChar w:fldCharType="separate"/>
      </w:r>
      <w:r w:rsidRPr="002A77FC">
        <w:rPr>
          <w:rStyle w:val="Hyperlink"/>
          <w:rFonts w:ascii="Arial" w:hAnsi="Arial" w:cs="Arial"/>
          <w:color w:val="auto"/>
        </w:rPr>
        <w:t>https://doi.org/10.1016/j.jretconser.2020.102082</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027A12B" w14:textId="561A203D"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Dessart, L. and Standaert, W. (2023) ‘Strategic Storytelling in the Age of Sustainability’, </w:t>
      </w:r>
      <w:r w:rsidRPr="002A77FC">
        <w:rPr>
          <w:rFonts w:ascii="Arial" w:hAnsi="Arial" w:cs="Arial"/>
          <w:i/>
          <w:iCs/>
        </w:rPr>
        <w:t>Business Horizons</w:t>
      </w:r>
      <w:r w:rsidRPr="002A77FC">
        <w:rPr>
          <w:rFonts w:ascii="Arial" w:hAnsi="Arial" w:cs="Arial"/>
        </w:rPr>
        <w:t xml:space="preserve">, 66(3), pp. 371–385. Available at: </w:t>
      </w:r>
      <w:r w:rsidR="00E27A7F" w:rsidRPr="002A77FC">
        <w:rPr>
          <w:rFonts w:ascii="Arial" w:hAnsi="Arial" w:cs="Arial"/>
        </w:rPr>
        <w:fldChar w:fldCharType="begin"/>
      </w:r>
      <w:r w:rsidR="00E27A7F" w:rsidRPr="002A77FC">
        <w:rPr>
          <w:rFonts w:ascii="Arial" w:hAnsi="Arial" w:cs="Arial"/>
        </w:rPr>
        <w:instrText>HYPERLINK "https://doi.org/10.1016/j.bushor.2023.01.005"</w:instrText>
      </w:r>
      <w:r w:rsidR="00E27A7F" w:rsidRPr="002A77FC">
        <w:rPr>
          <w:rFonts w:ascii="Arial" w:hAnsi="Arial" w:cs="Arial"/>
        </w:rPr>
        <w:fldChar w:fldCharType="separate"/>
      </w:r>
      <w:r w:rsidR="00E27A7F" w:rsidRPr="002A77FC">
        <w:rPr>
          <w:rStyle w:val="Hyperlink"/>
          <w:rFonts w:ascii="Arial" w:hAnsi="Arial" w:cs="Arial"/>
          <w:color w:val="auto"/>
        </w:rPr>
        <w:t>https://doi.org/10.1016/j.bushor.2023.01.005</w:t>
      </w:r>
      <w:r w:rsidR="00E27A7F" w:rsidRPr="002A77FC">
        <w:rPr>
          <w:rFonts w:ascii="Arial" w:hAnsi="Arial" w:cs="Arial"/>
        </w:rPr>
        <w:fldChar w:fldCharType="end"/>
      </w:r>
      <w:r w:rsidRPr="002A77FC">
        <w:rPr>
          <w:rFonts w:ascii="Arial" w:hAnsi="Arial" w:cs="Arial"/>
        </w:rPr>
        <w:t>.</w:t>
      </w:r>
      <w:r w:rsidR="00E27A7F" w:rsidRPr="002A77FC">
        <w:rPr>
          <w:rFonts w:ascii="Arial" w:hAnsi="Arial" w:cs="Arial"/>
          <w:lang w:val="en-US"/>
        </w:rPr>
        <w:t xml:space="preserve"> </w:t>
      </w:r>
    </w:p>
    <w:p w14:paraId="2B5EBD39" w14:textId="227FB00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Flores</w:t>
      </w:r>
      <w:r w:rsidRPr="002A77FC">
        <w:rPr>
          <w:rFonts w:ascii="Cambria Math" w:hAnsi="Cambria Math" w:cs="Cambria Math"/>
        </w:rPr>
        <w:t>‐</w:t>
      </w:r>
      <w:r w:rsidRPr="002A77FC">
        <w:rPr>
          <w:rFonts w:ascii="Arial" w:hAnsi="Arial" w:cs="Arial"/>
        </w:rPr>
        <w:t>Hernández, J.A., Cambra</w:t>
      </w:r>
      <w:r w:rsidRPr="002A77FC">
        <w:rPr>
          <w:rFonts w:ascii="Cambria Math" w:hAnsi="Cambria Math" w:cs="Cambria Math"/>
        </w:rPr>
        <w:t>‐</w:t>
      </w:r>
      <w:r w:rsidRPr="002A77FC">
        <w:rPr>
          <w:rFonts w:ascii="Arial" w:hAnsi="Arial" w:cs="Arial"/>
        </w:rPr>
        <w:t>Fierro, J.J. and Vázquez</w:t>
      </w:r>
      <w:r w:rsidRPr="002A77FC">
        <w:rPr>
          <w:rFonts w:ascii="Cambria Math" w:hAnsi="Cambria Math" w:cs="Cambria Math"/>
        </w:rPr>
        <w:t>‐</w:t>
      </w:r>
      <w:r w:rsidRPr="002A77FC">
        <w:rPr>
          <w:rFonts w:ascii="Arial" w:hAnsi="Arial" w:cs="Arial"/>
        </w:rPr>
        <w:t xml:space="preserve">Carrasco, R. (2020) ‘Sustainability, Brand image, Reputation and Financial value: Manager Perceptions in an Emerging Economy Context’, </w:t>
      </w:r>
      <w:r w:rsidRPr="002A77FC">
        <w:rPr>
          <w:rFonts w:ascii="Arial" w:hAnsi="Arial" w:cs="Arial"/>
          <w:i/>
          <w:iCs/>
        </w:rPr>
        <w:t>Sustainable Development</w:t>
      </w:r>
      <w:r w:rsidRPr="002A77FC">
        <w:rPr>
          <w:rFonts w:ascii="Arial" w:hAnsi="Arial" w:cs="Arial"/>
        </w:rPr>
        <w:t>, 28(4), pp. 935–945.</w:t>
      </w:r>
      <w:r w:rsidRPr="002A77FC">
        <w:rPr>
          <w:rFonts w:ascii="Arial" w:hAnsi="Arial" w:cs="Arial"/>
          <w:lang w:val="en-US"/>
        </w:rPr>
        <w:t xml:space="preserve"> </w:t>
      </w:r>
      <w:r w:rsidR="00E27A7F" w:rsidRPr="002A77FC">
        <w:rPr>
          <w:rFonts w:ascii="Arial" w:hAnsi="Arial" w:cs="Arial"/>
        </w:rPr>
        <w:t xml:space="preserve">Available at: </w:t>
      </w:r>
      <w:hyperlink r:id="rId13" w:history="1">
        <w:r w:rsidR="00E27A7F" w:rsidRPr="002A77FC">
          <w:rPr>
            <w:rStyle w:val="Hyperlink"/>
            <w:rFonts w:ascii="Arial" w:hAnsi="Arial" w:cs="Arial"/>
            <w:color w:val="auto"/>
            <w:lang w:val="en-US"/>
          </w:rPr>
          <w:t>https://doi.org/10.1002/sd.2047</w:t>
        </w:r>
      </w:hyperlink>
      <w:r w:rsidR="00E27A7F" w:rsidRPr="002A77FC">
        <w:rPr>
          <w:rFonts w:ascii="Arial" w:hAnsi="Arial" w:cs="Arial"/>
          <w:lang w:val="en-US"/>
        </w:rPr>
        <w:t xml:space="preserve"> </w:t>
      </w:r>
    </w:p>
    <w:p w14:paraId="6C8DFBEF"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Genç, R. (2017) ‘The Importance of Communication in Sustainability &amp; Sustainable Strategies’, </w:t>
      </w:r>
      <w:r w:rsidRPr="002A77FC">
        <w:rPr>
          <w:rFonts w:ascii="Arial" w:hAnsi="Arial" w:cs="Arial"/>
          <w:i/>
          <w:iCs/>
        </w:rPr>
        <w:t>Procedia Manufacturing</w:t>
      </w:r>
      <w:r w:rsidRPr="002A77FC">
        <w:rPr>
          <w:rFonts w:ascii="Arial" w:hAnsi="Arial" w:cs="Arial"/>
        </w:rPr>
        <w:t xml:space="preserve">, 8, pp. 511–516. Available at: </w:t>
      </w:r>
      <w:r w:rsidRPr="002A77FC">
        <w:fldChar w:fldCharType="begin"/>
      </w:r>
      <w:r w:rsidRPr="002A77FC">
        <w:instrText>HYPERLINK "https://doi.org/10.1016/j.promfg.2017.02.065"</w:instrText>
      </w:r>
      <w:r w:rsidRPr="002A77FC">
        <w:fldChar w:fldCharType="separate"/>
      </w:r>
      <w:r w:rsidRPr="002A77FC">
        <w:rPr>
          <w:rStyle w:val="Hyperlink"/>
          <w:rFonts w:ascii="Arial" w:hAnsi="Arial" w:cs="Arial"/>
          <w:color w:val="auto"/>
        </w:rPr>
        <w:t>https://doi.org/10.1016/j.promfg.2017.02.065</w:t>
      </w:r>
      <w:r w:rsidRPr="002A77FC">
        <w:rPr>
          <w:rStyle w:val="Hyperlink"/>
          <w:rFonts w:ascii="Arial" w:hAnsi="Arial" w:cs="Arial"/>
          <w:color w:val="auto"/>
        </w:rPr>
        <w:fldChar w:fldCharType="end"/>
      </w:r>
      <w:r w:rsidRPr="002A77FC">
        <w:rPr>
          <w:rFonts w:ascii="Arial" w:hAnsi="Arial" w:cs="Arial"/>
        </w:rPr>
        <w:t xml:space="preserve">. </w:t>
      </w:r>
    </w:p>
    <w:p w14:paraId="1E0703ED"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Golob, U., Podnar, K. and Zabkar, V. (2023) ‘Sustainability communication’, </w:t>
      </w:r>
      <w:r w:rsidRPr="002A77FC">
        <w:rPr>
          <w:rFonts w:ascii="Arial" w:hAnsi="Arial" w:cs="Arial"/>
          <w:i/>
          <w:iCs/>
        </w:rPr>
        <w:t>International Journal of Advertising</w:t>
      </w:r>
      <w:r w:rsidRPr="002A77FC">
        <w:rPr>
          <w:rFonts w:ascii="Arial" w:hAnsi="Arial" w:cs="Arial"/>
        </w:rPr>
        <w:t xml:space="preserve">, 42(1), pp. 42–51. Available at: </w:t>
      </w:r>
      <w:r w:rsidRPr="002A77FC">
        <w:fldChar w:fldCharType="begin"/>
      </w:r>
      <w:r w:rsidRPr="002A77FC">
        <w:instrText>HYPERLINK "https://doi.org/10.1080/02650487.2022.2144035"</w:instrText>
      </w:r>
      <w:r w:rsidRPr="002A77FC">
        <w:fldChar w:fldCharType="separate"/>
      </w:r>
      <w:r w:rsidRPr="002A77FC">
        <w:rPr>
          <w:rStyle w:val="Hyperlink"/>
          <w:rFonts w:ascii="Arial" w:hAnsi="Arial" w:cs="Arial"/>
          <w:color w:val="auto"/>
        </w:rPr>
        <w:t>https://doi.org/10.1080/02650487.2022.2144035</w:t>
      </w:r>
      <w:r w:rsidRPr="002A77FC">
        <w:rPr>
          <w:rStyle w:val="Hyperlink"/>
          <w:rFonts w:ascii="Arial" w:hAnsi="Arial" w:cs="Arial"/>
          <w:color w:val="auto"/>
        </w:rPr>
        <w:fldChar w:fldCharType="end"/>
      </w:r>
      <w:r w:rsidRPr="002A77FC">
        <w:rPr>
          <w:rFonts w:ascii="Arial" w:hAnsi="Arial" w:cs="Arial"/>
        </w:rPr>
        <w:t xml:space="preserve">. </w:t>
      </w:r>
    </w:p>
    <w:p w14:paraId="0E2E5791"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Gomez-Trujillo, A.M., Velez-Ocampo, J. and Gonzalez-Perez, M.A. (2020) ‘A Literature Review on the Causality between Sustainability and Corporate Reputation’, </w:t>
      </w:r>
      <w:r w:rsidRPr="002A77FC">
        <w:rPr>
          <w:rFonts w:ascii="Arial" w:hAnsi="Arial" w:cs="Arial"/>
          <w:i/>
          <w:iCs/>
        </w:rPr>
        <w:t xml:space="preserve">Management of Environmental Quality: </w:t>
      </w:r>
      <w:proofErr w:type="gramStart"/>
      <w:r w:rsidRPr="002A77FC">
        <w:rPr>
          <w:rFonts w:ascii="Arial" w:hAnsi="Arial" w:cs="Arial"/>
          <w:i/>
          <w:iCs/>
        </w:rPr>
        <w:t>an</w:t>
      </w:r>
      <w:proofErr w:type="gramEnd"/>
      <w:r w:rsidRPr="002A77FC">
        <w:rPr>
          <w:rFonts w:ascii="Arial" w:hAnsi="Arial" w:cs="Arial"/>
          <w:i/>
          <w:iCs/>
        </w:rPr>
        <w:t xml:space="preserve"> International Journal</w:t>
      </w:r>
      <w:r w:rsidRPr="002A77FC">
        <w:rPr>
          <w:rFonts w:ascii="Arial" w:hAnsi="Arial" w:cs="Arial"/>
        </w:rPr>
        <w:t xml:space="preserve">, 31(2), pp. 406–430. Available at: </w:t>
      </w:r>
      <w:r w:rsidRPr="002A77FC">
        <w:fldChar w:fldCharType="begin"/>
      </w:r>
      <w:r w:rsidRPr="002A77FC">
        <w:instrText>HYPERLINK "https://doi.org/10.1108/MEQ-09-2019-0207"</w:instrText>
      </w:r>
      <w:r w:rsidRPr="002A77FC">
        <w:fldChar w:fldCharType="separate"/>
      </w:r>
      <w:r w:rsidRPr="002A77FC">
        <w:rPr>
          <w:rStyle w:val="Hyperlink"/>
          <w:rFonts w:ascii="Arial" w:hAnsi="Arial" w:cs="Arial"/>
          <w:color w:val="auto"/>
        </w:rPr>
        <w:t>https://doi.org/10.1108/MEQ-09-2019-0207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2E21F8F"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Graham, B.Z. and Cascio, W.F. (2018) ‘The employer-branding journey’, </w:t>
      </w:r>
      <w:r w:rsidRPr="002A77FC">
        <w:rPr>
          <w:rFonts w:ascii="Arial" w:hAnsi="Arial" w:cs="Arial"/>
          <w:i/>
          <w:iCs/>
        </w:rPr>
        <w:t>Management Research: Journal of the Iberoamerican Academy of Management</w:t>
      </w:r>
      <w:r w:rsidRPr="002A77FC">
        <w:rPr>
          <w:rFonts w:ascii="Arial" w:hAnsi="Arial" w:cs="Arial"/>
        </w:rPr>
        <w:t xml:space="preserve">, 16(4), pp. 363–379. Available at: </w:t>
      </w:r>
      <w:r w:rsidRPr="002A77FC">
        <w:fldChar w:fldCharType="begin"/>
      </w:r>
      <w:r w:rsidRPr="002A77FC">
        <w:instrText>HYPERLINK "https://doi.org/10.1108/mrjiam-09-2017-0779"</w:instrText>
      </w:r>
      <w:r w:rsidRPr="002A77FC">
        <w:fldChar w:fldCharType="separate"/>
      </w:r>
      <w:r w:rsidRPr="002A77FC">
        <w:rPr>
          <w:rStyle w:val="Hyperlink"/>
          <w:rFonts w:ascii="Arial" w:hAnsi="Arial" w:cs="Arial"/>
          <w:color w:val="auto"/>
        </w:rPr>
        <w:t>https://doi.org/10.1108/mrjiam-09-2017-0779</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7E1682C"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Hasani, A., Kokthi, E., Zoto, O., Berisha, K. and Miftari, I. (2022) ‘Analyzing Consumer Perception on Quality and Safety of Frozen Foods in Emerging </w:t>
      </w:r>
      <w:r w:rsidRPr="002A77FC">
        <w:rPr>
          <w:rFonts w:ascii="Arial" w:hAnsi="Arial" w:cs="Arial"/>
        </w:rPr>
        <w:lastRenderedPageBreak/>
        <w:t>Economies: Evidence from Albania and Kosovo’, </w:t>
      </w:r>
      <w:r w:rsidRPr="002A77FC">
        <w:rPr>
          <w:rFonts w:ascii="Arial" w:hAnsi="Arial" w:cs="Arial"/>
          <w:i/>
          <w:iCs/>
        </w:rPr>
        <w:t>Foods</w:t>
      </w:r>
      <w:r w:rsidRPr="002A77FC">
        <w:rPr>
          <w:rFonts w:ascii="Arial" w:hAnsi="Arial" w:cs="Arial"/>
        </w:rPr>
        <w:t xml:space="preserve">, 11(9), p. 1247. Available at: </w:t>
      </w:r>
      <w:r w:rsidRPr="002A77FC">
        <w:fldChar w:fldCharType="begin"/>
      </w:r>
      <w:r w:rsidRPr="002A77FC">
        <w:instrText>HYPERLINK "https://doi.org/10.3390/foods11091247"</w:instrText>
      </w:r>
      <w:r w:rsidRPr="002A77FC">
        <w:fldChar w:fldCharType="separate"/>
      </w:r>
      <w:r w:rsidRPr="002A77FC">
        <w:rPr>
          <w:rStyle w:val="Hyperlink"/>
          <w:rFonts w:ascii="Arial" w:hAnsi="Arial" w:cs="Arial"/>
          <w:color w:val="auto"/>
        </w:rPr>
        <w:t>https://doi.org/10.3390/foods11091247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7D6634CD"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Henkel (2026) </w:t>
      </w:r>
      <w:r w:rsidRPr="002A77FC">
        <w:rPr>
          <w:rFonts w:ascii="Arial" w:hAnsi="Arial" w:cs="Arial"/>
          <w:i/>
          <w:iCs/>
        </w:rPr>
        <w:t>2025 ANNUAL REPORT</w:t>
      </w:r>
      <w:r w:rsidRPr="002A77FC">
        <w:rPr>
          <w:rFonts w:ascii="Arial" w:hAnsi="Arial" w:cs="Arial"/>
        </w:rPr>
        <w:t>, </w:t>
      </w:r>
      <w:r w:rsidRPr="002A77FC">
        <w:rPr>
          <w:rFonts w:ascii="Arial" w:hAnsi="Arial" w:cs="Arial"/>
          <w:i/>
          <w:iCs/>
        </w:rPr>
        <w:t>https://www.henkel.com</w:t>
      </w:r>
      <w:r w:rsidRPr="002A77FC">
        <w:rPr>
          <w:rFonts w:ascii="Arial" w:hAnsi="Arial" w:cs="Arial"/>
        </w:rPr>
        <w:t xml:space="preserve">. Henkel. Available at: </w:t>
      </w:r>
      <w:r w:rsidRPr="002A77FC">
        <w:fldChar w:fldCharType="begin"/>
      </w:r>
      <w:r w:rsidRPr="002A77FC">
        <w:instrText>HYPERLINK "https://www.henkel.com/resource/blob/2131544/eae43b38b5da9c89268a532af1dfbe4f/data/2025-annual-report.pdf"</w:instrText>
      </w:r>
      <w:r w:rsidRPr="002A77FC">
        <w:fldChar w:fldCharType="separate"/>
      </w:r>
      <w:r w:rsidRPr="002A77FC">
        <w:rPr>
          <w:rStyle w:val="Hyperlink"/>
          <w:rFonts w:ascii="Arial" w:hAnsi="Arial" w:cs="Arial"/>
          <w:color w:val="auto"/>
        </w:rPr>
        <w:t>https://www.henkel.com/resource/blob/2131544/eae43b38b5da9c89268a532af1dfbe4f/data/2025-annual-report.pdf</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(Accessed: 28 April 2026).</w:t>
      </w:r>
    </w:p>
    <w:p w14:paraId="55048DFD"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Javed, U. </w:t>
      </w:r>
      <w:r w:rsidRPr="002A77FC">
        <w:rPr>
          <w:rFonts w:ascii="Arial" w:hAnsi="Arial" w:cs="Arial"/>
          <w:i/>
          <w:iCs/>
        </w:rPr>
        <w:t>et al.</w:t>
      </w:r>
      <w:r w:rsidRPr="002A77FC">
        <w:rPr>
          <w:rFonts w:ascii="Arial" w:hAnsi="Arial" w:cs="Arial"/>
        </w:rPr>
        <w:t xml:space="preserve"> (2024) ‘Consumers’ perception of green brand attributes and its outcomes: a sustainable perspective’, </w:t>
      </w:r>
      <w:r w:rsidRPr="002A77FC">
        <w:rPr>
          <w:rFonts w:ascii="Arial" w:hAnsi="Arial" w:cs="Arial"/>
          <w:i/>
          <w:iCs/>
        </w:rPr>
        <w:t>Journal of Environmental Planning and Management</w:t>
      </w:r>
      <w:r w:rsidRPr="002A77FC">
        <w:rPr>
          <w:rFonts w:ascii="Arial" w:hAnsi="Arial" w:cs="Arial"/>
        </w:rPr>
        <w:t xml:space="preserve">, 67(8), pp. 1–23. Available at: </w:t>
      </w:r>
      <w:r w:rsidRPr="002A77FC">
        <w:fldChar w:fldCharType="begin"/>
      </w:r>
      <w:r w:rsidRPr="002A77FC">
        <w:instrText>HYPERLINK "https://doi.org/10.1080/09640568.2023.2178882"</w:instrText>
      </w:r>
      <w:r w:rsidRPr="002A77FC">
        <w:fldChar w:fldCharType="separate"/>
      </w:r>
      <w:r w:rsidRPr="002A77FC">
        <w:rPr>
          <w:rStyle w:val="Hyperlink"/>
          <w:rFonts w:ascii="Arial" w:hAnsi="Arial" w:cs="Arial"/>
          <w:color w:val="auto"/>
        </w:rPr>
        <w:t>https://doi.org/10.1080/09640568.2023.2178882</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AC803F2"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Jones, E. (2019) ‘Rethinking Greenwashing: Corporate Discourse, Unethical Practice, and the Unmet Potential of Ethical Consumerism’, </w:t>
      </w:r>
      <w:r w:rsidRPr="002A77FC">
        <w:rPr>
          <w:rFonts w:ascii="Arial" w:hAnsi="Arial" w:cs="Arial"/>
          <w:i/>
          <w:iCs/>
        </w:rPr>
        <w:t>Sociological Perspectives</w:t>
      </w:r>
      <w:r w:rsidRPr="002A77FC">
        <w:rPr>
          <w:rFonts w:ascii="Arial" w:hAnsi="Arial" w:cs="Arial"/>
        </w:rPr>
        <w:t xml:space="preserve">, 62(5), pp. 728–754. Available at: </w:t>
      </w:r>
      <w:r w:rsidRPr="002A77FC">
        <w:fldChar w:fldCharType="begin"/>
      </w:r>
      <w:r w:rsidRPr="002A77FC">
        <w:instrText>HYPERLINK "https://doi.org/10.1177/0731121419849095"</w:instrText>
      </w:r>
      <w:r w:rsidRPr="002A77FC">
        <w:fldChar w:fldCharType="separate"/>
      </w:r>
      <w:r w:rsidRPr="002A77FC">
        <w:rPr>
          <w:rStyle w:val="Hyperlink"/>
          <w:rFonts w:ascii="Arial" w:hAnsi="Arial" w:cs="Arial"/>
          <w:color w:val="auto"/>
        </w:rPr>
        <w:t>https://doi.org/10.1177/0731121419849095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64C1701"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Kalogiannidis, S., Kagioglou, F., Kalfas, D. and Kagioglou, A. (2025) ‘Business communication strategies as an internal locus of sustainability in SMEs. A case study of Greece’, </w:t>
      </w:r>
      <w:r w:rsidRPr="002A77FC">
        <w:rPr>
          <w:rFonts w:ascii="Arial" w:hAnsi="Arial" w:cs="Arial"/>
          <w:i/>
          <w:iCs/>
        </w:rPr>
        <w:t>Discover Sustainability</w:t>
      </w:r>
      <w:r w:rsidRPr="002A77FC">
        <w:rPr>
          <w:rFonts w:ascii="Arial" w:hAnsi="Arial" w:cs="Arial"/>
        </w:rPr>
        <w:t xml:space="preserve">, 6(1). Available at: </w:t>
      </w:r>
      <w:r w:rsidRPr="002A77FC">
        <w:fldChar w:fldCharType="begin"/>
      </w:r>
      <w:r w:rsidRPr="002A77FC">
        <w:instrText>HYPERLINK "https://doi.org/10.1007/s43621-025-00894-7"</w:instrText>
      </w:r>
      <w:r w:rsidRPr="002A77FC">
        <w:fldChar w:fldCharType="separate"/>
      </w:r>
      <w:r w:rsidRPr="002A77FC">
        <w:rPr>
          <w:rStyle w:val="Hyperlink"/>
          <w:rFonts w:ascii="Arial" w:hAnsi="Arial" w:cs="Arial"/>
          <w:color w:val="auto"/>
        </w:rPr>
        <w:t>https://doi.org/10.1007/s43621-025-00894-7</w:t>
      </w:r>
      <w:r w:rsidRPr="002A77FC">
        <w:rPr>
          <w:rStyle w:val="Hyperlink"/>
          <w:rFonts w:ascii="Arial" w:hAnsi="Arial" w:cs="Arial"/>
          <w:color w:val="auto"/>
        </w:rPr>
        <w:fldChar w:fldCharType="end"/>
      </w:r>
      <w:r w:rsidRPr="002A77FC">
        <w:rPr>
          <w:rFonts w:ascii="Arial" w:hAnsi="Arial" w:cs="Arial"/>
        </w:rPr>
        <w:t xml:space="preserve">. </w:t>
      </w:r>
    </w:p>
    <w:p w14:paraId="401B7521"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Kargbo, U., Terrence, B. and Palmer, T.B. (2025) ‘Redefining Corporate Social Responsibility: The Role of Strategic Communication Practices’, </w:t>
      </w:r>
      <w:r w:rsidRPr="002A77FC">
        <w:rPr>
          <w:rFonts w:ascii="Arial" w:hAnsi="Arial" w:cs="Arial"/>
          <w:i/>
          <w:iCs/>
        </w:rPr>
        <w:t>Sustainability</w:t>
      </w:r>
      <w:r w:rsidRPr="002A77FC">
        <w:rPr>
          <w:rFonts w:ascii="Arial" w:hAnsi="Arial" w:cs="Arial"/>
        </w:rPr>
        <w:t xml:space="preserve">, 17(9), p. 4226. Available at: </w:t>
      </w:r>
      <w:r w:rsidRPr="002A77FC">
        <w:fldChar w:fldCharType="begin"/>
      </w:r>
      <w:r w:rsidRPr="002A77FC">
        <w:instrText>HYPERLINK "https://doi.org/10.3390/su17094226"</w:instrText>
      </w:r>
      <w:r w:rsidRPr="002A77FC">
        <w:fldChar w:fldCharType="separate"/>
      </w:r>
      <w:r w:rsidRPr="002A77FC">
        <w:rPr>
          <w:rStyle w:val="Hyperlink"/>
          <w:rFonts w:ascii="Arial" w:hAnsi="Arial" w:cs="Arial"/>
          <w:color w:val="auto"/>
        </w:rPr>
        <w:t>https://doi.org/10.3390/su17094226</w:t>
      </w:r>
      <w:r w:rsidRPr="002A77FC">
        <w:rPr>
          <w:rStyle w:val="Hyperlink"/>
          <w:rFonts w:ascii="Arial" w:hAnsi="Arial" w:cs="Arial"/>
          <w:color w:val="auto"/>
        </w:rPr>
        <w:fldChar w:fldCharType="end"/>
      </w:r>
      <w:r w:rsidRPr="002A77FC">
        <w:rPr>
          <w:rFonts w:ascii="Arial" w:hAnsi="Arial" w:cs="Arial"/>
        </w:rPr>
        <w:t xml:space="preserve">. </w:t>
      </w:r>
    </w:p>
    <w:p w14:paraId="78693ED0"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Kendall, H., Clark, B., Rhymer, C., Kuznesof, S., Hajslova, J., Tomaniova, M., Brereton, P. and Frewer, L. (2019) ‘A systematic review of consumer perceptions of food fraud and authenticity: A European perspective’, </w:t>
      </w:r>
      <w:r w:rsidRPr="002A77FC">
        <w:rPr>
          <w:rFonts w:ascii="Arial" w:hAnsi="Arial" w:cs="Arial"/>
          <w:i/>
          <w:iCs/>
        </w:rPr>
        <w:t>Trends in Food Science &amp; Technology</w:t>
      </w:r>
      <w:r w:rsidRPr="002A77FC">
        <w:rPr>
          <w:rFonts w:ascii="Arial" w:hAnsi="Arial" w:cs="Arial"/>
        </w:rPr>
        <w:t xml:space="preserve">, 94, pp. 79–90. Available at: </w:t>
      </w:r>
      <w:r w:rsidRPr="002A77FC">
        <w:fldChar w:fldCharType="begin"/>
      </w:r>
      <w:r w:rsidRPr="002A77FC">
        <w:instrText>HYPERLINK "https://doi.org/10.1016/j.tifs.2019.10.005"</w:instrText>
      </w:r>
      <w:r w:rsidRPr="002A77FC">
        <w:fldChar w:fldCharType="separate"/>
      </w:r>
      <w:r w:rsidRPr="002A77FC">
        <w:rPr>
          <w:rStyle w:val="Hyperlink"/>
          <w:rFonts w:ascii="Arial" w:hAnsi="Arial" w:cs="Arial"/>
          <w:color w:val="auto"/>
        </w:rPr>
        <w:t>https://doi.org/10.1016/j.tifs.2019.10.005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789BAADE"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Khan, N. </w:t>
      </w:r>
      <w:r w:rsidRPr="002A77FC">
        <w:rPr>
          <w:rFonts w:ascii="Arial" w:hAnsi="Arial" w:cs="Arial"/>
          <w:i/>
          <w:iCs/>
        </w:rPr>
        <w:t>et al.</w:t>
      </w:r>
      <w:r w:rsidRPr="002A77FC">
        <w:rPr>
          <w:rFonts w:ascii="Arial" w:hAnsi="Arial" w:cs="Arial"/>
        </w:rPr>
        <w:t xml:space="preserve"> (2026) ‘Greenwashing Communication Deficiencies and Consumer Response: Implications for Sustainable Technology Entrepreneurship’, </w:t>
      </w:r>
      <w:r w:rsidRPr="002A77FC">
        <w:rPr>
          <w:rFonts w:ascii="Arial" w:hAnsi="Arial" w:cs="Arial"/>
          <w:i/>
          <w:iCs/>
        </w:rPr>
        <w:t>Sustainable Technology and Entrepreneurship</w:t>
      </w:r>
      <w:r w:rsidRPr="002A77FC">
        <w:rPr>
          <w:rFonts w:ascii="Arial" w:hAnsi="Arial" w:cs="Arial"/>
        </w:rPr>
        <w:t xml:space="preserve">, 5(2), p. 100132. Available at: </w:t>
      </w:r>
      <w:r w:rsidRPr="002A77FC">
        <w:fldChar w:fldCharType="begin"/>
      </w:r>
      <w:r w:rsidRPr="002A77FC">
        <w:instrText>HYPERLINK "https://doi.org/10.1016/j.stae.2026.100132"</w:instrText>
      </w:r>
      <w:r w:rsidRPr="002A77FC">
        <w:fldChar w:fldCharType="separate"/>
      </w:r>
      <w:r w:rsidRPr="002A77FC">
        <w:rPr>
          <w:rStyle w:val="Hyperlink"/>
          <w:rFonts w:ascii="Arial" w:hAnsi="Arial" w:cs="Arial"/>
          <w:color w:val="auto"/>
        </w:rPr>
        <w:t>https://doi.org/10.1016/j.stae.2026.100132</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6F709DA"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Koh, H.-K., Burnasheva, R. and Suh, Y.G. (2022) ‘Perceived ESG (Environmental, Social, Governance) and Consumers’ Responses: The Mediating Role of Brand Credibility, Brand Image, and Perceived Quality’, </w:t>
      </w:r>
      <w:r w:rsidRPr="002A77FC">
        <w:rPr>
          <w:rFonts w:ascii="Arial" w:hAnsi="Arial" w:cs="Arial"/>
          <w:i/>
          <w:iCs/>
        </w:rPr>
        <w:t>Sustainability</w:t>
      </w:r>
      <w:r w:rsidRPr="002A77FC">
        <w:rPr>
          <w:rFonts w:ascii="Arial" w:hAnsi="Arial" w:cs="Arial"/>
        </w:rPr>
        <w:t xml:space="preserve">, 14(8), p. 4515. Available at: </w:t>
      </w:r>
      <w:r w:rsidRPr="002A77FC">
        <w:fldChar w:fldCharType="begin"/>
      </w:r>
      <w:r w:rsidRPr="002A77FC">
        <w:instrText>HYPERLINK "https://doi.org/10.3390/su14084515"</w:instrText>
      </w:r>
      <w:r w:rsidRPr="002A77FC">
        <w:fldChar w:fldCharType="separate"/>
      </w:r>
      <w:r w:rsidRPr="002A77FC">
        <w:rPr>
          <w:rStyle w:val="Hyperlink"/>
          <w:rFonts w:ascii="Arial" w:hAnsi="Arial" w:cs="Arial"/>
          <w:color w:val="auto"/>
        </w:rPr>
        <w:t>https://doi.org/10.3390/su14084515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E41A5C5"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lastRenderedPageBreak/>
        <w:t xml:space="preserve">Leal Filho, W. </w:t>
      </w:r>
      <w:r w:rsidRPr="002A77FC">
        <w:rPr>
          <w:rFonts w:ascii="Arial" w:hAnsi="Arial" w:cs="Arial"/>
          <w:i/>
          <w:iCs/>
        </w:rPr>
        <w:t>et al.</w:t>
      </w:r>
      <w:r w:rsidRPr="002A77FC">
        <w:rPr>
          <w:rFonts w:ascii="Arial" w:hAnsi="Arial" w:cs="Arial"/>
        </w:rPr>
        <w:t xml:space="preserve"> (2025) ‘Trending Topics in Sustainability Communication: Revealing the Gap Between Theoretical Insights and Reporting Practice’, </w:t>
      </w:r>
      <w:r w:rsidRPr="002A77FC">
        <w:rPr>
          <w:rFonts w:ascii="Arial" w:hAnsi="Arial" w:cs="Arial"/>
          <w:i/>
          <w:iCs/>
        </w:rPr>
        <w:t>Sustainability</w:t>
      </w:r>
      <w:r w:rsidRPr="002A77FC">
        <w:rPr>
          <w:rFonts w:ascii="Arial" w:hAnsi="Arial" w:cs="Arial"/>
        </w:rPr>
        <w:t xml:space="preserve">, 17(23), p. 10800. Available at: </w:t>
      </w:r>
      <w:r w:rsidRPr="002A77FC">
        <w:fldChar w:fldCharType="begin"/>
      </w:r>
      <w:r w:rsidRPr="002A77FC">
        <w:instrText>HYPERLINK "https://doi.org/10.3390/su172310800"</w:instrText>
      </w:r>
      <w:r w:rsidRPr="002A77FC">
        <w:fldChar w:fldCharType="separate"/>
      </w:r>
      <w:r w:rsidRPr="002A77FC">
        <w:rPr>
          <w:rStyle w:val="Hyperlink"/>
          <w:rFonts w:ascii="Arial" w:hAnsi="Arial" w:cs="Arial"/>
          <w:color w:val="auto"/>
        </w:rPr>
        <w:t>https://doi.org/10.3390/su172310800</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7814B89"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Li, J., Ding, H., Hu, Y. and Wan, G. (2021) ‘Dealing with dynamic endogeneity in international business research’, </w:t>
      </w:r>
      <w:r w:rsidRPr="002A77FC">
        <w:rPr>
          <w:rFonts w:ascii="Arial" w:hAnsi="Arial" w:cs="Arial"/>
          <w:i/>
          <w:iCs/>
        </w:rPr>
        <w:t>Journal of International Business Studies</w:t>
      </w:r>
      <w:r w:rsidRPr="002A77FC">
        <w:rPr>
          <w:rFonts w:ascii="Arial" w:hAnsi="Arial" w:cs="Arial"/>
        </w:rPr>
        <w:t xml:space="preserve">, 52(3), pp. 339–362. Available at: </w:t>
      </w:r>
      <w:r w:rsidRPr="002A77FC">
        <w:fldChar w:fldCharType="begin"/>
      </w:r>
      <w:r w:rsidRPr="002A77FC">
        <w:instrText>HYPERLINK "https://doi.org/10.1057/s41267-020-00398-8"</w:instrText>
      </w:r>
      <w:r w:rsidRPr="002A77FC">
        <w:fldChar w:fldCharType="separate"/>
      </w:r>
      <w:r w:rsidRPr="002A77FC">
        <w:rPr>
          <w:rStyle w:val="Hyperlink"/>
          <w:rFonts w:ascii="Arial" w:hAnsi="Arial" w:cs="Arial"/>
          <w:color w:val="auto"/>
        </w:rPr>
        <w:t>https://doi.org/10.1057/s41267-020-00398-8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63B9FDC"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Lock, I. and Seele, P. (2015) ‘Quantitative content analysis as a method for business ethics research’, </w:t>
      </w:r>
      <w:r w:rsidRPr="002A77FC">
        <w:rPr>
          <w:rFonts w:ascii="Arial" w:hAnsi="Arial" w:cs="Arial"/>
          <w:i/>
          <w:iCs/>
        </w:rPr>
        <w:t>Business Ethics: A European Review</w:t>
      </w:r>
      <w:r w:rsidRPr="002A77FC">
        <w:rPr>
          <w:rFonts w:ascii="Arial" w:hAnsi="Arial" w:cs="Arial"/>
        </w:rPr>
        <w:t xml:space="preserve">, 24(51), pp. S24–S40. Available at: </w:t>
      </w:r>
      <w:r w:rsidRPr="002A77FC">
        <w:fldChar w:fldCharType="begin"/>
      </w:r>
      <w:r w:rsidRPr="002A77FC">
        <w:instrText>HYPERLINK "https://doi.org/10.1111/beer.12095"</w:instrText>
      </w:r>
      <w:r w:rsidRPr="002A77FC">
        <w:fldChar w:fldCharType="separate"/>
      </w:r>
      <w:r w:rsidRPr="002A77FC">
        <w:rPr>
          <w:rStyle w:val="Hyperlink"/>
          <w:rFonts w:ascii="Arial" w:hAnsi="Arial" w:cs="Arial"/>
          <w:color w:val="auto"/>
        </w:rPr>
        <w:t>https://doi.org/10.1111/beer.12095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787093A2"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Luo, B., Sun, Y., Shen, J. and Xia, L. (2020) ‘How does green advertising skepticism on social media affect consumer intention to purchase green products?’, </w:t>
      </w:r>
      <w:r w:rsidRPr="002A77FC">
        <w:rPr>
          <w:rFonts w:ascii="Arial" w:hAnsi="Arial" w:cs="Arial"/>
          <w:i/>
          <w:iCs/>
        </w:rPr>
        <w:t>Journal of Consumer Behaviour</w:t>
      </w:r>
      <w:r w:rsidRPr="002A77FC">
        <w:rPr>
          <w:rFonts w:ascii="Arial" w:hAnsi="Arial" w:cs="Arial"/>
        </w:rPr>
        <w:t xml:space="preserve">, 19(4). Available at: </w:t>
      </w:r>
      <w:r w:rsidRPr="002A77FC">
        <w:fldChar w:fldCharType="begin"/>
      </w:r>
      <w:r w:rsidRPr="002A77FC">
        <w:instrText>HYPERLINK "https://doi.org/10.1002/cb.1818"</w:instrText>
      </w:r>
      <w:r w:rsidRPr="002A77FC">
        <w:fldChar w:fldCharType="separate"/>
      </w:r>
      <w:r w:rsidRPr="002A77FC">
        <w:rPr>
          <w:rStyle w:val="Hyperlink"/>
          <w:rFonts w:ascii="Arial" w:hAnsi="Arial" w:cs="Arial"/>
          <w:color w:val="auto"/>
        </w:rPr>
        <w:t>https://doi.org/10.1002/cb.1818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11DCB074"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Maley, J.F., Moeller, M. and Ting, A.F. (2020) ‘Sustainable expatriate compensation in an uncertain environment’, </w:t>
      </w:r>
      <w:r w:rsidRPr="002A77FC">
        <w:rPr>
          <w:rFonts w:ascii="Arial" w:hAnsi="Arial" w:cs="Arial"/>
          <w:i/>
          <w:iCs/>
        </w:rPr>
        <w:t>Journal of International Management</w:t>
      </w:r>
      <w:r w:rsidRPr="002A77FC">
        <w:rPr>
          <w:rFonts w:ascii="Arial" w:hAnsi="Arial" w:cs="Arial"/>
        </w:rPr>
        <w:t xml:space="preserve">, 26(3), pp. 1–12. Available at: </w:t>
      </w:r>
      <w:r w:rsidRPr="002A77FC">
        <w:fldChar w:fldCharType="begin"/>
      </w:r>
      <w:r w:rsidRPr="002A77FC">
        <w:instrText>HYPERLINK "https://doi.org/10.1016/j.intman.2020.100776"</w:instrText>
      </w:r>
      <w:r w:rsidRPr="002A77FC">
        <w:fldChar w:fldCharType="separate"/>
      </w:r>
      <w:r w:rsidRPr="002A77FC">
        <w:rPr>
          <w:rStyle w:val="Hyperlink"/>
          <w:rFonts w:ascii="Arial" w:hAnsi="Arial" w:cs="Arial"/>
          <w:color w:val="auto"/>
        </w:rPr>
        <w:t>https://doi.org/10.1016/j.intman.2020.100776</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A6A1CB1"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Mandarić, D., Hunjet, A. and Kozina, G. (2021) ‘Perception of Consumers’ Awareness about Sustainability of Fashion Brands’, </w:t>
      </w:r>
      <w:r w:rsidRPr="002A77FC">
        <w:rPr>
          <w:rFonts w:ascii="Arial" w:hAnsi="Arial" w:cs="Arial"/>
          <w:i/>
          <w:iCs/>
        </w:rPr>
        <w:t>Journal of Risk and Financial Management</w:t>
      </w:r>
      <w:r w:rsidRPr="002A77FC">
        <w:rPr>
          <w:rFonts w:ascii="Arial" w:hAnsi="Arial" w:cs="Arial"/>
        </w:rPr>
        <w:t xml:space="preserve">, 14(12), p. 594. Available at: </w:t>
      </w:r>
      <w:r w:rsidRPr="002A77FC">
        <w:fldChar w:fldCharType="begin"/>
      </w:r>
      <w:r w:rsidRPr="002A77FC">
        <w:instrText>HYPERLINK "https://doi.org/10.3390/jrfm14120594"</w:instrText>
      </w:r>
      <w:r w:rsidRPr="002A77FC">
        <w:fldChar w:fldCharType="separate"/>
      </w:r>
      <w:r w:rsidRPr="002A77FC">
        <w:rPr>
          <w:rStyle w:val="Hyperlink"/>
          <w:rFonts w:ascii="Arial" w:hAnsi="Arial" w:cs="Arial"/>
          <w:color w:val="auto"/>
        </w:rPr>
        <w:t>https://doi.org/10.3390/jrfm14120594</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33DBA83D"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Marques, C. and Mauro (2025) ‘The Influence of Consumer Skepticism Toward Online Reviews in Product Evaluations’, </w:t>
      </w:r>
      <w:r w:rsidRPr="002A77FC">
        <w:rPr>
          <w:rFonts w:ascii="Arial" w:hAnsi="Arial" w:cs="Arial"/>
          <w:i/>
          <w:iCs/>
        </w:rPr>
        <w:t>International Journal of Electronic Commerce</w:t>
      </w:r>
      <w:r w:rsidRPr="002A77FC">
        <w:rPr>
          <w:rFonts w:ascii="Arial" w:hAnsi="Arial" w:cs="Arial"/>
        </w:rPr>
        <w:t xml:space="preserve">, 29(4), pp. 528–556. Available at: </w:t>
      </w:r>
      <w:r w:rsidRPr="002A77FC">
        <w:fldChar w:fldCharType="begin"/>
      </w:r>
      <w:r w:rsidRPr="002A77FC">
        <w:instrText>HYPERLINK "https://doi.org/10.1080/10864415.2025.2556642"</w:instrText>
      </w:r>
      <w:r w:rsidRPr="002A77FC">
        <w:fldChar w:fldCharType="separate"/>
      </w:r>
      <w:r w:rsidRPr="002A77FC">
        <w:rPr>
          <w:rStyle w:val="Hyperlink"/>
          <w:rFonts w:ascii="Arial" w:hAnsi="Arial" w:cs="Arial"/>
          <w:color w:val="auto"/>
        </w:rPr>
        <w:t>https://doi.org/10.1080/10864415.2025.2556642</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CD20242"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Meijer, G.W., Lähteenmäki, L., Stadler, R.H. and Weiss, J. (2021) ‘Issues surrounding consumer trust and acceptance of existing and emerging food processing technologies’, </w:t>
      </w:r>
      <w:r w:rsidRPr="002A77FC">
        <w:rPr>
          <w:rFonts w:ascii="Arial" w:hAnsi="Arial" w:cs="Arial"/>
          <w:i/>
          <w:iCs/>
        </w:rPr>
        <w:t>Critical Reviews in Food Science and Nutrition</w:t>
      </w:r>
      <w:r w:rsidRPr="002A77FC">
        <w:rPr>
          <w:rFonts w:ascii="Arial" w:hAnsi="Arial" w:cs="Arial"/>
        </w:rPr>
        <w:t xml:space="preserve">, 61(1), pp. 1–19. Available at: </w:t>
      </w:r>
      <w:r w:rsidRPr="002A77FC">
        <w:fldChar w:fldCharType="begin"/>
      </w:r>
      <w:r w:rsidRPr="002A77FC">
        <w:instrText>HYPERLINK "https://doi.org/10.1080/10408398.2020.1718597"</w:instrText>
      </w:r>
      <w:r w:rsidRPr="002A77FC">
        <w:fldChar w:fldCharType="separate"/>
      </w:r>
      <w:r w:rsidRPr="002A77FC">
        <w:rPr>
          <w:rStyle w:val="Hyperlink"/>
          <w:rFonts w:ascii="Arial" w:hAnsi="Arial" w:cs="Arial"/>
          <w:color w:val="auto"/>
        </w:rPr>
        <w:t>https://doi.org/10.1080/10408398.2020.1718597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6FAD4623"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Nestlé (2025) Nestlé Annual Review 2025, nestle.com. Nestlé. Available at: </w:t>
      </w:r>
      <w:r w:rsidRPr="002A77FC">
        <w:fldChar w:fldCharType="begin"/>
      </w:r>
      <w:r w:rsidRPr="002A77FC">
        <w:instrText>HYPERLINK "https://www.nestle.com/sites/default/files/2026-02/annual-review-2025-en.pdf"</w:instrText>
      </w:r>
      <w:r w:rsidRPr="002A77FC">
        <w:fldChar w:fldCharType="separate"/>
      </w:r>
      <w:r w:rsidRPr="002A77FC">
        <w:rPr>
          <w:rStyle w:val="Hyperlink"/>
          <w:rFonts w:ascii="Arial" w:hAnsi="Arial" w:cs="Arial"/>
          <w:color w:val="auto"/>
        </w:rPr>
        <w:t>https://www.nestle.com/sites/default/files/2026-02/annual-review-2025-en.pdf</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 xml:space="preserve"> (Accessed: 23 April 2026).</w:t>
      </w:r>
    </w:p>
    <w:p w14:paraId="65689457"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lastRenderedPageBreak/>
        <w:t>Neumann, H.L., Martinez, L.M. and Martinez, L.F. (2021) ‘Sustainability efforts in the fast fashion industry: Consumer perception, trust and purchase intention’, </w:t>
      </w:r>
      <w:r w:rsidRPr="002A77FC">
        <w:rPr>
          <w:rFonts w:ascii="Arial" w:hAnsi="Arial" w:cs="Arial"/>
          <w:i/>
          <w:iCs/>
        </w:rPr>
        <w:t>Sustainability Accounting, Management and Policy Journal</w:t>
      </w:r>
      <w:r w:rsidRPr="002A77FC">
        <w:rPr>
          <w:rFonts w:ascii="Arial" w:hAnsi="Arial" w:cs="Arial"/>
        </w:rPr>
        <w:t xml:space="preserve">, 12(3), pp. 571–590. Available at: </w:t>
      </w:r>
      <w:r w:rsidRPr="002A77FC">
        <w:fldChar w:fldCharType="begin"/>
      </w:r>
      <w:r w:rsidRPr="002A77FC">
        <w:instrText>HYPERLINK "https://doi.org/10.1108/sampj-11-2019-0405"</w:instrText>
      </w:r>
      <w:r w:rsidRPr="002A77FC">
        <w:fldChar w:fldCharType="separate"/>
      </w:r>
      <w:r w:rsidRPr="002A77FC">
        <w:rPr>
          <w:rStyle w:val="Hyperlink"/>
          <w:rFonts w:ascii="Arial" w:hAnsi="Arial" w:cs="Arial"/>
          <w:color w:val="auto"/>
        </w:rPr>
        <w:t>https://doi.org/10.1108/sampj-11-2019-0405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780FAF89"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Oghazi, P., Karlsson, S., Hellström, D. and Hjort, K. (2018) ‘Online purchase return policy leniency and purchase decision: Mediating role of consumer trust’, </w:t>
      </w:r>
      <w:r w:rsidRPr="002A77FC">
        <w:rPr>
          <w:rFonts w:ascii="Arial" w:hAnsi="Arial" w:cs="Arial"/>
          <w:i/>
          <w:iCs/>
        </w:rPr>
        <w:t>Journal of Retailing and Consumer Services</w:t>
      </w:r>
      <w:r w:rsidRPr="002A77FC">
        <w:rPr>
          <w:rFonts w:ascii="Arial" w:hAnsi="Arial" w:cs="Arial"/>
        </w:rPr>
        <w:t xml:space="preserve">, 41, pp. 190–200. Available at: </w:t>
      </w:r>
      <w:r w:rsidRPr="002A77FC">
        <w:fldChar w:fldCharType="begin"/>
      </w:r>
      <w:r w:rsidRPr="002A77FC">
        <w:instrText>HYPERLINK "https://doi.org/10.1016/j.jretconser.2017.12.007"</w:instrText>
      </w:r>
      <w:r w:rsidRPr="002A77FC">
        <w:fldChar w:fldCharType="separate"/>
      </w:r>
      <w:r w:rsidRPr="002A77FC">
        <w:rPr>
          <w:rStyle w:val="Hyperlink"/>
          <w:rFonts w:ascii="Arial" w:hAnsi="Arial" w:cs="Arial"/>
          <w:color w:val="auto"/>
        </w:rPr>
        <w:t>https://doi.org/10.1016/j.jretconser.2017.12.007</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CCE041F"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Peng, X. and Zhang, R. (2022) ‘Corporate governance, environmental sustainability performance, and normative isomorphic force of national culture’, </w:t>
      </w:r>
      <w:r w:rsidRPr="002A77FC">
        <w:rPr>
          <w:rFonts w:ascii="Arial" w:hAnsi="Arial" w:cs="Arial"/>
          <w:i/>
          <w:iCs/>
        </w:rPr>
        <w:t>Environmental Science and Pollution Research</w:t>
      </w:r>
      <w:r w:rsidRPr="002A77FC">
        <w:rPr>
          <w:rFonts w:ascii="Arial" w:hAnsi="Arial" w:cs="Arial"/>
        </w:rPr>
        <w:t xml:space="preserve">, 29(22). Available at: </w:t>
      </w:r>
      <w:r w:rsidRPr="002A77FC">
        <w:fldChar w:fldCharType="begin"/>
      </w:r>
      <w:r w:rsidRPr="002A77FC">
        <w:instrText>HYPERLINK "https://doi.org/10.1007/s11356-022-18603-6"</w:instrText>
      </w:r>
      <w:r w:rsidRPr="002A77FC">
        <w:fldChar w:fldCharType="separate"/>
      </w:r>
      <w:r w:rsidRPr="002A77FC">
        <w:rPr>
          <w:rStyle w:val="Hyperlink"/>
          <w:rFonts w:ascii="Arial" w:hAnsi="Arial" w:cs="Arial"/>
          <w:color w:val="auto"/>
        </w:rPr>
        <w:t>https://doi.org/10.1007/s11356-022-18603-6</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680DB92"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Pham, B.T. and Huynh, T.H. (2025) ‘Greenwashing and brand avoidance: examining green scepticism, green perceived risk, and green consumer confusion’, </w:t>
      </w:r>
      <w:r w:rsidRPr="002A77FC">
        <w:rPr>
          <w:rFonts w:ascii="Arial" w:hAnsi="Arial" w:cs="Arial"/>
          <w:i/>
          <w:iCs/>
        </w:rPr>
        <w:t>Journal of Services Marketing</w:t>
      </w:r>
      <w:r w:rsidRPr="002A77FC">
        <w:rPr>
          <w:rFonts w:ascii="Arial" w:hAnsi="Arial" w:cs="Arial"/>
        </w:rPr>
        <w:t xml:space="preserve">, pp. 1–12. Available at: </w:t>
      </w:r>
      <w:r w:rsidRPr="002A77FC">
        <w:fldChar w:fldCharType="begin"/>
      </w:r>
      <w:r w:rsidRPr="002A77FC">
        <w:instrText>HYPERLINK "https://doi.org/10.1108/jsm-07-2025-0471"</w:instrText>
      </w:r>
      <w:r w:rsidRPr="002A77FC">
        <w:fldChar w:fldCharType="separate"/>
      </w:r>
      <w:r w:rsidRPr="002A77FC">
        <w:rPr>
          <w:rStyle w:val="Hyperlink"/>
          <w:rFonts w:ascii="Arial" w:hAnsi="Arial" w:cs="Arial"/>
          <w:color w:val="auto"/>
        </w:rPr>
        <w:t>https://doi.org/10.1108/jsm-07-2025-0471</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87466BA"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Pong, H.K. and Chun, L. (2024) ‘The Influence of Environmental, Social, and Governance (ESG) Perception on Investor Trust and Brand Relationship Quality: A Study Among Retail Investors in Hong Kong’, </w:t>
      </w:r>
      <w:r w:rsidRPr="002A77FC">
        <w:rPr>
          <w:rFonts w:ascii="Arial" w:hAnsi="Arial" w:cs="Arial"/>
          <w:i/>
          <w:iCs/>
        </w:rPr>
        <w:t>Journal of risk and financial management</w:t>
      </w:r>
      <w:r w:rsidRPr="002A77FC">
        <w:rPr>
          <w:rFonts w:ascii="Arial" w:hAnsi="Arial" w:cs="Arial"/>
        </w:rPr>
        <w:t xml:space="preserve">, 17(10), pp. 455–455. Available at: </w:t>
      </w:r>
      <w:r w:rsidRPr="002A77FC">
        <w:fldChar w:fldCharType="begin"/>
      </w:r>
      <w:r w:rsidRPr="002A77FC">
        <w:instrText>HYPERLINK "https://doi.org/10.3390/jrfm17100455"</w:instrText>
      </w:r>
      <w:r w:rsidRPr="002A77FC">
        <w:fldChar w:fldCharType="separate"/>
      </w:r>
      <w:r w:rsidRPr="002A77FC">
        <w:rPr>
          <w:rStyle w:val="Hyperlink"/>
          <w:rFonts w:ascii="Arial" w:hAnsi="Arial" w:cs="Arial"/>
          <w:color w:val="auto"/>
        </w:rPr>
        <w:t>https://doi.org/10.3390/jrfm17100455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1495BC9F"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Prieto, L., Simone T.A. Phipps, Robertson, M. and Reynolds, S. (2024) ‘Strategic communication &amp; corporate sustainability within global supply chains’, </w:t>
      </w:r>
      <w:r w:rsidRPr="002A77FC">
        <w:rPr>
          <w:rFonts w:ascii="Arial" w:hAnsi="Arial" w:cs="Arial"/>
          <w:i/>
          <w:iCs/>
        </w:rPr>
        <w:t>Strategy &amp; leadership</w:t>
      </w:r>
      <w:r w:rsidRPr="002A77FC">
        <w:rPr>
          <w:rFonts w:ascii="Arial" w:hAnsi="Arial" w:cs="Arial"/>
        </w:rPr>
        <w:t xml:space="preserve">, 52(2). Available at: </w:t>
      </w:r>
      <w:r w:rsidRPr="002A77FC">
        <w:fldChar w:fldCharType="begin"/>
      </w:r>
      <w:r w:rsidRPr="002A77FC">
        <w:instrText>HYPERLINK "https://doi.org/10.1108/sl-09-2023-0095"</w:instrText>
      </w:r>
      <w:r w:rsidRPr="002A77FC">
        <w:fldChar w:fldCharType="separate"/>
      </w:r>
      <w:r w:rsidRPr="002A77FC">
        <w:rPr>
          <w:rStyle w:val="Hyperlink"/>
          <w:rFonts w:ascii="Arial" w:hAnsi="Arial" w:cs="Arial"/>
          <w:color w:val="auto"/>
        </w:rPr>
        <w:t>https://doi.org/10.1108/sl-09-2023-0095</w:t>
      </w:r>
      <w:r w:rsidRPr="002A77FC">
        <w:rPr>
          <w:rStyle w:val="Hyperlink"/>
          <w:rFonts w:ascii="Arial" w:hAnsi="Arial" w:cs="Arial"/>
          <w:color w:val="auto"/>
        </w:rPr>
        <w:fldChar w:fldCharType="end"/>
      </w:r>
      <w:r w:rsidRPr="002A77FC">
        <w:rPr>
          <w:rFonts w:ascii="Arial" w:hAnsi="Arial" w:cs="Arial"/>
        </w:rPr>
        <w:t xml:space="preserve">. </w:t>
      </w:r>
    </w:p>
    <w:p w14:paraId="4F71EB70"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Procter &amp; Gamble (2025) Annual Report 2025 | Procter and Gamble, Pg.com. Procter &amp; Gamble. Available at: </w:t>
      </w:r>
      <w:r w:rsidRPr="002A77FC">
        <w:fldChar w:fldCharType="begin"/>
      </w:r>
      <w:r w:rsidRPr="002A77FC">
        <w:instrText>HYPERLINK "https://us.pg.com/annualreport2025/"</w:instrText>
      </w:r>
      <w:r w:rsidRPr="002A77FC">
        <w:fldChar w:fldCharType="separate"/>
      </w:r>
      <w:r w:rsidRPr="002A77FC">
        <w:rPr>
          <w:rStyle w:val="Hyperlink"/>
          <w:rFonts w:ascii="Arial" w:hAnsi="Arial" w:cs="Arial"/>
          <w:color w:val="auto"/>
        </w:rPr>
        <w:t>https://us.pg.com/annualreport2025/</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(Accessed: 20 April 2026).</w:t>
      </w:r>
    </w:p>
    <w:p w14:paraId="6062130F"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Ragab, M.A. and Arisha, A. (2017) ‘Research Methodology in Business: </w:t>
      </w:r>
      <w:proofErr w:type="gramStart"/>
      <w:r w:rsidRPr="002A77FC">
        <w:rPr>
          <w:rFonts w:ascii="Arial" w:hAnsi="Arial" w:cs="Arial"/>
        </w:rPr>
        <w:t>a</w:t>
      </w:r>
      <w:proofErr w:type="gramEnd"/>
      <w:r w:rsidRPr="002A77FC">
        <w:rPr>
          <w:rFonts w:ascii="Arial" w:hAnsi="Arial" w:cs="Arial"/>
        </w:rPr>
        <w:t xml:space="preserve"> Starter’s Guide’, </w:t>
      </w:r>
      <w:r w:rsidRPr="002A77FC">
        <w:rPr>
          <w:rFonts w:ascii="Arial" w:hAnsi="Arial" w:cs="Arial"/>
          <w:i/>
          <w:iCs/>
        </w:rPr>
        <w:t>Management and Organizational Studies</w:t>
      </w:r>
      <w:r w:rsidRPr="002A77FC">
        <w:rPr>
          <w:rFonts w:ascii="Arial" w:hAnsi="Arial" w:cs="Arial"/>
        </w:rPr>
        <w:t xml:space="preserve">, 5(1), p. 1. Available at: </w:t>
      </w:r>
      <w:r w:rsidRPr="002A77FC">
        <w:fldChar w:fldCharType="begin"/>
      </w:r>
      <w:r w:rsidRPr="002A77FC">
        <w:instrText>HYPERLINK "https://doi.org/10.5430/mos.v5n1p1"</w:instrText>
      </w:r>
      <w:r w:rsidRPr="002A77FC">
        <w:fldChar w:fldCharType="separate"/>
      </w:r>
      <w:r w:rsidRPr="002A77FC">
        <w:rPr>
          <w:rStyle w:val="Hyperlink"/>
          <w:rFonts w:ascii="Arial" w:hAnsi="Arial" w:cs="Arial"/>
          <w:color w:val="auto"/>
        </w:rPr>
        <w:t>https://doi.org/10.5430/mos.v5n1p1</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D820B74" w14:textId="3B88B660"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Rahman, S. ur and Nguyen</w:t>
      </w:r>
      <w:r w:rsidRPr="002A77FC">
        <w:rPr>
          <w:rFonts w:ascii="Cambria Math" w:hAnsi="Cambria Math" w:cs="Cambria Math"/>
        </w:rPr>
        <w:t>‐</w:t>
      </w:r>
      <w:r w:rsidRPr="002A77FC">
        <w:rPr>
          <w:rFonts w:ascii="Arial" w:hAnsi="Arial" w:cs="Arial"/>
        </w:rPr>
        <w:t xml:space="preserve">Viet, B. (2023) ‘Towards sustainable development: Coupling green marketing strategies and consumer perceptions in addressing </w:t>
      </w:r>
      <w:r w:rsidRPr="002A77FC">
        <w:rPr>
          <w:rFonts w:ascii="Arial" w:hAnsi="Arial" w:cs="Arial"/>
        </w:rPr>
        <w:lastRenderedPageBreak/>
        <w:t>greenwashing’, </w:t>
      </w:r>
      <w:r w:rsidRPr="002A77FC">
        <w:rPr>
          <w:rFonts w:ascii="Arial" w:hAnsi="Arial" w:cs="Arial"/>
          <w:i/>
          <w:iCs/>
        </w:rPr>
        <w:t>Business Strategy and the Environment</w:t>
      </w:r>
      <w:r w:rsidRPr="002A77FC">
        <w:rPr>
          <w:rFonts w:ascii="Arial" w:hAnsi="Arial" w:cs="Arial"/>
        </w:rPr>
        <w:t>, 32(4).</w:t>
      </w:r>
      <w:r w:rsidRPr="002A77FC">
        <w:rPr>
          <w:rFonts w:ascii="Arial" w:hAnsi="Arial" w:cs="Arial"/>
          <w:lang w:val="en-US"/>
        </w:rPr>
        <w:t xml:space="preserve"> </w:t>
      </w:r>
      <w:r w:rsidR="00E27A7F" w:rsidRPr="002A77FC">
        <w:rPr>
          <w:rFonts w:ascii="Arial" w:hAnsi="Arial" w:cs="Arial"/>
          <w:lang w:val="en-US"/>
        </w:rPr>
        <w:t xml:space="preserve"> </w:t>
      </w:r>
      <w:r w:rsidR="00E27A7F" w:rsidRPr="002A77FC">
        <w:rPr>
          <w:rFonts w:ascii="Arial" w:hAnsi="Arial" w:cs="Arial"/>
        </w:rPr>
        <w:t xml:space="preserve">Available at: </w:t>
      </w:r>
      <w:r w:rsidR="00E27A7F" w:rsidRPr="002A77FC">
        <w:rPr>
          <w:rFonts w:ascii="Arial" w:hAnsi="Arial" w:cs="Arial"/>
          <w:lang w:val="en-US"/>
        </w:rPr>
        <w:t xml:space="preserve"> </w:t>
      </w:r>
      <w:hyperlink r:id="rId14" w:history="1">
        <w:r w:rsidR="00E27A7F" w:rsidRPr="002A77FC">
          <w:rPr>
            <w:rStyle w:val="Hyperlink"/>
            <w:rFonts w:ascii="Arial" w:hAnsi="Arial" w:cs="Arial"/>
            <w:color w:val="auto"/>
            <w:lang w:val="en-US"/>
          </w:rPr>
          <w:t>https://doi.org/10.1002/bse.3256</w:t>
        </w:r>
      </w:hyperlink>
      <w:r w:rsidR="00E27A7F" w:rsidRPr="002A77FC">
        <w:rPr>
          <w:rFonts w:ascii="Arial" w:hAnsi="Arial" w:cs="Arial"/>
          <w:lang w:val="en-US"/>
        </w:rPr>
        <w:t xml:space="preserve"> </w:t>
      </w:r>
    </w:p>
    <w:p w14:paraId="70FE3548" w14:textId="64D95110"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Rashid, Y., Rashid, A., Warraich, M.A., Sabir, S.S. and Waseem, A. (2019) ‘Case Study method: a step-by-step Guide for Business Researchers’, </w:t>
      </w:r>
      <w:r w:rsidRPr="002A77FC">
        <w:rPr>
          <w:rFonts w:ascii="Arial" w:hAnsi="Arial" w:cs="Arial"/>
          <w:i/>
          <w:iCs/>
        </w:rPr>
        <w:t>International Journal of Qualitative Methods</w:t>
      </w:r>
      <w:r w:rsidRPr="002A77FC">
        <w:rPr>
          <w:rFonts w:ascii="Arial" w:hAnsi="Arial" w:cs="Arial"/>
        </w:rPr>
        <w:t xml:space="preserve">, 18, pp. 1–13. Available at: </w:t>
      </w:r>
      <w:r w:rsidR="00E27A7F" w:rsidRPr="002A77FC">
        <w:rPr>
          <w:rFonts w:ascii="Arial" w:hAnsi="Arial" w:cs="Arial"/>
        </w:rPr>
        <w:fldChar w:fldCharType="begin"/>
      </w:r>
      <w:r w:rsidR="00E27A7F" w:rsidRPr="002A77FC">
        <w:rPr>
          <w:rFonts w:ascii="Arial" w:hAnsi="Arial" w:cs="Arial"/>
        </w:rPr>
        <w:instrText>HYPERLINK "https://doi.org/10.1177/1609406919862424"</w:instrText>
      </w:r>
      <w:r w:rsidR="00E27A7F" w:rsidRPr="002A77FC">
        <w:rPr>
          <w:rFonts w:ascii="Arial" w:hAnsi="Arial" w:cs="Arial"/>
        </w:rPr>
        <w:fldChar w:fldCharType="separate"/>
      </w:r>
      <w:r w:rsidR="00E27A7F" w:rsidRPr="002A77FC">
        <w:rPr>
          <w:rStyle w:val="Hyperlink"/>
          <w:rFonts w:ascii="Arial" w:hAnsi="Arial" w:cs="Arial"/>
          <w:color w:val="auto"/>
        </w:rPr>
        <w:t>https://doi.org/10.1177/1609406919862424</w:t>
      </w:r>
      <w:r w:rsidR="00E27A7F" w:rsidRPr="002A77FC">
        <w:rPr>
          <w:rFonts w:ascii="Arial" w:hAnsi="Arial" w:cs="Arial"/>
        </w:rPr>
        <w:fldChar w:fldCharType="end"/>
      </w:r>
      <w:r w:rsidRPr="002A77FC">
        <w:rPr>
          <w:rFonts w:ascii="Arial" w:hAnsi="Arial" w:cs="Arial"/>
        </w:rPr>
        <w:t>.</w:t>
      </w:r>
      <w:r w:rsidR="00E27A7F" w:rsidRPr="002A77FC">
        <w:rPr>
          <w:rFonts w:ascii="Arial" w:hAnsi="Arial" w:cs="Arial"/>
          <w:lang w:val="en-US"/>
        </w:rPr>
        <w:t xml:space="preserve"> </w:t>
      </w:r>
    </w:p>
    <w:p w14:paraId="634F0AAF"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Reckitt (2026) Focused </w:t>
      </w:r>
      <w:proofErr w:type="gramStart"/>
      <w:r w:rsidRPr="002A77FC">
        <w:rPr>
          <w:rFonts w:ascii="Arial" w:hAnsi="Arial" w:cs="Arial"/>
        </w:rPr>
        <w:t>And</w:t>
      </w:r>
      <w:proofErr w:type="gramEnd"/>
      <w:r w:rsidRPr="002A77FC">
        <w:rPr>
          <w:rFonts w:ascii="Arial" w:hAnsi="Arial" w:cs="Arial"/>
        </w:rPr>
        <w:t xml:space="preserve"> Delivering Annual Report And Accounts 2025, reckitt.com. Reckitt. Available at: </w:t>
      </w:r>
      <w:r w:rsidRPr="002A77FC">
        <w:fldChar w:fldCharType="begin"/>
      </w:r>
      <w:r w:rsidRPr="002A77FC">
        <w:instrText>HYPERLINK "https://eu-assets.contentstack.com/v3/assets/blt93c8bc7a598af9f0/blt3a6f2cd6ab14bf47/69c2b35aa17ac75c0a18f6f2/Reckitt_Annual_Report_and_Accounts_2025_(2).pdf"</w:instrText>
      </w:r>
      <w:r w:rsidRPr="002A77FC">
        <w:fldChar w:fldCharType="separate"/>
      </w:r>
      <w:r w:rsidRPr="002A77FC">
        <w:rPr>
          <w:rStyle w:val="Hyperlink"/>
          <w:rFonts w:ascii="Arial" w:hAnsi="Arial" w:cs="Arial"/>
          <w:color w:val="auto"/>
        </w:rPr>
        <w:t>https://eu-assets.contentstack.com/v3/assets/blt93c8bc7a598af9f0/blt3a6f2cd6ab14bf47/69c2b35aa17ac75c0a18f6f2/Reckitt_Annual_Report_and_Accounts_2025_(2).pdf</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(Accessed: 19 April 2026).</w:t>
      </w:r>
    </w:p>
    <w:p w14:paraId="6A59BB41"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Reilly, A.H. and Hynan, K.A. (2014) ‘Corporate communication, sustainability, and social media: It’s not easy (really) being green’, </w:t>
      </w:r>
      <w:r w:rsidRPr="002A77FC">
        <w:rPr>
          <w:rFonts w:ascii="Arial" w:hAnsi="Arial" w:cs="Arial"/>
          <w:i/>
          <w:iCs/>
        </w:rPr>
        <w:t>Business Horizons</w:t>
      </w:r>
      <w:r w:rsidRPr="002A77FC">
        <w:rPr>
          <w:rFonts w:ascii="Arial" w:hAnsi="Arial" w:cs="Arial"/>
        </w:rPr>
        <w:t xml:space="preserve">, 57(6), pp. 747–758. Available at: </w:t>
      </w:r>
      <w:r w:rsidRPr="002A77FC">
        <w:fldChar w:fldCharType="begin"/>
      </w:r>
      <w:r w:rsidRPr="002A77FC">
        <w:instrText>HYPERLINK "https://doi.org/10.1016/j.bushor.2014.07.008"</w:instrText>
      </w:r>
      <w:r w:rsidRPr="002A77FC">
        <w:fldChar w:fldCharType="separate"/>
      </w:r>
      <w:r w:rsidRPr="002A77FC">
        <w:rPr>
          <w:rStyle w:val="Hyperlink"/>
          <w:rFonts w:ascii="Arial" w:hAnsi="Arial" w:cs="Arial"/>
          <w:color w:val="auto"/>
        </w:rPr>
        <w:t>https://doi.org/10.1016/j.bushor.2014.07.008</w:t>
      </w:r>
      <w:r w:rsidRPr="002A77FC">
        <w:rPr>
          <w:rStyle w:val="Hyperlink"/>
          <w:rFonts w:ascii="Arial" w:hAnsi="Arial" w:cs="Arial"/>
          <w:color w:val="auto"/>
        </w:rPr>
        <w:fldChar w:fldCharType="end"/>
      </w:r>
      <w:r w:rsidRPr="002A77FC">
        <w:rPr>
          <w:rFonts w:ascii="Arial" w:hAnsi="Arial" w:cs="Arial"/>
        </w:rPr>
        <w:t xml:space="preserve">. </w:t>
      </w:r>
    </w:p>
    <w:p w14:paraId="0F71AB18"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Reilly, A.H. and Larya, N. (2018) ‘External Communication About Sustainability: Corporate Social Responsibility Reports and Social Media Activity’, </w:t>
      </w:r>
      <w:r w:rsidRPr="002A77FC">
        <w:rPr>
          <w:rFonts w:ascii="Arial" w:hAnsi="Arial" w:cs="Arial"/>
          <w:i/>
          <w:iCs/>
        </w:rPr>
        <w:t>Environmental Communication</w:t>
      </w:r>
      <w:r w:rsidRPr="002A77FC">
        <w:rPr>
          <w:rFonts w:ascii="Arial" w:hAnsi="Arial" w:cs="Arial"/>
        </w:rPr>
        <w:t xml:space="preserve">, 12(5), pp. 621–637. Available at: </w:t>
      </w:r>
      <w:r w:rsidRPr="002A77FC">
        <w:fldChar w:fldCharType="begin"/>
      </w:r>
      <w:r w:rsidRPr="002A77FC">
        <w:instrText>HYPERLINK "https://doi.org/10.1080/17524032.2018.1424009"</w:instrText>
      </w:r>
      <w:r w:rsidRPr="002A77FC">
        <w:fldChar w:fldCharType="separate"/>
      </w:r>
      <w:r w:rsidRPr="002A77FC">
        <w:rPr>
          <w:rStyle w:val="Hyperlink"/>
          <w:rFonts w:ascii="Arial" w:hAnsi="Arial" w:cs="Arial"/>
          <w:color w:val="auto"/>
        </w:rPr>
        <w:t>https://doi.org/10.1080/17524032.2018.1424009</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16BD8293"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Runge, K.K., Shaw, B.R., Witzling, L., Hartleb, C., Yang, S. and Peroff, D.M. (2021) ‘Social license and consumer perceptions of farm-raised fish’, </w:t>
      </w:r>
      <w:r w:rsidRPr="002A77FC">
        <w:rPr>
          <w:rFonts w:ascii="Arial" w:hAnsi="Arial" w:cs="Arial"/>
          <w:i/>
          <w:iCs/>
        </w:rPr>
        <w:t>Aquaculture</w:t>
      </w:r>
      <w:r w:rsidRPr="002A77FC">
        <w:rPr>
          <w:rFonts w:ascii="Arial" w:hAnsi="Arial" w:cs="Arial"/>
        </w:rPr>
        <w:t xml:space="preserve">, 530, p. 735920. Available at: </w:t>
      </w:r>
      <w:r w:rsidRPr="002A77FC">
        <w:fldChar w:fldCharType="begin"/>
      </w:r>
      <w:r w:rsidRPr="002A77FC">
        <w:instrText>HYPERLINK "https://doi.org/10.1016/j.aquaculture.2020.735920"</w:instrText>
      </w:r>
      <w:r w:rsidRPr="002A77FC">
        <w:fldChar w:fldCharType="separate"/>
      </w:r>
      <w:r w:rsidRPr="002A77FC">
        <w:rPr>
          <w:rStyle w:val="Hyperlink"/>
          <w:rFonts w:ascii="Arial" w:hAnsi="Arial" w:cs="Arial"/>
          <w:color w:val="auto"/>
        </w:rPr>
        <w:t>https://doi.org/10.1016/j.aquaculture.2020.735920</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7F47067C"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Saunders, M.N.K., Lewis, P. &amp; Thornhill, A. (2023) Research Methods for Business Students (9th ed.). Pearson.</w:t>
      </w:r>
    </w:p>
    <w:p w14:paraId="62D0AF04"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Siegrist, M. (2021) ‘Trust and Risk Perception: A Critical Review of the Literature’, </w:t>
      </w:r>
      <w:r w:rsidRPr="002A77FC">
        <w:rPr>
          <w:rFonts w:ascii="Arial" w:hAnsi="Arial" w:cs="Arial"/>
          <w:i/>
          <w:iCs/>
        </w:rPr>
        <w:t>Risk Analysis</w:t>
      </w:r>
      <w:r w:rsidRPr="002A77FC">
        <w:rPr>
          <w:rFonts w:ascii="Arial" w:hAnsi="Arial" w:cs="Arial"/>
        </w:rPr>
        <w:t xml:space="preserve">, 41(3), pp. 480–490. Available at: </w:t>
      </w:r>
      <w:r w:rsidRPr="002A77FC">
        <w:fldChar w:fldCharType="begin"/>
      </w:r>
      <w:r w:rsidRPr="002A77FC">
        <w:instrText>HYPERLINK "https://doi.org/10.1111/risa.13325"</w:instrText>
      </w:r>
      <w:r w:rsidRPr="002A77FC">
        <w:fldChar w:fldCharType="separate"/>
      </w:r>
      <w:r w:rsidRPr="002A77FC">
        <w:rPr>
          <w:rStyle w:val="Hyperlink"/>
          <w:rFonts w:ascii="Arial" w:hAnsi="Arial" w:cs="Arial"/>
          <w:color w:val="auto"/>
        </w:rPr>
        <w:t>https://doi.org/10.1111/risa.13325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7AD722E9"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Singh, J., Crisafulli, B., Quamina, L.T. and Xue, M.T. (2020) ‘“To Trust or Not to trust”: the Impact of Social Media Influencers on the Reputation of Corporate Brands in Crisis’, </w:t>
      </w:r>
      <w:r w:rsidRPr="002A77FC">
        <w:rPr>
          <w:rFonts w:ascii="Arial" w:hAnsi="Arial" w:cs="Arial"/>
          <w:i/>
          <w:iCs/>
        </w:rPr>
        <w:t>Journal of Business Research</w:t>
      </w:r>
      <w:r w:rsidRPr="002A77FC">
        <w:rPr>
          <w:rFonts w:ascii="Arial" w:hAnsi="Arial" w:cs="Arial"/>
        </w:rPr>
        <w:t xml:space="preserve">, 119, pp. 464–480. Available at: </w:t>
      </w:r>
      <w:r w:rsidRPr="002A77FC">
        <w:fldChar w:fldCharType="begin"/>
      </w:r>
      <w:r w:rsidRPr="002A77FC">
        <w:instrText>HYPERLINK "https://doi.org/10.1016/j.jbusres.2020.03.039"</w:instrText>
      </w:r>
      <w:r w:rsidRPr="002A77FC">
        <w:fldChar w:fldCharType="separate"/>
      </w:r>
      <w:r w:rsidRPr="002A77FC">
        <w:rPr>
          <w:rStyle w:val="Hyperlink"/>
          <w:rFonts w:ascii="Arial" w:hAnsi="Arial" w:cs="Arial"/>
          <w:color w:val="auto"/>
        </w:rPr>
        <w:t>https://doi.org/10.1016/j.jbusres.2020.03.039</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2A634B84"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Siyal, S. </w:t>
      </w:r>
      <w:r w:rsidRPr="002A77FC">
        <w:rPr>
          <w:rFonts w:ascii="Arial" w:hAnsi="Arial" w:cs="Arial"/>
          <w:i/>
          <w:iCs/>
        </w:rPr>
        <w:t>et al.</w:t>
      </w:r>
      <w:r w:rsidRPr="002A77FC">
        <w:rPr>
          <w:rFonts w:ascii="Arial" w:hAnsi="Arial" w:cs="Arial"/>
        </w:rPr>
        <w:t xml:space="preserve"> (2022) ‘The Impact of Corporate Culture on Corporate Social Responsibility: Role of Reputation and Corporate Sustainability’, </w:t>
      </w:r>
      <w:r w:rsidRPr="002A77FC">
        <w:rPr>
          <w:rFonts w:ascii="Arial" w:hAnsi="Arial" w:cs="Arial"/>
          <w:i/>
          <w:iCs/>
        </w:rPr>
        <w:t>Sustainability</w:t>
      </w:r>
      <w:r w:rsidRPr="002A77FC">
        <w:rPr>
          <w:rFonts w:ascii="Arial" w:hAnsi="Arial" w:cs="Arial"/>
        </w:rPr>
        <w:t xml:space="preserve">, 14(16), p. 10105. Available at: </w:t>
      </w:r>
      <w:r w:rsidRPr="002A77FC">
        <w:fldChar w:fldCharType="begin"/>
      </w:r>
      <w:r w:rsidRPr="002A77FC">
        <w:instrText>HYPERLINK "https://doi.org/10.3390/su141610105"</w:instrText>
      </w:r>
      <w:r w:rsidRPr="002A77FC">
        <w:fldChar w:fldCharType="separate"/>
      </w:r>
      <w:r w:rsidRPr="002A77FC">
        <w:rPr>
          <w:rStyle w:val="Hyperlink"/>
          <w:rFonts w:ascii="Arial" w:hAnsi="Arial" w:cs="Arial"/>
          <w:color w:val="auto"/>
        </w:rPr>
        <w:t>https://doi.org/10.3390/su141610105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3E54DEFF"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lastRenderedPageBreak/>
        <w:t xml:space="preserve">Snyder, H. (2019) ‘Literature review as a research methodology: An overview and guidelines’, </w:t>
      </w:r>
      <w:r w:rsidRPr="002A77FC">
        <w:rPr>
          <w:rFonts w:ascii="Arial" w:hAnsi="Arial" w:cs="Arial"/>
          <w:i/>
          <w:iCs/>
        </w:rPr>
        <w:t>Journal of Business Research</w:t>
      </w:r>
      <w:r w:rsidRPr="002A77FC">
        <w:rPr>
          <w:rFonts w:ascii="Arial" w:hAnsi="Arial" w:cs="Arial"/>
        </w:rPr>
        <w:t xml:space="preserve">, 104, pp. 333–339. Available at: </w:t>
      </w:r>
      <w:r w:rsidRPr="002A77FC">
        <w:fldChar w:fldCharType="begin"/>
      </w:r>
      <w:r w:rsidRPr="002A77FC">
        <w:instrText>HYPERLINK "https://doi.org/10.1016/j.jbusres.2019.07.039"</w:instrText>
      </w:r>
      <w:r w:rsidRPr="002A77FC">
        <w:fldChar w:fldCharType="separate"/>
      </w:r>
      <w:r w:rsidRPr="002A77FC">
        <w:rPr>
          <w:rStyle w:val="Hyperlink"/>
          <w:rFonts w:ascii="Arial" w:hAnsi="Arial" w:cs="Arial"/>
          <w:color w:val="auto"/>
        </w:rPr>
        <w:t>https://doi.org/10.1016/j.jbusres.2019.07.039</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8FBA085" w14:textId="77777777" w:rsidR="00D20612" w:rsidRPr="002A77FC" w:rsidRDefault="00D20612" w:rsidP="002A77FC">
      <w:pPr>
        <w:pStyle w:val="ListParagraph"/>
        <w:numPr>
          <w:ilvl w:val="0"/>
          <w:numId w:val="55"/>
        </w:numPr>
        <w:rPr>
          <w:rFonts w:ascii="Arial" w:hAnsi="Arial" w:cs="Arial"/>
          <w:b/>
          <w:bCs/>
          <w:lang w:val="en-US"/>
        </w:rPr>
      </w:pPr>
      <w:r w:rsidRPr="002A77FC">
        <w:rPr>
          <w:rFonts w:ascii="Arial" w:hAnsi="Arial" w:cs="Arial"/>
        </w:rPr>
        <w:t xml:space="preserve">Tawiah, V., Samson, N. and Jatau, U. (2025) ‘Local directors and corporate social responsibility activities of multinational companies in Africa’, </w:t>
      </w:r>
      <w:r w:rsidRPr="002A77FC">
        <w:rPr>
          <w:rFonts w:ascii="Arial" w:hAnsi="Arial" w:cs="Arial"/>
          <w:i/>
          <w:iCs/>
        </w:rPr>
        <w:t>Corporate Social Responsibility and Environmental Management</w:t>
      </w:r>
      <w:r w:rsidRPr="002A77FC">
        <w:rPr>
          <w:rFonts w:ascii="Arial" w:hAnsi="Arial" w:cs="Arial"/>
        </w:rPr>
        <w:t xml:space="preserve">, 32(2). Available at: </w:t>
      </w:r>
      <w:r w:rsidRPr="002A77FC">
        <w:fldChar w:fldCharType="begin"/>
      </w:r>
      <w:r w:rsidRPr="002A77FC">
        <w:instrText>HYPERLINK "https://doi.org/10.1002/csr.3028"</w:instrText>
      </w:r>
      <w:r w:rsidRPr="002A77FC">
        <w:fldChar w:fldCharType="separate"/>
      </w:r>
      <w:r w:rsidRPr="002A77FC">
        <w:rPr>
          <w:rStyle w:val="Hyperlink"/>
          <w:rFonts w:ascii="Arial" w:hAnsi="Arial" w:cs="Arial"/>
          <w:color w:val="auto"/>
        </w:rPr>
        <w:t>https://doi.org/10.1002/csr.3028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4849FDE2"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Thomas, S., Bhatt, V. and Patel, R. (2024) ‘Impact of skepticism on CRM luxury campaign participation intention of Generation Z’, </w:t>
      </w:r>
      <w:r w:rsidRPr="002A77FC">
        <w:rPr>
          <w:rFonts w:ascii="Arial" w:hAnsi="Arial" w:cs="Arial"/>
          <w:i/>
          <w:iCs/>
        </w:rPr>
        <w:t>International Journal of Emerging Markets</w:t>
      </w:r>
      <w:r w:rsidRPr="002A77FC">
        <w:rPr>
          <w:rFonts w:ascii="Arial" w:hAnsi="Arial" w:cs="Arial"/>
        </w:rPr>
        <w:t xml:space="preserve">, 19(4). Available at: </w:t>
      </w:r>
      <w:r w:rsidRPr="002A77FC">
        <w:fldChar w:fldCharType="begin"/>
      </w:r>
      <w:r w:rsidRPr="002A77FC">
        <w:instrText>HYPERLINK "https://doi.org/10.1108/ijoem-10-2021-1568"</w:instrText>
      </w:r>
      <w:r w:rsidRPr="002A77FC">
        <w:fldChar w:fldCharType="separate"/>
      </w:r>
      <w:r w:rsidRPr="002A77FC">
        <w:rPr>
          <w:rStyle w:val="Hyperlink"/>
          <w:rFonts w:ascii="Arial" w:hAnsi="Arial" w:cs="Arial"/>
          <w:color w:val="auto"/>
        </w:rPr>
        <w:t>https://doi.org/10.1108/ijoem-10-2021-1568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599DB2B3"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Unilever PLC (2025) Unilever Annual Report and Accounts 2025, https://www.unilever.com/investors/annual-report-and-accounts/. Unilever PLC. Available at: </w:t>
      </w:r>
      <w:r w:rsidRPr="002A77FC">
        <w:fldChar w:fldCharType="begin"/>
      </w:r>
      <w:r w:rsidRPr="002A77FC">
        <w:instrText>HYPERLINK "https://www.unilever.com/files/unilever-annual-report-and-accounts-2025.pdf"</w:instrText>
      </w:r>
      <w:r w:rsidRPr="002A77FC">
        <w:fldChar w:fldCharType="separate"/>
      </w:r>
      <w:r w:rsidRPr="002A77FC">
        <w:rPr>
          <w:rStyle w:val="Hyperlink"/>
          <w:rFonts w:ascii="Arial" w:hAnsi="Arial" w:cs="Arial"/>
          <w:color w:val="auto"/>
        </w:rPr>
        <w:t>https://www.unilever.com/files/unilever-annual-report-and-accounts-2025.pdf</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(Accessed: 21 March 2026)</w:t>
      </w:r>
    </w:p>
    <w:p w14:paraId="11DD5093"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Unilever PLC (2026a) </w:t>
      </w:r>
      <w:r w:rsidRPr="002A77FC">
        <w:rPr>
          <w:rFonts w:ascii="Arial" w:hAnsi="Arial" w:cs="Arial"/>
          <w:i/>
          <w:iCs/>
        </w:rPr>
        <w:t>Annual Report and Accounts 2025</w:t>
      </w:r>
      <w:r w:rsidRPr="002A77FC">
        <w:rPr>
          <w:rFonts w:ascii="Arial" w:hAnsi="Arial" w:cs="Arial"/>
        </w:rPr>
        <w:t>, </w:t>
      </w:r>
      <w:r w:rsidRPr="002A77FC">
        <w:rPr>
          <w:rFonts w:ascii="Arial" w:hAnsi="Arial" w:cs="Arial"/>
          <w:i/>
          <w:iCs/>
        </w:rPr>
        <w:t>https://www.unilever.com</w:t>
      </w:r>
      <w:r w:rsidRPr="002A77FC">
        <w:rPr>
          <w:rFonts w:ascii="Arial" w:hAnsi="Arial" w:cs="Arial"/>
        </w:rPr>
        <w:t xml:space="preserve">. https://www.unilever.com. Available at: </w:t>
      </w:r>
      <w:r w:rsidRPr="002A77FC">
        <w:fldChar w:fldCharType="begin"/>
      </w:r>
      <w:r w:rsidRPr="002A77FC">
        <w:instrText>HYPERLINK "https://www.unilever.com/files/unilever-annual-report-and-accounts-2025.pdf"</w:instrText>
      </w:r>
      <w:r w:rsidRPr="002A77FC">
        <w:fldChar w:fldCharType="separate"/>
      </w:r>
      <w:r w:rsidRPr="002A77FC">
        <w:rPr>
          <w:rStyle w:val="Hyperlink"/>
          <w:rFonts w:ascii="Arial" w:hAnsi="Arial" w:cs="Arial"/>
          <w:color w:val="auto"/>
        </w:rPr>
        <w:t>https://www.unilever.com/files/unilever-annual-report-and-accounts-2025.pdf</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(Accessed: 21 March 2026).</w:t>
      </w:r>
    </w:p>
    <w:p w14:paraId="7268DF2E"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Unilever PLC (2026b) </w:t>
      </w:r>
      <w:r w:rsidRPr="002A77FC">
        <w:rPr>
          <w:rFonts w:ascii="Arial" w:hAnsi="Arial" w:cs="Arial"/>
          <w:i/>
          <w:iCs/>
        </w:rPr>
        <w:t>Unilever Sustainability Statement 2025</w:t>
      </w:r>
      <w:r w:rsidRPr="002A77FC">
        <w:rPr>
          <w:rFonts w:ascii="Arial" w:hAnsi="Arial" w:cs="Arial"/>
        </w:rPr>
        <w:t>, </w:t>
      </w:r>
      <w:r w:rsidRPr="002A77FC">
        <w:rPr>
          <w:rFonts w:ascii="Arial" w:hAnsi="Arial" w:cs="Arial"/>
          <w:i/>
          <w:iCs/>
        </w:rPr>
        <w:t>https://www.unilever.com</w:t>
      </w:r>
      <w:r w:rsidRPr="002A77FC">
        <w:rPr>
          <w:rFonts w:ascii="Arial" w:hAnsi="Arial" w:cs="Arial"/>
        </w:rPr>
        <w:t xml:space="preserve">. Available at: </w:t>
      </w:r>
      <w:r w:rsidRPr="002A77FC">
        <w:fldChar w:fldCharType="begin"/>
      </w:r>
      <w:r w:rsidRPr="002A77FC">
        <w:instrText>HYPERLINK "https://www.unilever.com/files/unilever-sustainability-statement.pdf"</w:instrText>
      </w:r>
      <w:r w:rsidRPr="002A77FC">
        <w:fldChar w:fldCharType="separate"/>
      </w:r>
      <w:r w:rsidRPr="002A77FC">
        <w:rPr>
          <w:rStyle w:val="Hyperlink"/>
          <w:rFonts w:ascii="Arial" w:hAnsi="Arial" w:cs="Arial"/>
          <w:color w:val="auto"/>
        </w:rPr>
        <w:t>https://www.unilever.com/files/unilever-sustainability-statement.pdf</w:t>
      </w:r>
      <w:r w:rsidRPr="002A77FC">
        <w:rPr>
          <w:rStyle w:val="Hyperlink"/>
          <w:rFonts w:ascii="Arial" w:hAnsi="Arial" w:cs="Arial"/>
          <w:color w:val="auto"/>
        </w:rPr>
        <w:fldChar w:fldCharType="end"/>
      </w:r>
      <w:r w:rsidRPr="002A77FC">
        <w:rPr>
          <w:rFonts w:ascii="Arial" w:hAnsi="Arial" w:cs="Arial"/>
          <w:lang w:val="en-US"/>
        </w:rPr>
        <w:t xml:space="preserve"> </w:t>
      </w:r>
      <w:r w:rsidRPr="002A77FC">
        <w:rPr>
          <w:rFonts w:ascii="Arial" w:hAnsi="Arial" w:cs="Arial"/>
        </w:rPr>
        <w:t>(Accessed: 16 March 2026).</w:t>
      </w:r>
    </w:p>
    <w:p w14:paraId="3C46E85D"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van der Werff, L., Fox, G., Masevic, I., Emeakaroha, V.C., Morrison, J.P. and Lynn, T. (2019) ‘Building consumer trust in the cloud: an experimental analysis of the cloud trust label approach’, </w:t>
      </w:r>
      <w:r w:rsidRPr="002A77FC">
        <w:rPr>
          <w:rFonts w:ascii="Arial" w:hAnsi="Arial" w:cs="Arial"/>
          <w:i/>
          <w:iCs/>
        </w:rPr>
        <w:t>Journal of Cloud Computing</w:t>
      </w:r>
      <w:r w:rsidRPr="002A77FC">
        <w:rPr>
          <w:rFonts w:ascii="Arial" w:hAnsi="Arial" w:cs="Arial"/>
        </w:rPr>
        <w:t xml:space="preserve">, 8(1). Available at: </w:t>
      </w:r>
      <w:r w:rsidRPr="002A77FC">
        <w:fldChar w:fldCharType="begin"/>
      </w:r>
      <w:r w:rsidRPr="002A77FC">
        <w:instrText>HYPERLINK "https://doi.org/10.1186/s13677-019-0129-8"</w:instrText>
      </w:r>
      <w:r w:rsidRPr="002A77FC">
        <w:fldChar w:fldCharType="separate"/>
      </w:r>
      <w:r w:rsidRPr="002A77FC">
        <w:rPr>
          <w:rStyle w:val="Hyperlink"/>
          <w:rFonts w:ascii="Arial" w:hAnsi="Arial" w:cs="Arial"/>
          <w:color w:val="auto"/>
        </w:rPr>
        <w:t>https://doi.org/10.1186/s13677-019-0129-8</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74D0CFB"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Veh, A., Göbel, M. and Vogel, R. (2019) ‘Corporate reputation in management research: a review of the literature and assessment of the concept’, </w:t>
      </w:r>
      <w:r w:rsidRPr="002A77FC">
        <w:rPr>
          <w:rFonts w:ascii="Arial" w:hAnsi="Arial" w:cs="Arial"/>
          <w:i/>
          <w:iCs/>
        </w:rPr>
        <w:t>Business Research</w:t>
      </w:r>
      <w:r w:rsidRPr="002A77FC">
        <w:rPr>
          <w:rFonts w:ascii="Arial" w:hAnsi="Arial" w:cs="Arial"/>
        </w:rPr>
        <w:t xml:space="preserve">, 12(2), pp. 315–353. Available at: </w:t>
      </w:r>
      <w:r w:rsidRPr="002A77FC">
        <w:fldChar w:fldCharType="begin"/>
      </w:r>
      <w:r w:rsidRPr="002A77FC">
        <w:instrText>HYPERLINK "https://doi.org/10.1007/s40685-018-0080-4"</w:instrText>
      </w:r>
      <w:r w:rsidRPr="002A77FC">
        <w:fldChar w:fldCharType="separate"/>
      </w:r>
      <w:r w:rsidRPr="002A77FC">
        <w:rPr>
          <w:rStyle w:val="Hyperlink"/>
          <w:rFonts w:ascii="Arial" w:hAnsi="Arial" w:cs="Arial"/>
          <w:color w:val="auto"/>
        </w:rPr>
        <w:t>https://doi.org/10.1007/s40685-018-0080-4</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31F7C0D1"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Vijayalakshmi, A., Lin, M.-H. (Jenny) and Laczniak, R.N. (2020) ‘Evaluating Adolescents’ Responses to Internet Ads: Role of Ad Skepticism, Internet </w:t>
      </w:r>
      <w:r w:rsidRPr="002A77FC">
        <w:rPr>
          <w:rFonts w:ascii="Arial" w:hAnsi="Arial" w:cs="Arial"/>
        </w:rPr>
        <w:lastRenderedPageBreak/>
        <w:t>Literacy, and Parental Mediation’, </w:t>
      </w:r>
      <w:r w:rsidRPr="002A77FC">
        <w:rPr>
          <w:rFonts w:ascii="Arial" w:hAnsi="Arial" w:cs="Arial"/>
          <w:i/>
          <w:iCs/>
        </w:rPr>
        <w:t>Journal of Advertising</w:t>
      </w:r>
      <w:r w:rsidRPr="002A77FC">
        <w:rPr>
          <w:rFonts w:ascii="Arial" w:hAnsi="Arial" w:cs="Arial"/>
        </w:rPr>
        <w:t xml:space="preserve">, 49(3), pp. 292–308. Available at: </w:t>
      </w:r>
      <w:r w:rsidRPr="002A77FC">
        <w:fldChar w:fldCharType="begin"/>
      </w:r>
      <w:r w:rsidRPr="002A77FC">
        <w:instrText>HYPERLINK "https://doi.org/10.1080/00913367.2020.1770639"</w:instrText>
      </w:r>
      <w:r w:rsidRPr="002A77FC">
        <w:fldChar w:fldCharType="separate"/>
      </w:r>
      <w:r w:rsidRPr="002A77FC">
        <w:rPr>
          <w:rStyle w:val="Hyperlink"/>
          <w:rFonts w:ascii="Arial" w:hAnsi="Arial" w:cs="Arial"/>
          <w:color w:val="auto"/>
        </w:rPr>
        <w:t>https://doi.org/10.1080/00913367.2020.1770639</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8ACDE48" w14:textId="296A82B6"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Wæraas, A. and Dahle, D.Y. (2020) ‘When reputation management is people management: Implications for employee voice’, </w:t>
      </w:r>
      <w:r w:rsidRPr="002A77FC">
        <w:rPr>
          <w:rFonts w:ascii="Arial" w:hAnsi="Arial" w:cs="Arial"/>
          <w:i/>
          <w:iCs/>
        </w:rPr>
        <w:t>European Management Journal</w:t>
      </w:r>
      <w:r w:rsidRPr="002A77FC">
        <w:rPr>
          <w:rFonts w:ascii="Arial" w:hAnsi="Arial" w:cs="Arial"/>
        </w:rPr>
        <w:t>, 38(2).</w:t>
      </w:r>
      <w:r w:rsidR="00E27A7F" w:rsidRPr="002A77FC">
        <w:rPr>
          <w:rFonts w:ascii="Arial" w:hAnsi="Arial" w:cs="Arial"/>
        </w:rPr>
        <w:t xml:space="preserve"> Available at:</w:t>
      </w:r>
      <w:r w:rsidRPr="002A77FC">
        <w:rPr>
          <w:rFonts w:ascii="Arial" w:hAnsi="Arial" w:cs="Arial"/>
          <w:lang w:val="en-US"/>
        </w:rPr>
        <w:t xml:space="preserve"> </w:t>
      </w:r>
      <w:r w:rsidR="00E27A7F" w:rsidRPr="002A77FC">
        <w:rPr>
          <w:rFonts w:ascii="Arial" w:hAnsi="Arial" w:cs="Arial"/>
          <w:lang w:val="en-US"/>
        </w:rPr>
        <w:t xml:space="preserve"> </w:t>
      </w:r>
      <w:hyperlink r:id="rId15" w:history="1">
        <w:r w:rsidR="00E27A7F" w:rsidRPr="002A77FC">
          <w:rPr>
            <w:rStyle w:val="Hyperlink"/>
            <w:rFonts w:ascii="Arial" w:hAnsi="Arial" w:cs="Arial"/>
            <w:color w:val="auto"/>
            <w:lang w:val="en-US"/>
          </w:rPr>
          <w:t>https://doi.org/10.1016/j.emj.2019.08.010</w:t>
        </w:r>
      </w:hyperlink>
      <w:r w:rsidR="00E27A7F" w:rsidRPr="002A77FC">
        <w:rPr>
          <w:rFonts w:ascii="Arial" w:hAnsi="Arial" w:cs="Arial"/>
          <w:lang w:val="en-US"/>
        </w:rPr>
        <w:t xml:space="preserve"> </w:t>
      </w:r>
    </w:p>
    <w:p w14:paraId="6AD82727"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Wang, Y., Huscroft, J.R., Hazen, B.T. and Zhang, M. (2018) ‘Green information, green certification and consumer perceptions of remanufctured automobile parts’, </w:t>
      </w:r>
      <w:r w:rsidRPr="002A77FC">
        <w:rPr>
          <w:rFonts w:ascii="Arial" w:hAnsi="Arial" w:cs="Arial"/>
          <w:i/>
          <w:iCs/>
        </w:rPr>
        <w:t>Resources, Conservation and Recycling</w:t>
      </w:r>
      <w:r w:rsidRPr="002A77FC">
        <w:rPr>
          <w:rFonts w:ascii="Arial" w:hAnsi="Arial" w:cs="Arial"/>
        </w:rPr>
        <w:t xml:space="preserve">, 128, pp. 187–196. Available at: </w:t>
      </w:r>
      <w:r w:rsidRPr="002A77FC">
        <w:fldChar w:fldCharType="begin"/>
      </w:r>
      <w:r w:rsidRPr="002A77FC">
        <w:instrText>HYPERLINK "https://doi.org/10.1016/j.resconrec.2016.07.015"</w:instrText>
      </w:r>
      <w:r w:rsidRPr="002A77FC">
        <w:fldChar w:fldCharType="separate"/>
      </w:r>
      <w:r w:rsidRPr="002A77FC">
        <w:rPr>
          <w:rStyle w:val="Hyperlink"/>
          <w:rFonts w:ascii="Arial" w:hAnsi="Arial" w:cs="Arial"/>
          <w:color w:val="auto"/>
        </w:rPr>
        <w:t>https://doi.org/10.1016/j.resconrec.2016.07.015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0162E973"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Weder, F. (2022) ‘Strategic problematization of sustainability reframing dissent in strategic communication for transformation’, </w:t>
      </w:r>
      <w:r w:rsidRPr="002A77FC">
        <w:rPr>
          <w:rFonts w:ascii="Arial" w:hAnsi="Arial" w:cs="Arial"/>
          <w:i/>
          <w:iCs/>
        </w:rPr>
        <w:t>Public Relations Inquiry</w:t>
      </w:r>
      <w:r w:rsidRPr="002A77FC">
        <w:rPr>
          <w:rFonts w:ascii="Arial" w:hAnsi="Arial" w:cs="Arial"/>
        </w:rPr>
        <w:t xml:space="preserve">, 11(3), p. 2046147X2110268. Available at: </w:t>
      </w:r>
      <w:r w:rsidRPr="002A77FC">
        <w:fldChar w:fldCharType="begin"/>
      </w:r>
      <w:r w:rsidRPr="002A77FC">
        <w:instrText>HYPERLINK "https://doi.org/10.1177/2046147x211026857"</w:instrText>
      </w:r>
      <w:r w:rsidRPr="002A77FC">
        <w:fldChar w:fldCharType="separate"/>
      </w:r>
      <w:r w:rsidRPr="002A77FC">
        <w:rPr>
          <w:rStyle w:val="Hyperlink"/>
          <w:rFonts w:ascii="Arial" w:hAnsi="Arial" w:cs="Arial"/>
          <w:color w:val="auto"/>
        </w:rPr>
        <w:t>https://doi.org/10.1177/2046147x211026857</w:t>
      </w:r>
      <w:r w:rsidRPr="002A77FC">
        <w:rPr>
          <w:rStyle w:val="Hyperlink"/>
          <w:rFonts w:ascii="Arial" w:hAnsi="Arial" w:cs="Arial"/>
          <w:color w:val="auto"/>
        </w:rPr>
        <w:fldChar w:fldCharType="end"/>
      </w:r>
      <w:r w:rsidRPr="002A77FC">
        <w:rPr>
          <w:rFonts w:ascii="Arial" w:hAnsi="Arial" w:cs="Arial"/>
        </w:rPr>
        <w:t xml:space="preserve">. </w:t>
      </w:r>
    </w:p>
    <w:p w14:paraId="4AA29201"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Weder, F. (2023) ‘The Evolution of the Sustainability Story: Strategic Sustainability Communication as Niche Construction’, </w:t>
      </w:r>
      <w:r w:rsidRPr="002A77FC">
        <w:rPr>
          <w:rFonts w:ascii="Arial" w:hAnsi="Arial" w:cs="Arial"/>
          <w:i/>
          <w:iCs/>
        </w:rPr>
        <w:t>International journal of strategic communication</w:t>
      </w:r>
      <w:r w:rsidRPr="002A77FC">
        <w:rPr>
          <w:rFonts w:ascii="Arial" w:hAnsi="Arial" w:cs="Arial"/>
        </w:rPr>
        <w:t xml:space="preserve">, 17(3), pp. 228–244. Available at: </w:t>
      </w:r>
      <w:r w:rsidRPr="002A77FC">
        <w:fldChar w:fldCharType="begin"/>
      </w:r>
      <w:r w:rsidRPr="002A77FC">
        <w:instrText>HYPERLINK "https://doi.org/10.1080/1553118x.2023.2229304"</w:instrText>
      </w:r>
      <w:r w:rsidRPr="002A77FC">
        <w:fldChar w:fldCharType="separate"/>
      </w:r>
      <w:r w:rsidRPr="002A77FC">
        <w:rPr>
          <w:rStyle w:val="Hyperlink"/>
          <w:rFonts w:ascii="Arial" w:hAnsi="Arial" w:cs="Arial"/>
          <w:color w:val="auto"/>
        </w:rPr>
        <w:t>https://doi.org/10.1080/1553118x.2023.2229304</w:t>
      </w:r>
      <w:r w:rsidRPr="002A77FC">
        <w:rPr>
          <w:rStyle w:val="Hyperlink"/>
          <w:rFonts w:ascii="Arial" w:hAnsi="Arial" w:cs="Arial"/>
          <w:color w:val="auto"/>
        </w:rPr>
        <w:fldChar w:fldCharType="end"/>
      </w:r>
      <w:r w:rsidRPr="002A77FC">
        <w:rPr>
          <w:rFonts w:ascii="Arial" w:hAnsi="Arial" w:cs="Arial"/>
        </w:rPr>
        <w:t xml:space="preserve">. </w:t>
      </w:r>
    </w:p>
    <w:p w14:paraId="59C8172A" w14:textId="77777777"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 xml:space="preserve">Welch, C., Paavilainen-Mäntymäki, E., Piekkari, R. and Plakoyiannaki, E. (2022) ‘Reconciling theory and context: How the case study can set a new agenda for international business research’, </w:t>
      </w:r>
      <w:r w:rsidRPr="002A77FC">
        <w:rPr>
          <w:rFonts w:ascii="Arial" w:hAnsi="Arial" w:cs="Arial"/>
          <w:i/>
          <w:iCs/>
        </w:rPr>
        <w:t>Journal of International Business Studies</w:t>
      </w:r>
      <w:r w:rsidRPr="002A77FC">
        <w:rPr>
          <w:rFonts w:ascii="Arial" w:hAnsi="Arial" w:cs="Arial"/>
        </w:rPr>
        <w:t xml:space="preserve">, 53(1), pp. 4–26. Available at: </w:t>
      </w:r>
      <w:r w:rsidRPr="002A77FC">
        <w:fldChar w:fldCharType="begin"/>
      </w:r>
      <w:r w:rsidRPr="002A77FC">
        <w:instrText>HYPERLINK "https://doi.org/10.1057/s41267-021-00484-5"</w:instrText>
      </w:r>
      <w:r w:rsidRPr="002A77FC">
        <w:fldChar w:fldCharType="separate"/>
      </w:r>
      <w:r w:rsidRPr="002A77FC">
        <w:rPr>
          <w:rStyle w:val="Hyperlink"/>
          <w:rFonts w:ascii="Arial" w:hAnsi="Arial" w:cs="Arial"/>
          <w:color w:val="auto"/>
        </w:rPr>
        <w:t>https://doi.org/10.1057/s41267-021-00484-5</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6C2D93A7" w14:textId="77777777" w:rsidR="00D20612" w:rsidRPr="002A77FC" w:rsidRDefault="00D20612" w:rsidP="002A77FC">
      <w:pPr>
        <w:pStyle w:val="ListParagraph"/>
        <w:numPr>
          <w:ilvl w:val="0"/>
          <w:numId w:val="55"/>
        </w:numPr>
        <w:rPr>
          <w:rFonts w:ascii="Arial" w:hAnsi="Arial" w:cs="Arial"/>
        </w:rPr>
      </w:pPr>
      <w:r w:rsidRPr="002A77FC">
        <w:rPr>
          <w:rFonts w:ascii="Arial" w:hAnsi="Arial" w:cs="Arial"/>
        </w:rPr>
        <w:t xml:space="preserve">Welch, C., Piekkari, R., Plakoyiannaki, E. and Paavilainen-Mäntymäki, E. (2019) ‘Theorising from Case Studies: Towards a Pluralist Future for International Business Research’, </w:t>
      </w:r>
      <w:r w:rsidRPr="002A77FC">
        <w:rPr>
          <w:rFonts w:ascii="Arial" w:hAnsi="Arial" w:cs="Arial"/>
          <w:i/>
          <w:iCs/>
        </w:rPr>
        <w:t>Research Methods in International Business</w:t>
      </w:r>
      <w:r w:rsidRPr="002A77FC">
        <w:rPr>
          <w:rFonts w:ascii="Arial" w:hAnsi="Arial" w:cs="Arial"/>
        </w:rPr>
        <w:t xml:space="preserve">, pp. 171–220. Available at: </w:t>
      </w:r>
      <w:r w:rsidRPr="002A77FC">
        <w:fldChar w:fldCharType="begin"/>
      </w:r>
      <w:r w:rsidRPr="002A77FC">
        <w:instrText>HYPERLINK "https://doi.org/10.1007/978-3-030-22113-3_9"</w:instrText>
      </w:r>
      <w:r w:rsidRPr="002A77FC">
        <w:fldChar w:fldCharType="separate"/>
      </w:r>
      <w:r w:rsidRPr="002A77FC">
        <w:rPr>
          <w:rStyle w:val="Hyperlink"/>
          <w:rFonts w:ascii="Arial" w:hAnsi="Arial" w:cs="Arial"/>
          <w:color w:val="auto"/>
        </w:rPr>
        <w:t>https://doi.org/10.1007/978-3-030-22113-3_9</w:t>
      </w:r>
      <w:r w:rsidRPr="002A77FC">
        <w:rPr>
          <w:rStyle w:val="Hyperlink"/>
          <w:rFonts w:ascii="Arial" w:hAnsi="Arial" w:cs="Arial"/>
          <w:color w:val="auto"/>
        </w:rPr>
        <w:fldChar w:fldCharType="end"/>
      </w:r>
      <w:r w:rsidRPr="002A77FC">
        <w:rPr>
          <w:rFonts w:ascii="Arial" w:hAnsi="Arial" w:cs="Arial"/>
        </w:rPr>
        <w:t>.</w:t>
      </w:r>
    </w:p>
    <w:p w14:paraId="2B864F00" w14:textId="57B61E95" w:rsidR="00D20612" w:rsidRPr="002A77FC" w:rsidRDefault="00D20612" w:rsidP="002A77FC">
      <w:pPr>
        <w:pStyle w:val="ListParagraph"/>
        <w:numPr>
          <w:ilvl w:val="0"/>
          <w:numId w:val="55"/>
        </w:numPr>
        <w:rPr>
          <w:rFonts w:ascii="Arial" w:hAnsi="Arial" w:cs="Arial"/>
          <w:lang w:val="en-US"/>
        </w:rPr>
      </w:pPr>
      <w:r w:rsidRPr="002A77FC">
        <w:rPr>
          <w:rFonts w:ascii="Arial" w:hAnsi="Arial" w:cs="Arial"/>
        </w:rPr>
        <w:t>Zhang, B., Fu, Z., Huang, J., Wang, J., Xu, S. and Zhang, L. (2018) ‘Consumers’ perceptions, purchase intention, and willingness to pay a premium price for safe vegetables: A case study of Beijing, China’, </w:t>
      </w:r>
      <w:r w:rsidRPr="002A77FC">
        <w:rPr>
          <w:rFonts w:ascii="Arial" w:hAnsi="Arial" w:cs="Arial"/>
          <w:i/>
          <w:iCs/>
        </w:rPr>
        <w:t>Journal of Cleaner Production</w:t>
      </w:r>
      <w:r w:rsidRPr="002A77FC">
        <w:rPr>
          <w:rFonts w:ascii="Arial" w:hAnsi="Arial" w:cs="Arial"/>
        </w:rPr>
        <w:t xml:space="preserve">, 197(1), pp. 1498–1507. Available at: </w:t>
      </w:r>
      <w:r w:rsidRPr="002A77FC">
        <w:fldChar w:fldCharType="begin"/>
      </w:r>
      <w:r w:rsidRPr="002A77FC">
        <w:instrText>HYPERLINK "https://doi.org/10.1016/j.jclepro.2018.06.273"</w:instrText>
      </w:r>
      <w:r w:rsidRPr="002A77FC">
        <w:fldChar w:fldCharType="separate"/>
      </w:r>
      <w:r w:rsidRPr="002A77FC">
        <w:rPr>
          <w:rStyle w:val="Hyperlink"/>
          <w:rFonts w:ascii="Arial" w:hAnsi="Arial" w:cs="Arial"/>
          <w:color w:val="auto"/>
        </w:rPr>
        <w:t>https://doi.org/10.1016/j.jclepro.2018.06.273</w:t>
      </w:r>
      <w:r w:rsidRPr="002A77FC">
        <w:rPr>
          <w:rStyle w:val="Hyperlink"/>
          <w:rFonts w:ascii="Arial" w:hAnsi="Arial" w:cs="Arial"/>
          <w:color w:val="auto"/>
        </w:rPr>
        <w:fldChar w:fldCharType="end"/>
      </w:r>
      <w:r w:rsidRPr="002A77FC">
        <w:rPr>
          <w:rFonts w:ascii="Arial" w:hAnsi="Arial" w:cs="Arial"/>
        </w:rPr>
        <w:t>.</w:t>
      </w:r>
      <w:r w:rsidRPr="002A77FC">
        <w:rPr>
          <w:rFonts w:ascii="Arial" w:hAnsi="Arial" w:cs="Arial"/>
          <w:lang w:val="en-US"/>
        </w:rPr>
        <w:t xml:space="preserve">  </w:t>
      </w:r>
    </w:p>
    <w:p w14:paraId="678257F5" w14:textId="77777777" w:rsidR="00195BAC" w:rsidRPr="002A77FC" w:rsidRDefault="00195BAC" w:rsidP="00012868">
      <w:pPr>
        <w:spacing w:line="360" w:lineRule="auto"/>
        <w:jc w:val="both"/>
        <w:rPr>
          <w:rFonts w:ascii="Arial" w:hAnsi="Arial" w:cs="Arial"/>
          <w:lang w:val="en-US"/>
        </w:rPr>
      </w:pPr>
    </w:p>
    <w:p w14:paraId="429B1E06" w14:textId="53DBA784" w:rsidR="00195BAC" w:rsidRPr="002A77FC" w:rsidRDefault="00195BAC">
      <w:pPr>
        <w:spacing w:after="160" w:line="259" w:lineRule="auto"/>
        <w:rPr>
          <w:rFonts w:ascii="Arial" w:hAnsi="Arial" w:cs="Arial"/>
          <w:lang w:val="en-US"/>
        </w:rPr>
      </w:pPr>
      <w:r w:rsidRPr="002A77FC">
        <w:rPr>
          <w:rFonts w:ascii="Arial" w:hAnsi="Arial" w:cs="Arial"/>
          <w:lang w:val="en-US"/>
        </w:rPr>
        <w:br w:type="page"/>
      </w:r>
    </w:p>
    <w:p w14:paraId="2CB65CE7" w14:textId="6D304431" w:rsidR="00195BAC" w:rsidRPr="002A77FC" w:rsidRDefault="00195BAC" w:rsidP="00A808C0">
      <w:pPr>
        <w:pStyle w:val="Heading1"/>
        <w:rPr>
          <w:lang w:val="en-US"/>
        </w:rPr>
      </w:pPr>
      <w:bookmarkStart w:id="104" w:name="_Toc230268899"/>
      <w:r w:rsidRPr="002A77FC">
        <w:lastRenderedPageBreak/>
        <w:t>Appendix</w:t>
      </w:r>
      <w:bookmarkEnd w:id="104"/>
    </w:p>
    <w:p w14:paraId="044E0D16" w14:textId="649F0572" w:rsidR="00195BAC" w:rsidRPr="002A77FC" w:rsidRDefault="00195BAC" w:rsidP="00195BAC">
      <w:pPr>
        <w:pStyle w:val="Heading2"/>
        <w:rPr>
          <w:rFonts w:ascii="Arial" w:hAnsi="Arial" w:cs="Arial"/>
          <w:color w:val="auto"/>
        </w:rPr>
      </w:pPr>
      <w:bookmarkStart w:id="105" w:name="_Toc230268900"/>
      <w:r w:rsidRPr="002A77FC">
        <w:rPr>
          <w:rFonts w:ascii="Arial" w:hAnsi="Arial" w:cs="Arial"/>
          <w:color w:val="auto"/>
        </w:rPr>
        <w:t>Appendix A: Thematic Analysis Coding Framework</w:t>
      </w:r>
      <w:bookmarkEnd w:id="105"/>
    </w:p>
    <w:p w14:paraId="64F9EAFE" w14:textId="7E00EB41" w:rsidR="00195BAC" w:rsidRPr="002A77FC" w:rsidRDefault="00195BAC" w:rsidP="00195BAC">
      <w:pPr>
        <w:pStyle w:val="Heading3"/>
        <w:rPr>
          <w:rFonts w:ascii="Arial" w:hAnsi="Arial" w:cs="Arial"/>
          <w:color w:val="auto"/>
        </w:rPr>
      </w:pPr>
      <w:bookmarkStart w:id="106" w:name="_Toc230268901"/>
      <w:r w:rsidRPr="002A77FC">
        <w:rPr>
          <w:rFonts w:ascii="Arial" w:hAnsi="Arial" w:cs="Arial"/>
          <w:color w:val="auto"/>
        </w:rPr>
        <w:t>Appendix A1: Dataset and Approach</w:t>
      </w:r>
      <w:bookmarkEnd w:id="106"/>
    </w:p>
    <w:tbl>
      <w:tblPr>
        <w:tblStyle w:val="PlainTable5"/>
        <w:tblW w:w="0" w:type="auto"/>
        <w:tblLook w:val="04A0" w:firstRow="1" w:lastRow="0" w:firstColumn="1" w:lastColumn="0" w:noHBand="0" w:noVBand="1"/>
      </w:tblPr>
      <w:tblGrid>
        <w:gridCol w:w="1991"/>
        <w:gridCol w:w="7035"/>
      </w:tblGrid>
      <w:tr w:rsidR="002A77FC" w:rsidRPr="002A77FC" w14:paraId="01B24A99" w14:textId="77777777" w:rsidTr="00195BAC">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62B90630" w14:textId="77777777" w:rsidR="00195BAC" w:rsidRPr="002A77FC" w:rsidRDefault="00195BAC">
            <w:pPr>
              <w:pStyle w:val="NormalWeb"/>
              <w:spacing w:before="240" w:beforeAutospacing="0" w:after="240" w:afterAutospacing="0"/>
              <w:jc w:val="center"/>
              <w:rPr>
                <w:rFonts w:ascii="Arial" w:hAnsi="Arial" w:cs="Arial"/>
              </w:rPr>
            </w:pPr>
            <w:r w:rsidRPr="002A77FC">
              <w:rPr>
                <w:rFonts w:ascii="Arial" w:hAnsi="Arial" w:cs="Arial"/>
                <w:b/>
                <w:bCs/>
              </w:rPr>
              <w:t>Item</w:t>
            </w:r>
          </w:p>
        </w:tc>
        <w:tc>
          <w:tcPr>
            <w:tcW w:w="0" w:type="auto"/>
            <w:hideMark/>
          </w:tcPr>
          <w:p w14:paraId="6F2F3933"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Details</w:t>
            </w:r>
          </w:p>
        </w:tc>
      </w:tr>
      <w:tr w:rsidR="002A77FC" w:rsidRPr="002A77FC" w14:paraId="41F34C30" w14:textId="77777777" w:rsidTr="00195BAC">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FE486CE"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Data type</w:t>
            </w:r>
          </w:p>
        </w:tc>
        <w:tc>
          <w:tcPr>
            <w:tcW w:w="0" w:type="auto"/>
            <w:hideMark/>
          </w:tcPr>
          <w:p w14:paraId="6D1461A8"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Secondary qualitative documents</w:t>
            </w:r>
          </w:p>
        </w:tc>
      </w:tr>
      <w:tr w:rsidR="002A77FC" w:rsidRPr="002A77FC" w14:paraId="7FD78D76"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DBEA554"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Main case</w:t>
            </w:r>
          </w:p>
        </w:tc>
        <w:tc>
          <w:tcPr>
            <w:tcW w:w="0" w:type="auto"/>
            <w:hideMark/>
          </w:tcPr>
          <w:p w14:paraId="05D963D5"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Unilever UK</w:t>
            </w:r>
          </w:p>
        </w:tc>
      </w:tr>
      <w:tr w:rsidR="002A77FC" w:rsidRPr="002A77FC" w14:paraId="18942A2C"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B5AD2B8"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Comparison cases</w:t>
            </w:r>
          </w:p>
        </w:tc>
        <w:tc>
          <w:tcPr>
            <w:tcW w:w="0" w:type="auto"/>
            <w:hideMark/>
          </w:tcPr>
          <w:p w14:paraId="36529112"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P&amp;G UK, Nestlé UK, Reckitt UK, Henkel</w:t>
            </w:r>
          </w:p>
        </w:tc>
      </w:tr>
      <w:tr w:rsidR="002A77FC" w:rsidRPr="002A77FC" w14:paraId="57558955"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7228A2B"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Method</w:t>
            </w:r>
          </w:p>
        </w:tc>
        <w:tc>
          <w:tcPr>
            <w:tcW w:w="0" w:type="auto"/>
            <w:hideMark/>
          </w:tcPr>
          <w:p w14:paraId="531B3F3B"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Thematic analysis with cross-case synthesis</w:t>
            </w:r>
          </w:p>
        </w:tc>
      </w:tr>
      <w:tr w:rsidR="002A77FC" w:rsidRPr="002A77FC" w14:paraId="02DC135E" w14:textId="77777777" w:rsidTr="00195BAC">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78265FD"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Approach</w:t>
            </w:r>
          </w:p>
        </w:tc>
        <w:tc>
          <w:tcPr>
            <w:tcW w:w="0" w:type="auto"/>
            <w:hideMark/>
          </w:tcPr>
          <w:p w14:paraId="308F41CD"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Abductive and interpretivist</w:t>
            </w:r>
          </w:p>
        </w:tc>
      </w:tr>
      <w:tr w:rsidR="002A77FC" w:rsidRPr="002A77FC" w14:paraId="5A2FE388"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FDFB1F9"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Main theory</w:t>
            </w:r>
          </w:p>
        </w:tc>
        <w:tc>
          <w:tcPr>
            <w:tcW w:w="0" w:type="auto"/>
            <w:hideMark/>
          </w:tcPr>
          <w:p w14:paraId="53BB7978"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2A77FC">
              <w:rPr>
                <w:rFonts w:ascii="Arial" w:hAnsi="Arial" w:cs="Arial"/>
              </w:rPr>
              <w:t>Signalling</w:t>
            </w:r>
            <w:proofErr w:type="spellEnd"/>
            <w:r w:rsidRPr="002A77FC">
              <w:rPr>
                <w:rFonts w:ascii="Arial" w:hAnsi="Arial" w:cs="Arial"/>
              </w:rPr>
              <w:t xml:space="preserve"> Theory</w:t>
            </w:r>
          </w:p>
        </w:tc>
      </w:tr>
      <w:tr w:rsidR="002A77FC" w:rsidRPr="002A77FC" w14:paraId="4D9CDBB2"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A38CAAB"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Supporting concepts</w:t>
            </w:r>
          </w:p>
        </w:tc>
        <w:tc>
          <w:tcPr>
            <w:tcW w:w="0" w:type="auto"/>
            <w:hideMark/>
          </w:tcPr>
          <w:p w14:paraId="6FC40265"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Stakeholder Theory, Legitimacy Theory, Brand Equity Theory</w:t>
            </w:r>
          </w:p>
        </w:tc>
      </w:tr>
      <w:tr w:rsidR="002A77FC" w:rsidRPr="002A77FC" w14:paraId="6D10DAB7" w14:textId="77777777" w:rsidTr="00195BAC">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5A51103"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Data focus</w:t>
            </w:r>
          </w:p>
        </w:tc>
        <w:tc>
          <w:tcPr>
            <w:tcW w:w="0" w:type="auto"/>
            <w:hideMark/>
          </w:tcPr>
          <w:p w14:paraId="788A4F4B"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 xml:space="preserve">Sustainability communication, consumer perception, trust, </w:t>
            </w:r>
            <w:proofErr w:type="spellStart"/>
            <w:r w:rsidRPr="002A77FC">
              <w:rPr>
                <w:rFonts w:ascii="Arial" w:hAnsi="Arial" w:cs="Arial"/>
              </w:rPr>
              <w:t>scepticism</w:t>
            </w:r>
            <w:proofErr w:type="spellEnd"/>
            <w:r w:rsidRPr="002A77FC">
              <w:rPr>
                <w:rFonts w:ascii="Arial" w:hAnsi="Arial" w:cs="Arial"/>
              </w:rPr>
              <w:t>, greenwashing and brand reputation</w:t>
            </w:r>
          </w:p>
        </w:tc>
      </w:tr>
    </w:tbl>
    <w:p w14:paraId="3AA3A307" w14:textId="77777777" w:rsidR="00195BAC" w:rsidRPr="002A77FC" w:rsidRDefault="00195BAC" w:rsidP="00195BAC">
      <w:pPr>
        <w:rPr>
          <w:rFonts w:ascii="Arial" w:hAnsi="Arial" w:cs="Arial"/>
        </w:rPr>
      </w:pPr>
    </w:p>
    <w:p w14:paraId="32B229D2" w14:textId="77777777" w:rsidR="00195BAC" w:rsidRPr="002A77FC" w:rsidRDefault="00195BAC" w:rsidP="00195BAC">
      <w:pPr>
        <w:pStyle w:val="Heading3"/>
        <w:rPr>
          <w:rFonts w:ascii="Arial" w:hAnsi="Arial" w:cs="Arial"/>
          <w:color w:val="auto"/>
        </w:rPr>
      </w:pPr>
      <w:bookmarkStart w:id="107" w:name="_Toc230268902"/>
      <w:r w:rsidRPr="002A77FC">
        <w:rPr>
          <w:rFonts w:ascii="Arial" w:hAnsi="Arial" w:cs="Arial"/>
          <w:color w:val="auto"/>
        </w:rPr>
        <w:t>Appendix A2: Initial Codes</w:t>
      </w:r>
      <w:bookmarkEnd w:id="107"/>
    </w:p>
    <w:tbl>
      <w:tblPr>
        <w:tblStyle w:val="PlainTable5"/>
        <w:tblW w:w="0" w:type="auto"/>
        <w:tblLook w:val="04A0" w:firstRow="1" w:lastRow="0" w:firstColumn="1" w:lastColumn="0" w:noHBand="0" w:noVBand="1"/>
      </w:tblPr>
      <w:tblGrid>
        <w:gridCol w:w="2330"/>
        <w:gridCol w:w="5389"/>
        <w:gridCol w:w="1307"/>
      </w:tblGrid>
      <w:tr w:rsidR="002A77FC" w:rsidRPr="002A77FC" w14:paraId="071F40E9" w14:textId="77777777" w:rsidTr="00195BAC">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77FB34CD" w14:textId="77777777" w:rsidR="00195BAC" w:rsidRPr="002A77FC" w:rsidRDefault="00195BAC">
            <w:pPr>
              <w:pStyle w:val="NormalWeb"/>
              <w:spacing w:before="240" w:beforeAutospacing="0" w:after="240" w:afterAutospacing="0"/>
              <w:jc w:val="center"/>
              <w:rPr>
                <w:rFonts w:ascii="Arial" w:hAnsi="Arial" w:cs="Arial"/>
              </w:rPr>
            </w:pPr>
            <w:r w:rsidRPr="002A77FC">
              <w:rPr>
                <w:rFonts w:ascii="Arial" w:hAnsi="Arial" w:cs="Arial"/>
                <w:b/>
                <w:bCs/>
              </w:rPr>
              <w:t>Code</w:t>
            </w:r>
          </w:p>
        </w:tc>
        <w:tc>
          <w:tcPr>
            <w:tcW w:w="0" w:type="auto"/>
            <w:hideMark/>
          </w:tcPr>
          <w:p w14:paraId="7B25A2AA"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Meaning</w:t>
            </w:r>
          </w:p>
        </w:tc>
        <w:tc>
          <w:tcPr>
            <w:tcW w:w="0" w:type="auto"/>
            <w:hideMark/>
          </w:tcPr>
          <w:p w14:paraId="6DDE603F"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Link</w:t>
            </w:r>
          </w:p>
        </w:tc>
      </w:tr>
      <w:tr w:rsidR="002A77FC" w:rsidRPr="002A77FC" w14:paraId="4C7C5C0D" w14:textId="77777777" w:rsidTr="00195BAC">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509CD09"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Sustainability signal</w:t>
            </w:r>
          </w:p>
        </w:tc>
        <w:tc>
          <w:tcPr>
            <w:tcW w:w="0" w:type="auto"/>
            <w:hideMark/>
          </w:tcPr>
          <w:p w14:paraId="740BBA6B"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ESG reports, labels, campaigns and sustainability claims</w:t>
            </w:r>
          </w:p>
        </w:tc>
        <w:tc>
          <w:tcPr>
            <w:tcW w:w="0" w:type="auto"/>
            <w:hideMark/>
          </w:tcPr>
          <w:p w14:paraId="00FB8726"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7A8B151E"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9E42EBF"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Message credibility</w:t>
            </w:r>
          </w:p>
        </w:tc>
        <w:tc>
          <w:tcPr>
            <w:tcW w:w="0" w:type="auto"/>
            <w:hideMark/>
          </w:tcPr>
          <w:p w14:paraId="21E23A64"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Whether claims appear clear, specific and evidence-based</w:t>
            </w:r>
          </w:p>
        </w:tc>
        <w:tc>
          <w:tcPr>
            <w:tcW w:w="0" w:type="auto"/>
            <w:hideMark/>
          </w:tcPr>
          <w:p w14:paraId="7EE6E278"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13C505D1"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4B625F2"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lastRenderedPageBreak/>
              <w:t>Consumer perception</w:t>
            </w:r>
          </w:p>
        </w:tc>
        <w:tc>
          <w:tcPr>
            <w:tcW w:w="0" w:type="auto"/>
            <w:hideMark/>
          </w:tcPr>
          <w:p w14:paraId="1ADA8D1B"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How consumers interpret sustainability communication</w:t>
            </w:r>
          </w:p>
        </w:tc>
        <w:tc>
          <w:tcPr>
            <w:tcW w:w="0" w:type="auto"/>
            <w:hideMark/>
          </w:tcPr>
          <w:p w14:paraId="4D6416A1"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41A445B2"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87CE8EA"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Trust formation</w:t>
            </w:r>
          </w:p>
        </w:tc>
        <w:tc>
          <w:tcPr>
            <w:tcW w:w="0" w:type="auto"/>
            <w:hideMark/>
          </w:tcPr>
          <w:p w14:paraId="3AFFFF26"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Whether communication strengthens belief in the brand</w:t>
            </w:r>
          </w:p>
        </w:tc>
        <w:tc>
          <w:tcPr>
            <w:tcW w:w="0" w:type="auto"/>
            <w:hideMark/>
          </w:tcPr>
          <w:p w14:paraId="09EC19BE"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30F764DD"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61295EE"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Authenticity</w:t>
            </w:r>
          </w:p>
        </w:tc>
        <w:tc>
          <w:tcPr>
            <w:tcW w:w="0" w:type="auto"/>
            <w:hideMark/>
          </w:tcPr>
          <w:p w14:paraId="220EA441"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Alignment between sustainability claims and actual practice</w:t>
            </w:r>
          </w:p>
        </w:tc>
        <w:tc>
          <w:tcPr>
            <w:tcW w:w="0" w:type="auto"/>
            <w:hideMark/>
          </w:tcPr>
          <w:p w14:paraId="26C00E75"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676E3A9A"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DE53B45"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Greenwashing risk</w:t>
            </w:r>
          </w:p>
        </w:tc>
        <w:tc>
          <w:tcPr>
            <w:tcW w:w="0" w:type="auto"/>
            <w:hideMark/>
          </w:tcPr>
          <w:p w14:paraId="7E1F7664"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Risk of claims being seen as exaggerated or misleading</w:t>
            </w:r>
          </w:p>
        </w:tc>
        <w:tc>
          <w:tcPr>
            <w:tcW w:w="0" w:type="auto"/>
            <w:hideMark/>
          </w:tcPr>
          <w:p w14:paraId="180DE09A"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47765055"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ACB0ACD"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 xml:space="preserve">Consumer </w:t>
            </w:r>
            <w:proofErr w:type="spellStart"/>
            <w:r w:rsidRPr="002A77FC">
              <w:rPr>
                <w:rFonts w:ascii="Arial" w:hAnsi="Arial" w:cs="Arial"/>
              </w:rPr>
              <w:t>scepticism</w:t>
            </w:r>
            <w:proofErr w:type="spellEnd"/>
          </w:p>
        </w:tc>
        <w:tc>
          <w:tcPr>
            <w:tcW w:w="0" w:type="auto"/>
            <w:hideMark/>
          </w:tcPr>
          <w:p w14:paraId="2A6A20AF"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Doubt about corporate motives or sustainability claims</w:t>
            </w:r>
          </w:p>
        </w:tc>
        <w:tc>
          <w:tcPr>
            <w:tcW w:w="0" w:type="auto"/>
            <w:hideMark/>
          </w:tcPr>
          <w:p w14:paraId="4474949E"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11067B98" w14:textId="77777777" w:rsidTr="00195BAC">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0F4AC0A"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Reputation impact</w:t>
            </w:r>
          </w:p>
        </w:tc>
        <w:tc>
          <w:tcPr>
            <w:tcW w:w="0" w:type="auto"/>
            <w:hideMark/>
          </w:tcPr>
          <w:p w14:paraId="6578C955"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Effect of communication on brand image and credibility</w:t>
            </w:r>
          </w:p>
        </w:tc>
        <w:tc>
          <w:tcPr>
            <w:tcW w:w="0" w:type="auto"/>
            <w:hideMark/>
          </w:tcPr>
          <w:p w14:paraId="65D0A994"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RQ1</w:t>
            </w:r>
          </w:p>
        </w:tc>
      </w:tr>
      <w:tr w:rsidR="002A77FC" w:rsidRPr="002A77FC" w14:paraId="32CD980B"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0C02E1E"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Product relevance</w:t>
            </w:r>
          </w:p>
        </w:tc>
        <w:tc>
          <w:tcPr>
            <w:tcW w:w="0" w:type="auto"/>
            <w:hideMark/>
          </w:tcPr>
          <w:p w14:paraId="27B5FBB5"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Link between sustainability message and product category</w:t>
            </w:r>
          </w:p>
        </w:tc>
        <w:tc>
          <w:tcPr>
            <w:tcW w:w="0" w:type="auto"/>
            <w:hideMark/>
          </w:tcPr>
          <w:p w14:paraId="0B861B2F"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Cross-case</w:t>
            </w:r>
          </w:p>
        </w:tc>
      </w:tr>
      <w:tr w:rsidR="002A77FC" w:rsidRPr="002A77FC" w14:paraId="1E2E6179" w14:textId="77777777" w:rsidTr="00195BAC">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44E99CB"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UK scrutiny</w:t>
            </w:r>
          </w:p>
        </w:tc>
        <w:tc>
          <w:tcPr>
            <w:tcW w:w="0" w:type="auto"/>
            <w:hideMark/>
          </w:tcPr>
          <w:p w14:paraId="266EB247"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Pressure from informed consumers, media and regulation</w:t>
            </w:r>
          </w:p>
        </w:tc>
        <w:tc>
          <w:tcPr>
            <w:tcW w:w="0" w:type="auto"/>
            <w:hideMark/>
          </w:tcPr>
          <w:p w14:paraId="7FBA03BD"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Cross-case</w:t>
            </w:r>
          </w:p>
        </w:tc>
      </w:tr>
    </w:tbl>
    <w:p w14:paraId="745E2383" w14:textId="77777777" w:rsidR="00195BAC" w:rsidRPr="002A77FC" w:rsidRDefault="00195BAC" w:rsidP="00195BAC">
      <w:pPr>
        <w:rPr>
          <w:rFonts w:ascii="Arial" w:hAnsi="Arial" w:cs="Arial"/>
        </w:rPr>
      </w:pPr>
    </w:p>
    <w:p w14:paraId="5A856082" w14:textId="77777777" w:rsidR="00195BAC" w:rsidRPr="002A77FC" w:rsidRDefault="00195BAC" w:rsidP="00195BAC">
      <w:pPr>
        <w:pStyle w:val="Heading3"/>
        <w:rPr>
          <w:rFonts w:ascii="Arial" w:hAnsi="Arial" w:cs="Arial"/>
          <w:color w:val="auto"/>
        </w:rPr>
      </w:pPr>
      <w:bookmarkStart w:id="108" w:name="_Toc230268903"/>
      <w:r w:rsidRPr="002A77FC">
        <w:rPr>
          <w:rFonts w:ascii="Arial" w:hAnsi="Arial" w:cs="Arial"/>
          <w:color w:val="auto"/>
        </w:rPr>
        <w:t>Appendix A3: Code-to-Theme Development</w:t>
      </w:r>
      <w:bookmarkEnd w:id="108"/>
    </w:p>
    <w:tbl>
      <w:tblPr>
        <w:tblStyle w:val="PlainTable5"/>
        <w:tblW w:w="0" w:type="auto"/>
        <w:tblLook w:val="04A0" w:firstRow="1" w:lastRow="0" w:firstColumn="1" w:lastColumn="0" w:noHBand="0" w:noVBand="1"/>
      </w:tblPr>
      <w:tblGrid>
        <w:gridCol w:w="2586"/>
        <w:gridCol w:w="2541"/>
        <w:gridCol w:w="3899"/>
      </w:tblGrid>
      <w:tr w:rsidR="002A77FC" w:rsidRPr="002A77FC" w14:paraId="5F822082" w14:textId="77777777" w:rsidTr="00195BAC">
        <w:trPr>
          <w:cnfStyle w:val="100000000000" w:firstRow="1" w:lastRow="0" w:firstColumn="0" w:lastColumn="0" w:oddVBand="0" w:evenVBand="0" w:oddHBand="0" w:evenHBand="0" w:firstRowFirstColumn="0" w:firstRowLastColumn="0" w:lastRowFirstColumn="0" w:lastRowLastColumn="0"/>
          <w:trHeight w:val="770"/>
        </w:trPr>
        <w:tc>
          <w:tcPr>
            <w:cnfStyle w:val="001000000100" w:firstRow="0" w:lastRow="0" w:firstColumn="1" w:lastColumn="0" w:oddVBand="0" w:evenVBand="0" w:oddHBand="0" w:evenHBand="0" w:firstRowFirstColumn="1" w:firstRowLastColumn="0" w:lastRowFirstColumn="0" w:lastRowLastColumn="0"/>
            <w:tcW w:w="0" w:type="auto"/>
            <w:hideMark/>
          </w:tcPr>
          <w:p w14:paraId="49D44819" w14:textId="77777777" w:rsidR="00195BAC" w:rsidRPr="002A77FC" w:rsidRDefault="00195BAC">
            <w:pPr>
              <w:pStyle w:val="NormalWeb"/>
              <w:spacing w:before="240" w:beforeAutospacing="0" w:after="240" w:afterAutospacing="0"/>
              <w:jc w:val="center"/>
              <w:rPr>
                <w:rFonts w:ascii="Arial" w:hAnsi="Arial" w:cs="Arial"/>
              </w:rPr>
            </w:pPr>
            <w:r w:rsidRPr="002A77FC">
              <w:rPr>
                <w:rFonts w:ascii="Arial" w:hAnsi="Arial" w:cs="Arial"/>
                <w:b/>
                <w:bCs/>
              </w:rPr>
              <w:t>Final Theme</w:t>
            </w:r>
          </w:p>
        </w:tc>
        <w:tc>
          <w:tcPr>
            <w:tcW w:w="0" w:type="auto"/>
            <w:hideMark/>
          </w:tcPr>
          <w:p w14:paraId="6FDEBDFF"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Codes Grouped Under Theme</w:t>
            </w:r>
          </w:p>
        </w:tc>
        <w:tc>
          <w:tcPr>
            <w:tcW w:w="0" w:type="auto"/>
            <w:hideMark/>
          </w:tcPr>
          <w:p w14:paraId="4F2BD473"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Reason</w:t>
            </w:r>
          </w:p>
        </w:tc>
      </w:tr>
      <w:tr w:rsidR="002A77FC" w:rsidRPr="002A77FC" w14:paraId="266730A4" w14:textId="77777777" w:rsidTr="00195BAC">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1E26082D"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 xml:space="preserve">Sustainability Communication as Strategic </w:t>
            </w:r>
            <w:proofErr w:type="spellStart"/>
            <w:r w:rsidRPr="002A77FC">
              <w:rPr>
                <w:rFonts w:ascii="Arial" w:hAnsi="Arial" w:cs="Arial"/>
              </w:rPr>
              <w:t>Signalling</w:t>
            </w:r>
            <w:proofErr w:type="spellEnd"/>
          </w:p>
        </w:tc>
        <w:tc>
          <w:tcPr>
            <w:tcW w:w="0" w:type="auto"/>
            <w:hideMark/>
          </w:tcPr>
          <w:p w14:paraId="34145DDF"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Sustainability signal, message credibility, product relevance</w:t>
            </w:r>
          </w:p>
        </w:tc>
        <w:tc>
          <w:tcPr>
            <w:tcW w:w="0" w:type="auto"/>
            <w:hideMark/>
          </w:tcPr>
          <w:p w14:paraId="0C61FE58"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These codes show how Unilever uses communication to signal responsibility and brand value.</w:t>
            </w:r>
          </w:p>
        </w:tc>
      </w:tr>
      <w:tr w:rsidR="002A77FC" w:rsidRPr="002A77FC" w14:paraId="0FCAC632" w14:textId="77777777" w:rsidTr="00195BAC">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FC1BFAB"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 xml:space="preserve">Consumer Perception, Trust and </w:t>
            </w:r>
            <w:proofErr w:type="spellStart"/>
            <w:r w:rsidRPr="002A77FC">
              <w:rPr>
                <w:rFonts w:ascii="Arial" w:hAnsi="Arial" w:cs="Arial"/>
              </w:rPr>
              <w:t>Scepticism</w:t>
            </w:r>
            <w:proofErr w:type="spellEnd"/>
          </w:p>
        </w:tc>
        <w:tc>
          <w:tcPr>
            <w:tcW w:w="0" w:type="auto"/>
            <w:hideMark/>
          </w:tcPr>
          <w:p w14:paraId="26E2F6E3"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 xml:space="preserve">Consumer perception, trust formation, consumer </w:t>
            </w:r>
            <w:proofErr w:type="spellStart"/>
            <w:r w:rsidRPr="002A77FC">
              <w:rPr>
                <w:rFonts w:ascii="Arial" w:hAnsi="Arial" w:cs="Arial"/>
              </w:rPr>
              <w:t>scepticism</w:t>
            </w:r>
            <w:proofErr w:type="spellEnd"/>
          </w:p>
        </w:tc>
        <w:tc>
          <w:tcPr>
            <w:tcW w:w="0" w:type="auto"/>
            <w:hideMark/>
          </w:tcPr>
          <w:p w14:paraId="6C262E4A"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These codes explain how consumers may accept, question or reject sustainability messages.</w:t>
            </w:r>
          </w:p>
        </w:tc>
      </w:tr>
      <w:tr w:rsidR="002A77FC" w:rsidRPr="002A77FC" w14:paraId="7CA881E9" w14:textId="77777777" w:rsidTr="00195BAC">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12222A2"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lastRenderedPageBreak/>
              <w:t>Authenticity, Greenwashing and Reputation Risk</w:t>
            </w:r>
          </w:p>
        </w:tc>
        <w:tc>
          <w:tcPr>
            <w:tcW w:w="0" w:type="auto"/>
            <w:hideMark/>
          </w:tcPr>
          <w:p w14:paraId="4597A314"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Authenticity, greenwashing risk, reputation impact</w:t>
            </w:r>
          </w:p>
        </w:tc>
        <w:tc>
          <w:tcPr>
            <w:tcW w:w="0" w:type="auto"/>
            <w:hideMark/>
          </w:tcPr>
          <w:p w14:paraId="65580444"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These codes show when communication strengthens or damages reputation.</w:t>
            </w:r>
          </w:p>
        </w:tc>
      </w:tr>
      <w:tr w:rsidR="002A77FC" w:rsidRPr="002A77FC" w14:paraId="6839D0AC" w14:textId="77777777" w:rsidTr="00195BAC">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678CC659"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Cross-Case Sustainability Communication Differences</w:t>
            </w:r>
          </w:p>
        </w:tc>
        <w:tc>
          <w:tcPr>
            <w:tcW w:w="0" w:type="auto"/>
            <w:hideMark/>
          </w:tcPr>
          <w:p w14:paraId="1EA2242B"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Product relevance, UK scrutiny, message credibility</w:t>
            </w:r>
          </w:p>
        </w:tc>
        <w:tc>
          <w:tcPr>
            <w:tcW w:w="0" w:type="auto"/>
            <w:hideMark/>
          </w:tcPr>
          <w:p w14:paraId="4D52454F"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These codes compare how Unilever, P&amp;G, Nestlé, Reckitt and Henkel communicate sustainability under similar market pressure.</w:t>
            </w:r>
          </w:p>
        </w:tc>
      </w:tr>
    </w:tbl>
    <w:p w14:paraId="0D0742AF" w14:textId="77777777" w:rsidR="00195BAC" w:rsidRPr="002A77FC" w:rsidRDefault="00195BAC" w:rsidP="00195BAC">
      <w:pPr>
        <w:rPr>
          <w:rFonts w:ascii="Arial" w:hAnsi="Arial" w:cs="Arial"/>
        </w:rPr>
      </w:pPr>
    </w:p>
    <w:p w14:paraId="6A95F223" w14:textId="77777777" w:rsidR="00195BAC" w:rsidRPr="002A77FC" w:rsidRDefault="00195BAC" w:rsidP="00195BAC">
      <w:pPr>
        <w:pStyle w:val="Heading3"/>
        <w:rPr>
          <w:rFonts w:ascii="Arial" w:hAnsi="Arial" w:cs="Arial"/>
          <w:color w:val="auto"/>
        </w:rPr>
      </w:pPr>
      <w:bookmarkStart w:id="109" w:name="_Toc230268904"/>
      <w:r w:rsidRPr="002A77FC">
        <w:rPr>
          <w:rFonts w:ascii="Arial" w:hAnsi="Arial" w:cs="Arial"/>
          <w:color w:val="auto"/>
        </w:rPr>
        <w:t>Appendix A4: Final Themes Linked to Research Question</w:t>
      </w:r>
      <w:bookmarkEnd w:id="109"/>
    </w:p>
    <w:tbl>
      <w:tblPr>
        <w:tblStyle w:val="PlainTable5"/>
        <w:tblW w:w="0" w:type="auto"/>
        <w:tblLook w:val="04A0" w:firstRow="1" w:lastRow="0" w:firstColumn="1" w:lastColumn="0" w:noHBand="0" w:noVBand="1"/>
      </w:tblPr>
      <w:tblGrid>
        <w:gridCol w:w="3607"/>
        <w:gridCol w:w="2230"/>
        <w:gridCol w:w="3189"/>
      </w:tblGrid>
      <w:tr w:rsidR="002A77FC" w:rsidRPr="002A77FC" w14:paraId="69C8ADEC" w14:textId="77777777" w:rsidTr="00195BAC">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15771C42" w14:textId="77777777" w:rsidR="00195BAC" w:rsidRPr="002A77FC" w:rsidRDefault="00195BAC">
            <w:pPr>
              <w:pStyle w:val="NormalWeb"/>
              <w:spacing w:before="240" w:beforeAutospacing="0" w:after="240" w:afterAutospacing="0"/>
              <w:jc w:val="center"/>
              <w:rPr>
                <w:rFonts w:ascii="Arial" w:hAnsi="Arial" w:cs="Arial"/>
              </w:rPr>
            </w:pPr>
            <w:r w:rsidRPr="002A77FC">
              <w:rPr>
                <w:rFonts w:ascii="Arial" w:hAnsi="Arial" w:cs="Arial"/>
                <w:b/>
                <w:bCs/>
              </w:rPr>
              <w:t>Research Question</w:t>
            </w:r>
          </w:p>
        </w:tc>
        <w:tc>
          <w:tcPr>
            <w:tcW w:w="0" w:type="auto"/>
            <w:hideMark/>
          </w:tcPr>
          <w:p w14:paraId="1583C6E7"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Final Theme</w:t>
            </w:r>
          </w:p>
        </w:tc>
        <w:tc>
          <w:tcPr>
            <w:tcW w:w="0" w:type="auto"/>
            <w:hideMark/>
          </w:tcPr>
          <w:p w14:paraId="7B7244DC"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Key Finding</w:t>
            </w:r>
          </w:p>
        </w:tc>
      </w:tr>
      <w:tr w:rsidR="002A77FC" w:rsidRPr="002A77FC" w14:paraId="70CA35F4" w14:textId="77777777" w:rsidTr="00195BAC">
        <w:trPr>
          <w:cnfStyle w:val="000000100000" w:firstRow="0" w:lastRow="0" w:firstColumn="0" w:lastColumn="0" w:oddVBand="0" w:evenVBand="0" w:oddHBand="1" w:evenHBand="0" w:firstRowFirstColumn="0" w:firstRowLastColumn="0" w:lastRowFirstColumn="0" w:lastRowLastColumn="0"/>
          <w:trHeight w:val="2120"/>
        </w:trPr>
        <w:tc>
          <w:tcPr>
            <w:cnfStyle w:val="001000000000" w:firstRow="0" w:lastRow="0" w:firstColumn="1" w:lastColumn="0" w:oddVBand="0" w:evenVBand="0" w:oddHBand="0" w:evenHBand="0" w:firstRowFirstColumn="0" w:firstRowLastColumn="0" w:lastRowFirstColumn="0" w:lastRowLastColumn="0"/>
            <w:tcW w:w="0" w:type="auto"/>
            <w:hideMark/>
          </w:tcPr>
          <w:p w14:paraId="52C51644"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How do sustainability communication strategies influence consumer perception, trust, and brand reputation in Unilever within the UK context, and under what conditions are these effects strengthened or weakened?</w:t>
            </w:r>
          </w:p>
        </w:tc>
        <w:tc>
          <w:tcPr>
            <w:tcW w:w="0" w:type="auto"/>
            <w:hideMark/>
          </w:tcPr>
          <w:p w14:paraId="6DF41F3E"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 xml:space="preserve">Sustainability Communication as Strategic </w:t>
            </w:r>
            <w:proofErr w:type="spellStart"/>
            <w:r w:rsidRPr="002A77FC">
              <w:rPr>
                <w:rFonts w:ascii="Arial" w:hAnsi="Arial" w:cs="Arial"/>
              </w:rPr>
              <w:t>Signalling</w:t>
            </w:r>
            <w:proofErr w:type="spellEnd"/>
          </w:p>
        </w:tc>
        <w:tc>
          <w:tcPr>
            <w:tcW w:w="0" w:type="auto"/>
            <w:hideMark/>
          </w:tcPr>
          <w:p w14:paraId="495F86FB"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Unilever uses sustainability reports, product claims and campaigns as signals of responsibility, but effectiveness depends on clarity, evidence and relevance.</w:t>
            </w:r>
          </w:p>
        </w:tc>
      </w:tr>
      <w:tr w:rsidR="002A77FC" w:rsidRPr="002A77FC" w14:paraId="180013FE" w14:textId="77777777" w:rsidTr="00195BAC">
        <w:trPr>
          <w:trHeight w:val="1850"/>
        </w:trPr>
        <w:tc>
          <w:tcPr>
            <w:cnfStyle w:val="001000000000" w:firstRow="0" w:lastRow="0" w:firstColumn="1" w:lastColumn="0" w:oddVBand="0" w:evenVBand="0" w:oddHBand="0" w:evenHBand="0" w:firstRowFirstColumn="0" w:firstRowLastColumn="0" w:lastRowFirstColumn="0" w:lastRowLastColumn="0"/>
            <w:tcW w:w="0" w:type="auto"/>
            <w:hideMark/>
          </w:tcPr>
          <w:p w14:paraId="1884CBA0"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Same RQ</w:t>
            </w:r>
          </w:p>
        </w:tc>
        <w:tc>
          <w:tcPr>
            <w:tcW w:w="0" w:type="auto"/>
            <w:hideMark/>
          </w:tcPr>
          <w:p w14:paraId="398487E0"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 xml:space="preserve">Consumer Perception, Trust and </w:t>
            </w:r>
            <w:proofErr w:type="spellStart"/>
            <w:r w:rsidRPr="002A77FC">
              <w:rPr>
                <w:rFonts w:ascii="Arial" w:hAnsi="Arial" w:cs="Arial"/>
              </w:rPr>
              <w:t>Scepticism</w:t>
            </w:r>
            <w:proofErr w:type="spellEnd"/>
          </w:p>
        </w:tc>
        <w:tc>
          <w:tcPr>
            <w:tcW w:w="0" w:type="auto"/>
            <w:hideMark/>
          </w:tcPr>
          <w:p w14:paraId="2C5D728B"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 xml:space="preserve">Communication can improve trust, but </w:t>
            </w:r>
            <w:proofErr w:type="spellStart"/>
            <w:r w:rsidRPr="002A77FC">
              <w:rPr>
                <w:rFonts w:ascii="Arial" w:hAnsi="Arial" w:cs="Arial"/>
              </w:rPr>
              <w:t>sceptical</w:t>
            </w:r>
            <w:proofErr w:type="spellEnd"/>
            <w:r w:rsidRPr="002A77FC">
              <w:rPr>
                <w:rFonts w:ascii="Arial" w:hAnsi="Arial" w:cs="Arial"/>
              </w:rPr>
              <w:t xml:space="preserve"> UK consumers may question corporate motives if messages appear too promotional.</w:t>
            </w:r>
          </w:p>
        </w:tc>
      </w:tr>
      <w:tr w:rsidR="002A77FC" w:rsidRPr="002A77FC" w14:paraId="0781FB83" w14:textId="77777777" w:rsidTr="00195BAC">
        <w:trPr>
          <w:cnfStyle w:val="000000100000" w:firstRow="0" w:lastRow="0" w:firstColumn="0" w:lastColumn="0" w:oddVBand="0" w:evenVBand="0" w:oddHBand="1" w:evenHBand="0" w:firstRowFirstColumn="0" w:firstRowLastColumn="0" w:lastRowFirstColumn="0" w:lastRowLastColumn="0"/>
          <w:trHeight w:val="2120"/>
        </w:trPr>
        <w:tc>
          <w:tcPr>
            <w:cnfStyle w:val="001000000000" w:firstRow="0" w:lastRow="0" w:firstColumn="1" w:lastColumn="0" w:oddVBand="0" w:evenVBand="0" w:oddHBand="0" w:evenHBand="0" w:firstRowFirstColumn="0" w:firstRowLastColumn="0" w:lastRowFirstColumn="0" w:lastRowLastColumn="0"/>
            <w:tcW w:w="0" w:type="auto"/>
            <w:hideMark/>
          </w:tcPr>
          <w:p w14:paraId="560BB46A"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Same RQ</w:t>
            </w:r>
          </w:p>
        </w:tc>
        <w:tc>
          <w:tcPr>
            <w:tcW w:w="0" w:type="auto"/>
            <w:hideMark/>
          </w:tcPr>
          <w:p w14:paraId="1A1528BE"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Authenticity, Greenwashing and Reputation Risk</w:t>
            </w:r>
          </w:p>
        </w:tc>
        <w:tc>
          <w:tcPr>
            <w:tcW w:w="0" w:type="auto"/>
            <w:hideMark/>
          </w:tcPr>
          <w:p w14:paraId="38C8B985"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Sustainability communication strengthens reputation when it appears authentic, but weakens reputation when perceived as greenwashing or image management.</w:t>
            </w:r>
          </w:p>
        </w:tc>
      </w:tr>
      <w:tr w:rsidR="002A77FC" w:rsidRPr="002A77FC" w14:paraId="757C923C" w14:textId="77777777" w:rsidTr="00195BAC">
        <w:trPr>
          <w:trHeight w:val="2120"/>
        </w:trPr>
        <w:tc>
          <w:tcPr>
            <w:cnfStyle w:val="001000000000" w:firstRow="0" w:lastRow="0" w:firstColumn="1" w:lastColumn="0" w:oddVBand="0" w:evenVBand="0" w:oddHBand="0" w:evenHBand="0" w:firstRowFirstColumn="0" w:firstRowLastColumn="0" w:lastRowFirstColumn="0" w:lastRowLastColumn="0"/>
            <w:tcW w:w="0" w:type="auto"/>
            <w:hideMark/>
          </w:tcPr>
          <w:p w14:paraId="209A7C0D"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lastRenderedPageBreak/>
              <w:t>Same RQ / Cross-case</w:t>
            </w:r>
          </w:p>
        </w:tc>
        <w:tc>
          <w:tcPr>
            <w:tcW w:w="0" w:type="auto"/>
            <w:hideMark/>
          </w:tcPr>
          <w:p w14:paraId="6195BFAF"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Cross-Case Sustainability Communication Differences</w:t>
            </w:r>
          </w:p>
        </w:tc>
        <w:tc>
          <w:tcPr>
            <w:tcW w:w="0" w:type="auto"/>
            <w:hideMark/>
          </w:tcPr>
          <w:p w14:paraId="48E788EC"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Compared with P&amp;G, Nestlé, Reckitt and Henkel, Unilever has high sustainability visibility, which creates both reputational advantage and greater scrutiny.</w:t>
            </w:r>
          </w:p>
        </w:tc>
      </w:tr>
    </w:tbl>
    <w:p w14:paraId="4702F318" w14:textId="77777777" w:rsidR="00195BAC" w:rsidRPr="002A77FC" w:rsidRDefault="00195BAC" w:rsidP="00195BAC">
      <w:pPr>
        <w:rPr>
          <w:rFonts w:ascii="Arial" w:hAnsi="Arial" w:cs="Arial"/>
        </w:rPr>
      </w:pPr>
    </w:p>
    <w:p w14:paraId="5734BDC1" w14:textId="77777777" w:rsidR="00195BAC" w:rsidRPr="002A77FC" w:rsidRDefault="00195BAC" w:rsidP="00195BAC">
      <w:pPr>
        <w:pStyle w:val="Heading3"/>
        <w:rPr>
          <w:rFonts w:ascii="Arial" w:hAnsi="Arial" w:cs="Arial"/>
          <w:color w:val="auto"/>
        </w:rPr>
      </w:pPr>
      <w:bookmarkStart w:id="110" w:name="_Toc230268905"/>
      <w:r w:rsidRPr="002A77FC">
        <w:rPr>
          <w:rFonts w:ascii="Arial" w:hAnsi="Arial" w:cs="Arial"/>
          <w:color w:val="auto"/>
        </w:rPr>
        <w:t>Appendix A5: Cross-Case Summary</w:t>
      </w:r>
      <w:bookmarkEnd w:id="110"/>
    </w:p>
    <w:tbl>
      <w:tblPr>
        <w:tblStyle w:val="PlainTable5"/>
        <w:tblW w:w="0" w:type="auto"/>
        <w:tblLook w:val="04A0" w:firstRow="1" w:lastRow="0" w:firstColumn="1" w:lastColumn="0" w:noHBand="0" w:noVBand="1"/>
      </w:tblPr>
      <w:tblGrid>
        <w:gridCol w:w="1250"/>
        <w:gridCol w:w="3792"/>
        <w:gridCol w:w="3984"/>
      </w:tblGrid>
      <w:tr w:rsidR="002A77FC" w:rsidRPr="002A77FC" w14:paraId="5D97721B" w14:textId="77777777" w:rsidTr="00195BAC">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1D606D62" w14:textId="77777777" w:rsidR="00195BAC" w:rsidRPr="002A77FC" w:rsidRDefault="00195BAC">
            <w:pPr>
              <w:pStyle w:val="NormalWeb"/>
              <w:spacing w:before="240" w:beforeAutospacing="0" w:after="240" w:afterAutospacing="0"/>
              <w:jc w:val="center"/>
              <w:rPr>
                <w:rFonts w:ascii="Arial" w:hAnsi="Arial" w:cs="Arial"/>
              </w:rPr>
            </w:pPr>
            <w:r w:rsidRPr="002A77FC">
              <w:rPr>
                <w:rFonts w:ascii="Arial" w:hAnsi="Arial" w:cs="Arial"/>
                <w:b/>
                <w:bCs/>
              </w:rPr>
              <w:t>Case</w:t>
            </w:r>
          </w:p>
        </w:tc>
        <w:tc>
          <w:tcPr>
            <w:tcW w:w="0" w:type="auto"/>
            <w:hideMark/>
          </w:tcPr>
          <w:p w14:paraId="1750FB08"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Main Communication Route</w:t>
            </w:r>
          </w:p>
        </w:tc>
        <w:tc>
          <w:tcPr>
            <w:tcW w:w="0" w:type="auto"/>
            <w:hideMark/>
          </w:tcPr>
          <w:p w14:paraId="18BB1EC0" w14:textId="77777777" w:rsidR="00195BAC" w:rsidRPr="002A77FC" w:rsidRDefault="00195BAC">
            <w:pPr>
              <w:pStyle w:val="NormalWeb"/>
              <w:spacing w:before="240" w:beforeAutospacing="0" w:after="24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b/>
                <w:bCs/>
              </w:rPr>
              <w:t>Key Tension</w:t>
            </w:r>
          </w:p>
        </w:tc>
      </w:tr>
      <w:tr w:rsidR="002A77FC" w:rsidRPr="002A77FC" w14:paraId="6ACD6409"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6016528"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Unilever UK</w:t>
            </w:r>
          </w:p>
        </w:tc>
        <w:tc>
          <w:tcPr>
            <w:tcW w:w="0" w:type="auto"/>
            <w:hideMark/>
          </w:tcPr>
          <w:p w14:paraId="4E925FDC"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Strong sustainability branding and ESG communication</w:t>
            </w:r>
          </w:p>
        </w:tc>
        <w:tc>
          <w:tcPr>
            <w:tcW w:w="0" w:type="auto"/>
            <w:hideMark/>
          </w:tcPr>
          <w:p w14:paraId="60745AD4"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High visibility increases trust potential but also greenwashing scrutiny.</w:t>
            </w:r>
          </w:p>
        </w:tc>
      </w:tr>
      <w:tr w:rsidR="002A77FC" w:rsidRPr="002A77FC" w14:paraId="1F32CCF5" w14:textId="77777777" w:rsidTr="00195BAC">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483921F"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P&amp;G UK</w:t>
            </w:r>
          </w:p>
        </w:tc>
        <w:tc>
          <w:tcPr>
            <w:tcW w:w="0" w:type="auto"/>
            <w:hideMark/>
          </w:tcPr>
          <w:p w14:paraId="26899BD6"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Product-level responsibility and household brand messaging</w:t>
            </w:r>
          </w:p>
        </w:tc>
        <w:tc>
          <w:tcPr>
            <w:tcW w:w="0" w:type="auto"/>
            <w:hideMark/>
          </w:tcPr>
          <w:p w14:paraId="082C1BCA"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Sustainability must feel relevant to everyday consumer products.</w:t>
            </w:r>
          </w:p>
        </w:tc>
      </w:tr>
      <w:tr w:rsidR="002A77FC" w:rsidRPr="002A77FC" w14:paraId="536F1245"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AED8BCC"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Nestlé UK</w:t>
            </w:r>
          </w:p>
        </w:tc>
        <w:tc>
          <w:tcPr>
            <w:tcW w:w="0" w:type="auto"/>
            <w:hideMark/>
          </w:tcPr>
          <w:p w14:paraId="0619052D"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Nutrition, packaging and environmental responsibility</w:t>
            </w:r>
          </w:p>
        </w:tc>
        <w:tc>
          <w:tcPr>
            <w:tcW w:w="0" w:type="auto"/>
            <w:hideMark/>
          </w:tcPr>
          <w:p w14:paraId="08E850C4"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Historical reputation issues may affect trust.</w:t>
            </w:r>
          </w:p>
        </w:tc>
      </w:tr>
      <w:tr w:rsidR="002A77FC" w:rsidRPr="002A77FC" w14:paraId="462B62F1" w14:textId="77777777" w:rsidTr="00195BAC">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71CBB34"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Reckitt UK</w:t>
            </w:r>
          </w:p>
        </w:tc>
        <w:tc>
          <w:tcPr>
            <w:tcW w:w="0" w:type="auto"/>
            <w:hideMark/>
          </w:tcPr>
          <w:p w14:paraId="5446A76F"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Health, hygiene and social impact communication</w:t>
            </w:r>
          </w:p>
        </w:tc>
        <w:tc>
          <w:tcPr>
            <w:tcW w:w="0" w:type="auto"/>
            <w:hideMark/>
          </w:tcPr>
          <w:p w14:paraId="35923C98" w14:textId="77777777" w:rsidR="00195BAC" w:rsidRPr="002A77FC" w:rsidRDefault="00195BAC">
            <w:pPr>
              <w:pStyle w:val="NormalWeb"/>
              <w:spacing w:before="240" w:beforeAutospacing="0" w:after="24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A77FC">
              <w:rPr>
                <w:rFonts w:ascii="Arial" w:hAnsi="Arial" w:cs="Arial"/>
              </w:rPr>
              <w:t>Trust depends on evidence and product relevance.</w:t>
            </w:r>
          </w:p>
        </w:tc>
      </w:tr>
      <w:tr w:rsidR="002A77FC" w:rsidRPr="002A77FC" w14:paraId="7537CE34" w14:textId="77777777" w:rsidTr="00195BAC">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97F9B95" w14:textId="77777777" w:rsidR="00195BAC" w:rsidRPr="002A77FC" w:rsidRDefault="00195BAC">
            <w:pPr>
              <w:pStyle w:val="NormalWeb"/>
              <w:spacing w:before="240" w:beforeAutospacing="0" w:after="240" w:afterAutospacing="0"/>
              <w:jc w:val="both"/>
              <w:rPr>
                <w:rFonts w:ascii="Arial" w:hAnsi="Arial" w:cs="Arial"/>
              </w:rPr>
            </w:pPr>
            <w:r w:rsidRPr="002A77FC">
              <w:rPr>
                <w:rFonts w:ascii="Arial" w:hAnsi="Arial" w:cs="Arial"/>
              </w:rPr>
              <w:t>Henkel</w:t>
            </w:r>
          </w:p>
        </w:tc>
        <w:tc>
          <w:tcPr>
            <w:tcW w:w="0" w:type="auto"/>
            <w:hideMark/>
          </w:tcPr>
          <w:p w14:paraId="7F806968"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Sustainability, innovation and responsible production</w:t>
            </w:r>
          </w:p>
        </w:tc>
        <w:tc>
          <w:tcPr>
            <w:tcW w:w="0" w:type="auto"/>
            <w:hideMark/>
          </w:tcPr>
          <w:p w14:paraId="7C58C984" w14:textId="77777777" w:rsidR="00195BAC" w:rsidRPr="002A77FC" w:rsidRDefault="00195BAC">
            <w:pPr>
              <w:pStyle w:val="NormalWeb"/>
              <w:spacing w:before="240" w:beforeAutospacing="0" w:after="24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A77FC">
              <w:rPr>
                <w:rFonts w:ascii="Arial" w:hAnsi="Arial" w:cs="Arial"/>
              </w:rPr>
              <w:t>Corporate sustainability claims need clear consumer-facing meaning.</w:t>
            </w:r>
          </w:p>
        </w:tc>
      </w:tr>
    </w:tbl>
    <w:p w14:paraId="78EE8777" w14:textId="77777777" w:rsidR="00195BAC" w:rsidRPr="002A77FC" w:rsidRDefault="00195BAC" w:rsidP="00195BAC">
      <w:pPr>
        <w:rPr>
          <w:rFonts w:ascii="Arial" w:hAnsi="Arial" w:cs="Arial"/>
        </w:rPr>
      </w:pPr>
    </w:p>
    <w:p w14:paraId="2FE9D948" w14:textId="77777777" w:rsidR="00195BAC" w:rsidRPr="002A77FC" w:rsidRDefault="00195BAC" w:rsidP="00012868">
      <w:pPr>
        <w:spacing w:line="360" w:lineRule="auto"/>
        <w:jc w:val="both"/>
        <w:rPr>
          <w:rFonts w:ascii="Arial" w:hAnsi="Arial" w:cs="Arial"/>
          <w:lang w:val="en-US"/>
        </w:rPr>
      </w:pPr>
    </w:p>
    <w:sectPr w:rsidR="00195BAC" w:rsidRPr="002A77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C1D8B" w14:textId="77777777" w:rsidR="00B02D33" w:rsidRDefault="00B02D33" w:rsidP="00DB6DC3">
      <w:r>
        <w:separator/>
      </w:r>
    </w:p>
  </w:endnote>
  <w:endnote w:type="continuationSeparator" w:id="0">
    <w:p w14:paraId="59CF22EC" w14:textId="77777777" w:rsidR="00B02D33" w:rsidRDefault="00B02D33" w:rsidP="00DB6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C2E5E" w14:textId="77777777" w:rsidR="00B02D33" w:rsidRDefault="00B02D33" w:rsidP="00DB6DC3">
      <w:r>
        <w:separator/>
      </w:r>
    </w:p>
  </w:footnote>
  <w:footnote w:type="continuationSeparator" w:id="0">
    <w:p w14:paraId="187B7085" w14:textId="77777777" w:rsidR="00B02D33" w:rsidRDefault="00B02D33" w:rsidP="00DB6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3A7"/>
    <w:multiLevelType w:val="multilevel"/>
    <w:tmpl w:val="9D3EF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70E6B"/>
    <w:multiLevelType w:val="multilevel"/>
    <w:tmpl w:val="AC88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04DCF"/>
    <w:multiLevelType w:val="multilevel"/>
    <w:tmpl w:val="8282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363C3"/>
    <w:multiLevelType w:val="hybridMultilevel"/>
    <w:tmpl w:val="60B0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F426E"/>
    <w:multiLevelType w:val="multilevel"/>
    <w:tmpl w:val="8B54A73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C5D11"/>
    <w:multiLevelType w:val="hybridMultilevel"/>
    <w:tmpl w:val="4CE09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DE1FCF"/>
    <w:multiLevelType w:val="multilevel"/>
    <w:tmpl w:val="DB0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124094"/>
    <w:multiLevelType w:val="hybridMultilevel"/>
    <w:tmpl w:val="806AF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80404A"/>
    <w:multiLevelType w:val="hybridMultilevel"/>
    <w:tmpl w:val="72FE0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BC0515"/>
    <w:multiLevelType w:val="hybridMultilevel"/>
    <w:tmpl w:val="5E80B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9D3405"/>
    <w:multiLevelType w:val="multilevel"/>
    <w:tmpl w:val="C79C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D62880"/>
    <w:multiLevelType w:val="hybridMultilevel"/>
    <w:tmpl w:val="F644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F64312"/>
    <w:multiLevelType w:val="hybridMultilevel"/>
    <w:tmpl w:val="AC30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AC741C"/>
    <w:multiLevelType w:val="hybridMultilevel"/>
    <w:tmpl w:val="72FE0E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971757">
    <w:abstractNumId w:val="11"/>
  </w:num>
  <w:num w:numId="2" w16cid:durableId="251935768">
    <w:abstractNumId w:val="54"/>
  </w:num>
  <w:num w:numId="3" w16cid:durableId="1786729392">
    <w:abstractNumId w:val="15"/>
  </w:num>
  <w:num w:numId="4" w16cid:durableId="1724671809">
    <w:abstractNumId w:val="5"/>
  </w:num>
  <w:num w:numId="5" w16cid:durableId="1971012279">
    <w:abstractNumId w:val="40"/>
  </w:num>
  <w:num w:numId="6" w16cid:durableId="779033317">
    <w:abstractNumId w:val="25"/>
  </w:num>
  <w:num w:numId="7" w16cid:durableId="761032739">
    <w:abstractNumId w:val="30"/>
  </w:num>
  <w:num w:numId="8" w16cid:durableId="1768842589">
    <w:abstractNumId w:val="17"/>
  </w:num>
  <w:num w:numId="9" w16cid:durableId="277492809">
    <w:abstractNumId w:val="52"/>
  </w:num>
  <w:num w:numId="10" w16cid:durableId="750812070">
    <w:abstractNumId w:val="49"/>
  </w:num>
  <w:num w:numId="11" w16cid:durableId="132062393">
    <w:abstractNumId w:val="47"/>
  </w:num>
  <w:num w:numId="12" w16cid:durableId="777413557">
    <w:abstractNumId w:val="37"/>
  </w:num>
  <w:num w:numId="13" w16cid:durableId="380134164">
    <w:abstractNumId w:val="23"/>
  </w:num>
  <w:num w:numId="14" w16cid:durableId="2146391312">
    <w:abstractNumId w:val="44"/>
  </w:num>
  <w:num w:numId="15" w16cid:durableId="1189219569">
    <w:abstractNumId w:val="45"/>
  </w:num>
  <w:num w:numId="16" w16cid:durableId="900407755">
    <w:abstractNumId w:val="24"/>
  </w:num>
  <w:num w:numId="17" w16cid:durableId="825973534">
    <w:abstractNumId w:val="16"/>
  </w:num>
  <w:num w:numId="18" w16cid:durableId="856651958">
    <w:abstractNumId w:val="22"/>
  </w:num>
  <w:num w:numId="19" w16cid:durableId="917518318">
    <w:abstractNumId w:val="48"/>
  </w:num>
  <w:num w:numId="20" w16cid:durableId="401759150">
    <w:abstractNumId w:val="34"/>
  </w:num>
  <w:num w:numId="21" w16cid:durableId="1239553184">
    <w:abstractNumId w:val="18"/>
  </w:num>
  <w:num w:numId="22" w16cid:durableId="1037314438">
    <w:abstractNumId w:val="38"/>
  </w:num>
  <w:num w:numId="23" w16cid:durableId="1352146470">
    <w:abstractNumId w:val="36"/>
  </w:num>
  <w:num w:numId="24" w16cid:durableId="1346831673">
    <w:abstractNumId w:val="10"/>
  </w:num>
  <w:num w:numId="25" w16cid:durableId="1671324507">
    <w:abstractNumId w:val="50"/>
  </w:num>
  <w:num w:numId="26" w16cid:durableId="1569345075">
    <w:abstractNumId w:val="6"/>
  </w:num>
  <w:num w:numId="27" w16cid:durableId="704907320">
    <w:abstractNumId w:val="21"/>
  </w:num>
  <w:num w:numId="28" w16cid:durableId="573786628">
    <w:abstractNumId w:val="32"/>
  </w:num>
  <w:num w:numId="29" w16cid:durableId="1998918455">
    <w:abstractNumId w:val="35"/>
  </w:num>
  <w:num w:numId="30" w16cid:durableId="30882603">
    <w:abstractNumId w:val="12"/>
  </w:num>
  <w:num w:numId="31" w16cid:durableId="1616252269">
    <w:abstractNumId w:val="33"/>
  </w:num>
  <w:num w:numId="32" w16cid:durableId="245698261">
    <w:abstractNumId w:val="42"/>
  </w:num>
  <w:num w:numId="33" w16cid:durableId="882205671">
    <w:abstractNumId w:val="31"/>
  </w:num>
  <w:num w:numId="34" w16cid:durableId="692804718">
    <w:abstractNumId w:val="29"/>
  </w:num>
  <w:num w:numId="35" w16cid:durableId="203759052">
    <w:abstractNumId w:val="26"/>
  </w:num>
  <w:num w:numId="36" w16cid:durableId="168494166">
    <w:abstractNumId w:val="20"/>
  </w:num>
  <w:num w:numId="37" w16cid:durableId="529496821">
    <w:abstractNumId w:val="27"/>
  </w:num>
  <w:num w:numId="38" w16cid:durableId="191499688">
    <w:abstractNumId w:val="39"/>
  </w:num>
  <w:num w:numId="39" w16cid:durableId="1512643405">
    <w:abstractNumId w:val="9"/>
  </w:num>
  <w:num w:numId="40" w16cid:durableId="52510000">
    <w:abstractNumId w:val="28"/>
  </w:num>
  <w:num w:numId="41" w16cid:durableId="323120582">
    <w:abstractNumId w:val="13"/>
  </w:num>
  <w:num w:numId="42" w16cid:durableId="592124745">
    <w:abstractNumId w:val="46"/>
  </w:num>
  <w:num w:numId="43" w16cid:durableId="1778796572">
    <w:abstractNumId w:val="4"/>
  </w:num>
  <w:num w:numId="44" w16cid:durableId="163592941">
    <w:abstractNumId w:val="0"/>
  </w:num>
  <w:num w:numId="45" w16cid:durableId="883056723">
    <w:abstractNumId w:val="43"/>
  </w:num>
  <w:num w:numId="46" w16cid:durableId="1516574546">
    <w:abstractNumId w:val="8"/>
  </w:num>
  <w:num w:numId="47" w16cid:durableId="2042582118">
    <w:abstractNumId w:val="7"/>
  </w:num>
  <w:num w:numId="48" w16cid:durableId="1380592746">
    <w:abstractNumId w:val="1"/>
  </w:num>
  <w:num w:numId="49" w16cid:durableId="1929579356">
    <w:abstractNumId w:val="2"/>
  </w:num>
  <w:num w:numId="50" w16cid:durableId="1424566971">
    <w:abstractNumId w:val="3"/>
  </w:num>
  <w:num w:numId="51" w16cid:durableId="2075740744">
    <w:abstractNumId w:val="51"/>
  </w:num>
  <w:num w:numId="52" w16cid:durableId="1200506621">
    <w:abstractNumId w:val="14"/>
  </w:num>
  <w:num w:numId="53" w16cid:durableId="708339260">
    <w:abstractNumId w:val="41"/>
  </w:num>
  <w:num w:numId="54" w16cid:durableId="1445883955">
    <w:abstractNumId w:val="19"/>
  </w:num>
  <w:num w:numId="55" w16cid:durableId="531113727">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0M7EwNDEyMDAxNzdT0lEKTi0uzszPAykwrgUA9TbBWSwAAAA="/>
  </w:docVars>
  <w:rsids>
    <w:rsidRoot w:val="00932CCF"/>
    <w:rsid w:val="0000324B"/>
    <w:rsid w:val="00012868"/>
    <w:rsid w:val="00024653"/>
    <w:rsid w:val="000268A0"/>
    <w:rsid w:val="00032C37"/>
    <w:rsid w:val="00033241"/>
    <w:rsid w:val="00050FE9"/>
    <w:rsid w:val="00057CF8"/>
    <w:rsid w:val="0006303A"/>
    <w:rsid w:val="00074387"/>
    <w:rsid w:val="00081ECF"/>
    <w:rsid w:val="0008627C"/>
    <w:rsid w:val="00094CC3"/>
    <w:rsid w:val="00095F94"/>
    <w:rsid w:val="000A3991"/>
    <w:rsid w:val="000A719F"/>
    <w:rsid w:val="000A7DEF"/>
    <w:rsid w:val="000C13ED"/>
    <w:rsid w:val="000C49EB"/>
    <w:rsid w:val="000C4B1A"/>
    <w:rsid w:val="000C66E3"/>
    <w:rsid w:val="000D61C8"/>
    <w:rsid w:val="000E4AD0"/>
    <w:rsid w:val="000E6E74"/>
    <w:rsid w:val="00101155"/>
    <w:rsid w:val="001011C0"/>
    <w:rsid w:val="001012F9"/>
    <w:rsid w:val="00101928"/>
    <w:rsid w:val="0013418C"/>
    <w:rsid w:val="00143136"/>
    <w:rsid w:val="0014313A"/>
    <w:rsid w:val="0014653B"/>
    <w:rsid w:val="00147121"/>
    <w:rsid w:val="00151F84"/>
    <w:rsid w:val="00153167"/>
    <w:rsid w:val="001563B0"/>
    <w:rsid w:val="00182DBB"/>
    <w:rsid w:val="00185909"/>
    <w:rsid w:val="001864C6"/>
    <w:rsid w:val="00191A66"/>
    <w:rsid w:val="00195BAC"/>
    <w:rsid w:val="001A5164"/>
    <w:rsid w:val="001B56E1"/>
    <w:rsid w:val="001C0ABB"/>
    <w:rsid w:val="001E0C4E"/>
    <w:rsid w:val="001F074F"/>
    <w:rsid w:val="001F1D4A"/>
    <w:rsid w:val="00210644"/>
    <w:rsid w:val="00210B8A"/>
    <w:rsid w:val="002217F3"/>
    <w:rsid w:val="00227EC4"/>
    <w:rsid w:val="00232D68"/>
    <w:rsid w:val="00246038"/>
    <w:rsid w:val="00287120"/>
    <w:rsid w:val="00295BC7"/>
    <w:rsid w:val="002A418F"/>
    <w:rsid w:val="002A77FC"/>
    <w:rsid w:val="002D6D59"/>
    <w:rsid w:val="002E0AFA"/>
    <w:rsid w:val="002E4C8B"/>
    <w:rsid w:val="00300303"/>
    <w:rsid w:val="00301450"/>
    <w:rsid w:val="00331863"/>
    <w:rsid w:val="00337041"/>
    <w:rsid w:val="0035346A"/>
    <w:rsid w:val="00361B9E"/>
    <w:rsid w:val="00367DC0"/>
    <w:rsid w:val="00383D3A"/>
    <w:rsid w:val="003942EE"/>
    <w:rsid w:val="003A2310"/>
    <w:rsid w:val="003A2C61"/>
    <w:rsid w:val="003D4D91"/>
    <w:rsid w:val="003E1883"/>
    <w:rsid w:val="003E374C"/>
    <w:rsid w:val="00403C2E"/>
    <w:rsid w:val="00410D84"/>
    <w:rsid w:val="00413BA4"/>
    <w:rsid w:val="00423E59"/>
    <w:rsid w:val="00424089"/>
    <w:rsid w:val="004411C0"/>
    <w:rsid w:val="004536F5"/>
    <w:rsid w:val="004577EE"/>
    <w:rsid w:val="00461943"/>
    <w:rsid w:val="0047645A"/>
    <w:rsid w:val="00476B96"/>
    <w:rsid w:val="004805DD"/>
    <w:rsid w:val="0048698A"/>
    <w:rsid w:val="004978CA"/>
    <w:rsid w:val="004C3ADE"/>
    <w:rsid w:val="004D45A7"/>
    <w:rsid w:val="004E1328"/>
    <w:rsid w:val="004F410E"/>
    <w:rsid w:val="004F4D92"/>
    <w:rsid w:val="00503A72"/>
    <w:rsid w:val="0051222A"/>
    <w:rsid w:val="00517E5A"/>
    <w:rsid w:val="005201EC"/>
    <w:rsid w:val="00527880"/>
    <w:rsid w:val="00542331"/>
    <w:rsid w:val="005472D8"/>
    <w:rsid w:val="00570D2B"/>
    <w:rsid w:val="00593501"/>
    <w:rsid w:val="005A20C6"/>
    <w:rsid w:val="005B3228"/>
    <w:rsid w:val="006014F0"/>
    <w:rsid w:val="00602AC3"/>
    <w:rsid w:val="006061A3"/>
    <w:rsid w:val="006155FA"/>
    <w:rsid w:val="00621AFD"/>
    <w:rsid w:val="006260C1"/>
    <w:rsid w:val="0063535F"/>
    <w:rsid w:val="00637F29"/>
    <w:rsid w:val="00640A6D"/>
    <w:rsid w:val="00656DFA"/>
    <w:rsid w:val="006720ED"/>
    <w:rsid w:val="006820AD"/>
    <w:rsid w:val="00696768"/>
    <w:rsid w:val="006B1061"/>
    <w:rsid w:val="006B2605"/>
    <w:rsid w:val="006B3470"/>
    <w:rsid w:val="006C387D"/>
    <w:rsid w:val="006C421E"/>
    <w:rsid w:val="006C576B"/>
    <w:rsid w:val="006D0CE7"/>
    <w:rsid w:val="006D30FC"/>
    <w:rsid w:val="006D3EA6"/>
    <w:rsid w:val="006E0F44"/>
    <w:rsid w:val="006E3A90"/>
    <w:rsid w:val="006E3C32"/>
    <w:rsid w:val="006F14E0"/>
    <w:rsid w:val="006F6112"/>
    <w:rsid w:val="007001E3"/>
    <w:rsid w:val="00704FBA"/>
    <w:rsid w:val="00743271"/>
    <w:rsid w:val="0074715B"/>
    <w:rsid w:val="00753FC8"/>
    <w:rsid w:val="0076038A"/>
    <w:rsid w:val="00763457"/>
    <w:rsid w:val="00765272"/>
    <w:rsid w:val="00765630"/>
    <w:rsid w:val="007923F5"/>
    <w:rsid w:val="0079688E"/>
    <w:rsid w:val="007B2DE8"/>
    <w:rsid w:val="007B536E"/>
    <w:rsid w:val="007B595B"/>
    <w:rsid w:val="007C0D51"/>
    <w:rsid w:val="007D01F9"/>
    <w:rsid w:val="007D2561"/>
    <w:rsid w:val="007D654A"/>
    <w:rsid w:val="007D6B3E"/>
    <w:rsid w:val="007E25D0"/>
    <w:rsid w:val="007E5B2D"/>
    <w:rsid w:val="007E6CA7"/>
    <w:rsid w:val="007F6AB0"/>
    <w:rsid w:val="008050E3"/>
    <w:rsid w:val="00813945"/>
    <w:rsid w:val="00814D0C"/>
    <w:rsid w:val="00822C19"/>
    <w:rsid w:val="008476FB"/>
    <w:rsid w:val="00847925"/>
    <w:rsid w:val="0085079F"/>
    <w:rsid w:val="00871B5E"/>
    <w:rsid w:val="00876D5D"/>
    <w:rsid w:val="008937EF"/>
    <w:rsid w:val="008B26F2"/>
    <w:rsid w:val="008D6EF4"/>
    <w:rsid w:val="008E0CB4"/>
    <w:rsid w:val="008E36B5"/>
    <w:rsid w:val="00911C91"/>
    <w:rsid w:val="00912984"/>
    <w:rsid w:val="00913DAE"/>
    <w:rsid w:val="0091712B"/>
    <w:rsid w:val="009244C2"/>
    <w:rsid w:val="00926E9A"/>
    <w:rsid w:val="00930EB2"/>
    <w:rsid w:val="00932CCF"/>
    <w:rsid w:val="009522AB"/>
    <w:rsid w:val="00975DCB"/>
    <w:rsid w:val="00981F07"/>
    <w:rsid w:val="009A0B93"/>
    <w:rsid w:val="009F6539"/>
    <w:rsid w:val="00A02776"/>
    <w:rsid w:val="00A04858"/>
    <w:rsid w:val="00A21CE8"/>
    <w:rsid w:val="00A656C4"/>
    <w:rsid w:val="00A72CC9"/>
    <w:rsid w:val="00A77F62"/>
    <w:rsid w:val="00A808C0"/>
    <w:rsid w:val="00A913DF"/>
    <w:rsid w:val="00A92B2D"/>
    <w:rsid w:val="00AA01AD"/>
    <w:rsid w:val="00AA66F8"/>
    <w:rsid w:val="00AB253B"/>
    <w:rsid w:val="00AB3BB3"/>
    <w:rsid w:val="00AD623E"/>
    <w:rsid w:val="00AD7041"/>
    <w:rsid w:val="00AE0992"/>
    <w:rsid w:val="00AE3B5C"/>
    <w:rsid w:val="00AE7D6D"/>
    <w:rsid w:val="00AF5FFB"/>
    <w:rsid w:val="00B02D33"/>
    <w:rsid w:val="00B10640"/>
    <w:rsid w:val="00B11CA3"/>
    <w:rsid w:val="00B21591"/>
    <w:rsid w:val="00B31E2A"/>
    <w:rsid w:val="00B3380F"/>
    <w:rsid w:val="00B52205"/>
    <w:rsid w:val="00B52450"/>
    <w:rsid w:val="00B61352"/>
    <w:rsid w:val="00B6732B"/>
    <w:rsid w:val="00B73052"/>
    <w:rsid w:val="00B82B9C"/>
    <w:rsid w:val="00B95696"/>
    <w:rsid w:val="00BA30E2"/>
    <w:rsid w:val="00BC0FCA"/>
    <w:rsid w:val="00BD6CD9"/>
    <w:rsid w:val="00BD6DB2"/>
    <w:rsid w:val="00C05F6D"/>
    <w:rsid w:val="00C13D95"/>
    <w:rsid w:val="00C23FC8"/>
    <w:rsid w:val="00C2755F"/>
    <w:rsid w:val="00C45E24"/>
    <w:rsid w:val="00C57DE1"/>
    <w:rsid w:val="00C73B9F"/>
    <w:rsid w:val="00C8002A"/>
    <w:rsid w:val="00C95160"/>
    <w:rsid w:val="00CB731B"/>
    <w:rsid w:val="00CD1CE0"/>
    <w:rsid w:val="00CD6658"/>
    <w:rsid w:val="00CD7A45"/>
    <w:rsid w:val="00CE1AEB"/>
    <w:rsid w:val="00CF0BFE"/>
    <w:rsid w:val="00CF3589"/>
    <w:rsid w:val="00CF7852"/>
    <w:rsid w:val="00D04293"/>
    <w:rsid w:val="00D0691A"/>
    <w:rsid w:val="00D11B7B"/>
    <w:rsid w:val="00D11F1A"/>
    <w:rsid w:val="00D20612"/>
    <w:rsid w:val="00D41D1E"/>
    <w:rsid w:val="00D42581"/>
    <w:rsid w:val="00D44A22"/>
    <w:rsid w:val="00D45DE5"/>
    <w:rsid w:val="00D54268"/>
    <w:rsid w:val="00D67503"/>
    <w:rsid w:val="00D70630"/>
    <w:rsid w:val="00D7643B"/>
    <w:rsid w:val="00D765B4"/>
    <w:rsid w:val="00D87FFD"/>
    <w:rsid w:val="00D93090"/>
    <w:rsid w:val="00D979E4"/>
    <w:rsid w:val="00DB3465"/>
    <w:rsid w:val="00DB450C"/>
    <w:rsid w:val="00DB60D5"/>
    <w:rsid w:val="00DB6CE8"/>
    <w:rsid w:val="00DB6DC3"/>
    <w:rsid w:val="00DC2201"/>
    <w:rsid w:val="00DD2740"/>
    <w:rsid w:val="00DD2F3A"/>
    <w:rsid w:val="00DE4831"/>
    <w:rsid w:val="00DE6DAF"/>
    <w:rsid w:val="00DF33BB"/>
    <w:rsid w:val="00E07449"/>
    <w:rsid w:val="00E1773B"/>
    <w:rsid w:val="00E2378B"/>
    <w:rsid w:val="00E27A7F"/>
    <w:rsid w:val="00E32C7F"/>
    <w:rsid w:val="00E35704"/>
    <w:rsid w:val="00E54D2C"/>
    <w:rsid w:val="00E55BAA"/>
    <w:rsid w:val="00E6773A"/>
    <w:rsid w:val="00E7043F"/>
    <w:rsid w:val="00E7204C"/>
    <w:rsid w:val="00E86851"/>
    <w:rsid w:val="00E93792"/>
    <w:rsid w:val="00E93B81"/>
    <w:rsid w:val="00EB36BA"/>
    <w:rsid w:val="00EB39F9"/>
    <w:rsid w:val="00EC417E"/>
    <w:rsid w:val="00EC7E5D"/>
    <w:rsid w:val="00ED5B06"/>
    <w:rsid w:val="00EE3432"/>
    <w:rsid w:val="00EE77CC"/>
    <w:rsid w:val="00F01841"/>
    <w:rsid w:val="00F020BC"/>
    <w:rsid w:val="00F1009C"/>
    <w:rsid w:val="00F160DD"/>
    <w:rsid w:val="00F20938"/>
    <w:rsid w:val="00F21079"/>
    <w:rsid w:val="00F27EC0"/>
    <w:rsid w:val="00F32011"/>
    <w:rsid w:val="00F42396"/>
    <w:rsid w:val="00F450C6"/>
    <w:rsid w:val="00F470CF"/>
    <w:rsid w:val="00F507BB"/>
    <w:rsid w:val="00F801B9"/>
    <w:rsid w:val="00F934B4"/>
    <w:rsid w:val="00FA0DCD"/>
    <w:rsid w:val="00FA2515"/>
    <w:rsid w:val="00FA7F17"/>
    <w:rsid w:val="00FC6BAE"/>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D3A"/>
    <w:pPr>
      <w:spacing w:after="0" w:line="240" w:lineRule="auto"/>
    </w:pPr>
    <w:rPr>
      <w:rFonts w:ascii="Times New Roman" w:hAnsi="Times New Roman" w:cs="Times New Roman"/>
      <w:kern w:val="0"/>
      <w:sz w:val="24"/>
      <w:szCs w:val="24"/>
      <w:lang w:val="en-BD" w:eastAsia="en-GB" w:bidi="bn-IN"/>
      <w14:ligatures w14:val="none"/>
    </w:rPr>
  </w:style>
  <w:style w:type="paragraph" w:styleId="Heading1">
    <w:name w:val="heading 1"/>
    <w:basedOn w:val="Normal"/>
    <w:next w:val="Normal"/>
    <w:link w:val="Heading1Char"/>
    <w:autoRedefine/>
    <w:uiPriority w:val="9"/>
    <w:qFormat/>
    <w:rsid w:val="00A808C0"/>
    <w:pPr>
      <w:keepNext/>
      <w:keepLines/>
      <w:shd w:val="clear" w:color="auto" w:fill="BDD6EE" w:themeFill="accent5" w:themeFillTint="66"/>
      <w:spacing w:after="200" w:line="360" w:lineRule="auto"/>
      <w:jc w:val="both"/>
      <w:outlineLvl w:val="0"/>
    </w:pPr>
    <w:rPr>
      <w:rFonts w:eastAsiaTheme="majorEastAsia" w:cstheme="majorBidi"/>
      <w:b/>
      <w:color w:val="002060"/>
      <w:kern w:val="2"/>
      <w:sz w:val="32"/>
      <w:szCs w:val="32"/>
      <w:lang w:val="en-GB" w:bidi="ar-SA"/>
      <w14:ligatures w14:val="standardContextual"/>
    </w:rPr>
  </w:style>
  <w:style w:type="paragraph" w:styleId="Heading2">
    <w:name w:val="heading 2"/>
    <w:basedOn w:val="Normal"/>
    <w:next w:val="Normal"/>
    <w:link w:val="Heading2Char"/>
    <w:autoRedefine/>
    <w:uiPriority w:val="9"/>
    <w:unhideWhenUsed/>
    <w:qFormat/>
    <w:rsid w:val="000C49EB"/>
    <w:pPr>
      <w:keepNext/>
      <w:keepLines/>
      <w:pBdr>
        <w:bottom w:val="single" w:sz="6" w:space="1" w:color="auto"/>
      </w:pBdr>
      <w:spacing w:before="160" w:after="200" w:line="360" w:lineRule="auto"/>
      <w:jc w:val="both"/>
      <w:outlineLvl w:val="1"/>
    </w:pPr>
    <w:rPr>
      <w:rFonts w:eastAsiaTheme="majorEastAsia" w:cstheme="majorBidi"/>
      <w:b/>
      <w:color w:val="0070C0"/>
      <w:kern w:val="2"/>
      <w:sz w:val="28"/>
      <w:szCs w:val="26"/>
      <w:lang w:val="en-US" w:bidi="ar-SA"/>
      <w14:ligatures w14:val="standardContextual"/>
    </w:rPr>
  </w:style>
  <w:style w:type="paragraph" w:styleId="Heading3">
    <w:name w:val="heading 3"/>
    <w:basedOn w:val="Normal"/>
    <w:next w:val="Normal"/>
    <w:link w:val="Heading3Char"/>
    <w:autoRedefine/>
    <w:uiPriority w:val="9"/>
    <w:unhideWhenUsed/>
    <w:qFormat/>
    <w:rsid w:val="006E0F44"/>
    <w:pPr>
      <w:keepNext/>
      <w:keepLines/>
      <w:spacing w:before="160" w:after="200" w:line="360" w:lineRule="auto"/>
      <w:jc w:val="both"/>
      <w:outlineLvl w:val="2"/>
    </w:pPr>
    <w:rPr>
      <w:rFonts w:eastAsiaTheme="majorEastAsia" w:cstheme="majorBidi"/>
      <w:b/>
      <w:color w:val="7030A0"/>
      <w:kern w:val="2"/>
      <w:sz w:val="25"/>
      <w:lang w:val="en-US" w:bidi="ar-SA"/>
      <w14:ligatures w14:val="standardContextual"/>
    </w:rPr>
  </w:style>
  <w:style w:type="paragraph" w:styleId="Heading4">
    <w:name w:val="heading 4"/>
    <w:basedOn w:val="Normal"/>
    <w:next w:val="Normal"/>
    <w:link w:val="Heading4Char"/>
    <w:uiPriority w:val="9"/>
    <w:semiHidden/>
    <w:unhideWhenUsed/>
    <w:qFormat/>
    <w:rsid w:val="00932CCF"/>
    <w:pPr>
      <w:keepNext/>
      <w:keepLines/>
      <w:spacing w:before="80" w:after="40" w:line="360" w:lineRule="auto"/>
      <w:jc w:val="both"/>
      <w:outlineLvl w:val="3"/>
    </w:pPr>
    <w:rPr>
      <w:rFonts w:asciiTheme="minorHAnsi" w:eastAsiaTheme="majorEastAsia" w:hAnsiTheme="minorHAnsi" w:cstheme="majorBidi"/>
      <w:i/>
      <w:iCs/>
      <w:color w:val="2F5496" w:themeColor="accent1" w:themeShade="BF"/>
      <w:kern w:val="2"/>
      <w:szCs w:val="22"/>
      <w:lang w:val="en-GB" w:bidi="ar-SA"/>
      <w14:ligatures w14:val="standardContextual"/>
    </w:rPr>
  </w:style>
  <w:style w:type="paragraph" w:styleId="Heading5">
    <w:name w:val="heading 5"/>
    <w:basedOn w:val="Normal"/>
    <w:next w:val="Normal"/>
    <w:link w:val="Heading5Char"/>
    <w:uiPriority w:val="9"/>
    <w:semiHidden/>
    <w:unhideWhenUsed/>
    <w:qFormat/>
    <w:rsid w:val="00932CCF"/>
    <w:pPr>
      <w:keepNext/>
      <w:keepLines/>
      <w:spacing w:before="80" w:after="40" w:line="360" w:lineRule="auto"/>
      <w:jc w:val="both"/>
      <w:outlineLvl w:val="4"/>
    </w:pPr>
    <w:rPr>
      <w:rFonts w:asciiTheme="minorHAnsi" w:eastAsiaTheme="majorEastAsia" w:hAnsiTheme="minorHAnsi" w:cstheme="majorBidi"/>
      <w:color w:val="2F5496" w:themeColor="accent1" w:themeShade="BF"/>
      <w:kern w:val="2"/>
      <w:szCs w:val="22"/>
      <w:lang w:val="en-GB" w:bidi="ar-SA"/>
      <w14:ligatures w14:val="standardContextual"/>
    </w:rPr>
  </w:style>
  <w:style w:type="paragraph" w:styleId="Heading6">
    <w:name w:val="heading 6"/>
    <w:basedOn w:val="Normal"/>
    <w:next w:val="Normal"/>
    <w:link w:val="Heading6Char"/>
    <w:uiPriority w:val="9"/>
    <w:semiHidden/>
    <w:unhideWhenUsed/>
    <w:qFormat/>
    <w:rsid w:val="00932CCF"/>
    <w:pPr>
      <w:keepNext/>
      <w:keepLines/>
      <w:spacing w:before="40" w:line="360" w:lineRule="auto"/>
      <w:jc w:val="both"/>
      <w:outlineLvl w:val="5"/>
    </w:pPr>
    <w:rPr>
      <w:rFonts w:asciiTheme="minorHAnsi" w:eastAsiaTheme="majorEastAsia" w:hAnsiTheme="minorHAnsi" w:cstheme="majorBidi"/>
      <w:i/>
      <w:iCs/>
      <w:color w:val="595959" w:themeColor="text1" w:themeTint="A6"/>
      <w:kern w:val="2"/>
      <w:szCs w:val="22"/>
      <w:lang w:val="en-GB" w:bidi="ar-SA"/>
      <w14:ligatures w14:val="standardContextual"/>
    </w:rPr>
  </w:style>
  <w:style w:type="paragraph" w:styleId="Heading7">
    <w:name w:val="heading 7"/>
    <w:basedOn w:val="Normal"/>
    <w:next w:val="Normal"/>
    <w:link w:val="Heading7Char"/>
    <w:uiPriority w:val="9"/>
    <w:semiHidden/>
    <w:unhideWhenUsed/>
    <w:qFormat/>
    <w:rsid w:val="00932CCF"/>
    <w:pPr>
      <w:keepNext/>
      <w:keepLines/>
      <w:spacing w:before="40" w:line="360" w:lineRule="auto"/>
      <w:jc w:val="both"/>
      <w:outlineLvl w:val="6"/>
    </w:pPr>
    <w:rPr>
      <w:rFonts w:asciiTheme="minorHAnsi" w:eastAsiaTheme="majorEastAsia" w:hAnsiTheme="minorHAnsi" w:cstheme="majorBidi"/>
      <w:color w:val="595959" w:themeColor="text1" w:themeTint="A6"/>
      <w:kern w:val="2"/>
      <w:szCs w:val="22"/>
      <w:lang w:val="en-GB" w:bidi="ar-SA"/>
      <w14:ligatures w14:val="standardContextual"/>
    </w:rPr>
  </w:style>
  <w:style w:type="paragraph" w:styleId="Heading8">
    <w:name w:val="heading 8"/>
    <w:basedOn w:val="Normal"/>
    <w:next w:val="Normal"/>
    <w:link w:val="Heading8Char"/>
    <w:uiPriority w:val="9"/>
    <w:semiHidden/>
    <w:unhideWhenUsed/>
    <w:qFormat/>
    <w:rsid w:val="00932CCF"/>
    <w:pPr>
      <w:keepNext/>
      <w:keepLines/>
      <w:spacing w:line="360" w:lineRule="auto"/>
      <w:jc w:val="both"/>
      <w:outlineLvl w:val="7"/>
    </w:pPr>
    <w:rPr>
      <w:rFonts w:asciiTheme="minorHAnsi" w:eastAsiaTheme="majorEastAsia" w:hAnsiTheme="minorHAnsi" w:cstheme="majorBidi"/>
      <w:i/>
      <w:iCs/>
      <w:color w:val="272727" w:themeColor="text1" w:themeTint="D8"/>
      <w:kern w:val="2"/>
      <w:szCs w:val="22"/>
      <w:lang w:val="en-GB" w:bidi="ar-SA"/>
      <w14:ligatures w14:val="standardContextual"/>
    </w:rPr>
  </w:style>
  <w:style w:type="paragraph" w:styleId="Heading9">
    <w:name w:val="heading 9"/>
    <w:basedOn w:val="Normal"/>
    <w:next w:val="Normal"/>
    <w:link w:val="Heading9Char"/>
    <w:uiPriority w:val="9"/>
    <w:semiHidden/>
    <w:unhideWhenUsed/>
    <w:qFormat/>
    <w:rsid w:val="00932CCF"/>
    <w:pPr>
      <w:keepNext/>
      <w:keepLines/>
      <w:spacing w:line="360" w:lineRule="auto"/>
      <w:jc w:val="both"/>
      <w:outlineLvl w:val="8"/>
    </w:pPr>
    <w:rPr>
      <w:rFonts w:asciiTheme="minorHAnsi" w:eastAsiaTheme="majorEastAsia" w:hAnsiTheme="minorHAnsi" w:cstheme="majorBidi"/>
      <w:color w:val="272727" w:themeColor="text1" w:themeTint="D8"/>
      <w:kern w:val="2"/>
      <w:szCs w:val="22"/>
      <w:lang w:val="en-GB"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C0"/>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0C49EB"/>
    <w:rPr>
      <w:rFonts w:ascii="Times New Roman" w:eastAsiaTheme="majorEastAsia" w:hAnsi="Times New Roman" w:cstheme="majorBidi"/>
      <w:b/>
      <w:color w:val="0070C0"/>
      <w:sz w:val="28"/>
      <w:szCs w:val="26"/>
      <w:lang w:val="en-US" w:eastAsia="en-GB"/>
    </w:rPr>
  </w:style>
  <w:style w:type="character" w:customStyle="1" w:styleId="Heading3Char">
    <w:name w:val="Heading 3 Char"/>
    <w:basedOn w:val="DefaultParagraphFont"/>
    <w:link w:val="Heading3"/>
    <w:uiPriority w:val="9"/>
    <w:rsid w:val="006E0F44"/>
    <w:rPr>
      <w:rFonts w:ascii="Times New Roman" w:eastAsiaTheme="majorEastAsia" w:hAnsi="Times New Roman" w:cstheme="majorBidi"/>
      <w:b/>
      <w:color w:val="7030A0"/>
      <w:sz w:val="25"/>
      <w:szCs w:val="24"/>
      <w:lang w:val="en-US" w:eastAsia="en-GB"/>
    </w:rPr>
  </w:style>
  <w:style w:type="paragraph" w:styleId="Caption">
    <w:name w:val="caption"/>
    <w:basedOn w:val="Normal"/>
    <w:next w:val="Normal"/>
    <w:autoRedefine/>
    <w:unhideWhenUsed/>
    <w:qFormat/>
    <w:rsid w:val="00911C91"/>
    <w:pPr>
      <w:spacing w:before="120" w:after="360"/>
      <w:jc w:val="center"/>
    </w:pPr>
    <w:rPr>
      <w:rFonts w:cstheme="minorHAnsi"/>
      <w:b/>
      <w:i/>
      <w:iCs/>
      <w:noProof/>
      <w:kern w:val="2"/>
      <w:sz w:val="20"/>
      <w:lang w:val="en-ZA" w:bidi="ar-SA"/>
      <w14:ligatures w14:val="standardContextual"/>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after="80"/>
      <w:contextualSpacing/>
      <w:jc w:val="both"/>
    </w:pPr>
    <w:rPr>
      <w:rFonts w:asciiTheme="majorHAnsi" w:eastAsiaTheme="majorEastAsia" w:hAnsiTheme="majorHAnsi" w:cstheme="majorBidi"/>
      <w:spacing w:val="-10"/>
      <w:kern w:val="28"/>
      <w:sz w:val="56"/>
      <w:szCs w:val="56"/>
      <w:lang w:val="en-GB" w:bidi="ar-SA"/>
      <w14:ligatures w14:val="standardContextual"/>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before="120" w:after="160" w:line="360" w:lineRule="auto"/>
      <w:jc w:val="both"/>
    </w:pPr>
    <w:rPr>
      <w:rFonts w:asciiTheme="minorHAnsi" w:eastAsiaTheme="majorEastAsia" w:hAnsiTheme="minorHAnsi" w:cstheme="majorBidi"/>
      <w:color w:val="595959" w:themeColor="text1" w:themeTint="A6"/>
      <w:spacing w:val="15"/>
      <w:kern w:val="2"/>
      <w:sz w:val="28"/>
      <w:szCs w:val="28"/>
      <w:lang w:val="en-GB" w:bidi="ar-SA"/>
      <w14:ligatures w14:val="standardContextual"/>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line="360" w:lineRule="auto"/>
      <w:jc w:val="center"/>
    </w:pPr>
    <w:rPr>
      <w:i/>
      <w:iCs/>
      <w:color w:val="404040" w:themeColor="text1" w:themeTint="BF"/>
      <w:kern w:val="2"/>
      <w:szCs w:val="22"/>
      <w:lang w:val="en-GB" w:bidi="ar-SA"/>
      <w14:ligatures w14:val="standardContextual"/>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spacing w:before="120" w:after="120" w:line="360" w:lineRule="auto"/>
      <w:ind w:left="720"/>
      <w:contextualSpacing/>
      <w:jc w:val="both"/>
    </w:pPr>
    <w:rPr>
      <w:kern w:val="2"/>
      <w:szCs w:val="22"/>
      <w:lang w:val="en-GB" w:bidi="ar-SA"/>
      <w14:ligatures w14:val="standardContextual"/>
    </w:r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line="360" w:lineRule="auto"/>
      <w:ind w:left="864" w:right="864"/>
      <w:jc w:val="center"/>
    </w:pPr>
    <w:rPr>
      <w:i/>
      <w:iCs/>
      <w:color w:val="2F5496" w:themeColor="accent1" w:themeShade="BF"/>
      <w:kern w:val="2"/>
      <w:szCs w:val="22"/>
      <w:lang w:val="en-GB" w:bidi="ar-SA"/>
      <w14:ligatures w14:val="standardContextual"/>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jc w:val="both"/>
    </w:pPr>
    <w:rPr>
      <w:kern w:val="2"/>
      <w:szCs w:val="22"/>
      <w:lang w:val="en-GB" w:bidi="ar-SA"/>
      <w14:ligatures w14:val="standardContextual"/>
    </w:r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jc w:val="both"/>
    </w:pPr>
    <w:rPr>
      <w:kern w:val="2"/>
      <w:szCs w:val="22"/>
      <w:lang w:val="en-GB" w:bidi="ar-SA"/>
      <w14:ligatures w14:val="standardContextual"/>
    </w:r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0C49EB"/>
    <w:pPr>
      <w:spacing w:before="120" w:line="360" w:lineRule="auto"/>
    </w:pPr>
    <w:rPr>
      <w:rFonts w:asciiTheme="minorHAnsi" w:hAnsiTheme="minorHAnsi" w:cstheme="minorHAnsi"/>
      <w:b/>
      <w:bCs/>
      <w:i/>
      <w:iCs/>
      <w:kern w:val="2"/>
      <w:szCs w:val="28"/>
      <w:lang w:val="en-GB" w:bidi="ar-SA"/>
      <w14:ligatures w14:val="standardContextual"/>
    </w:rPr>
  </w:style>
  <w:style w:type="paragraph" w:styleId="TOC2">
    <w:name w:val="toc 2"/>
    <w:basedOn w:val="Normal"/>
    <w:next w:val="Normal"/>
    <w:autoRedefine/>
    <w:uiPriority w:val="39"/>
    <w:unhideWhenUsed/>
    <w:rsid w:val="008E36B5"/>
    <w:pPr>
      <w:spacing w:before="120" w:line="360" w:lineRule="auto"/>
      <w:ind w:left="240"/>
    </w:pPr>
    <w:rPr>
      <w:rFonts w:asciiTheme="minorHAnsi" w:hAnsiTheme="minorHAnsi" w:cstheme="minorHAnsi"/>
      <w:b/>
      <w:bCs/>
      <w:kern w:val="2"/>
      <w:sz w:val="22"/>
      <w:szCs w:val="26"/>
      <w:lang w:val="en-GB" w:bidi="ar-SA"/>
      <w14:ligatures w14:val="standardContextual"/>
    </w:rPr>
  </w:style>
  <w:style w:type="paragraph" w:styleId="TOC3">
    <w:name w:val="toc 3"/>
    <w:basedOn w:val="Normal"/>
    <w:next w:val="Normal"/>
    <w:autoRedefine/>
    <w:uiPriority w:val="39"/>
    <w:unhideWhenUsed/>
    <w:rsid w:val="008E36B5"/>
    <w:pPr>
      <w:spacing w:line="360" w:lineRule="auto"/>
      <w:ind w:left="480"/>
    </w:pPr>
    <w:rPr>
      <w:rFonts w:asciiTheme="minorHAnsi" w:hAnsiTheme="minorHAnsi" w:cstheme="minorHAnsi"/>
      <w:kern w:val="2"/>
      <w:sz w:val="20"/>
      <w:lang w:val="en-GB" w:bidi="ar-SA"/>
      <w14:ligatures w14:val="standardContextual"/>
    </w:rPr>
  </w:style>
  <w:style w:type="character" w:styleId="Strong">
    <w:name w:val="Strong"/>
    <w:basedOn w:val="DefaultParagraphFont"/>
    <w:uiPriority w:val="22"/>
    <w:qFormat/>
    <w:rsid w:val="00F01841"/>
    <w:rPr>
      <w:b/>
      <w:bCs/>
    </w:rPr>
  </w:style>
  <w:style w:type="paragraph" w:styleId="NormalWeb">
    <w:name w:val="Normal (Web)"/>
    <w:basedOn w:val="Normal"/>
    <w:uiPriority w:val="99"/>
    <w:unhideWhenUsed/>
    <w:rsid w:val="00F01841"/>
    <w:pPr>
      <w:spacing w:before="100" w:beforeAutospacing="1" w:after="100" w:afterAutospacing="1"/>
    </w:pPr>
    <w:rPr>
      <w:rFonts w:eastAsiaTheme="minorEastAsia"/>
      <w:lang w:val="en-US" w:eastAsia="en-US" w:bidi="bn-BD"/>
    </w:rPr>
  </w:style>
  <w:style w:type="character"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before="120" w:line="360" w:lineRule="auto"/>
      <w:jc w:val="both"/>
    </w:pPr>
    <w:rPr>
      <w:kern w:val="2"/>
      <w:szCs w:val="22"/>
      <w:lang w:val="en-GB" w:bidi="ar-SA"/>
      <w14:ligatures w14:val="standardContextual"/>
    </w:rPr>
  </w:style>
  <w:style w:type="paragraph" w:styleId="TOC4">
    <w:name w:val="toc 4"/>
    <w:basedOn w:val="Normal"/>
    <w:next w:val="Normal"/>
    <w:autoRedefine/>
    <w:uiPriority w:val="39"/>
    <w:unhideWhenUsed/>
    <w:rsid w:val="000C49EB"/>
    <w:pPr>
      <w:spacing w:line="360" w:lineRule="auto"/>
      <w:ind w:left="720"/>
    </w:pPr>
    <w:rPr>
      <w:rFonts w:asciiTheme="minorHAnsi" w:hAnsiTheme="minorHAnsi" w:cstheme="minorHAnsi"/>
      <w:kern w:val="2"/>
      <w:sz w:val="20"/>
      <w:lang w:val="en-GB" w:bidi="ar-SA"/>
      <w14:ligatures w14:val="standardContextual"/>
    </w:rPr>
  </w:style>
  <w:style w:type="paragraph" w:styleId="TOC5">
    <w:name w:val="toc 5"/>
    <w:basedOn w:val="Normal"/>
    <w:next w:val="Normal"/>
    <w:autoRedefine/>
    <w:uiPriority w:val="39"/>
    <w:unhideWhenUsed/>
    <w:rsid w:val="000C49EB"/>
    <w:pPr>
      <w:spacing w:line="360" w:lineRule="auto"/>
      <w:ind w:left="960"/>
    </w:pPr>
    <w:rPr>
      <w:rFonts w:asciiTheme="minorHAnsi" w:hAnsiTheme="minorHAnsi" w:cstheme="minorHAnsi"/>
      <w:kern w:val="2"/>
      <w:sz w:val="20"/>
      <w:lang w:val="en-GB" w:bidi="ar-SA"/>
      <w14:ligatures w14:val="standardContextual"/>
    </w:rPr>
  </w:style>
  <w:style w:type="paragraph" w:styleId="TOC6">
    <w:name w:val="toc 6"/>
    <w:basedOn w:val="Normal"/>
    <w:next w:val="Normal"/>
    <w:autoRedefine/>
    <w:uiPriority w:val="39"/>
    <w:unhideWhenUsed/>
    <w:rsid w:val="000C49EB"/>
    <w:pPr>
      <w:spacing w:line="360" w:lineRule="auto"/>
      <w:ind w:left="1200"/>
    </w:pPr>
    <w:rPr>
      <w:rFonts w:asciiTheme="minorHAnsi" w:hAnsiTheme="minorHAnsi" w:cstheme="minorHAnsi"/>
      <w:kern w:val="2"/>
      <w:sz w:val="20"/>
      <w:lang w:val="en-GB" w:bidi="ar-SA"/>
      <w14:ligatures w14:val="standardContextual"/>
    </w:rPr>
  </w:style>
  <w:style w:type="paragraph" w:styleId="TOC7">
    <w:name w:val="toc 7"/>
    <w:basedOn w:val="Normal"/>
    <w:next w:val="Normal"/>
    <w:autoRedefine/>
    <w:uiPriority w:val="39"/>
    <w:unhideWhenUsed/>
    <w:rsid w:val="000C49EB"/>
    <w:pPr>
      <w:spacing w:line="360" w:lineRule="auto"/>
      <w:ind w:left="1440"/>
    </w:pPr>
    <w:rPr>
      <w:rFonts w:asciiTheme="minorHAnsi" w:hAnsiTheme="minorHAnsi" w:cstheme="minorHAnsi"/>
      <w:kern w:val="2"/>
      <w:sz w:val="20"/>
      <w:lang w:val="en-GB" w:bidi="ar-SA"/>
      <w14:ligatures w14:val="standardContextual"/>
    </w:rPr>
  </w:style>
  <w:style w:type="paragraph" w:styleId="TOC8">
    <w:name w:val="toc 8"/>
    <w:basedOn w:val="Normal"/>
    <w:next w:val="Normal"/>
    <w:autoRedefine/>
    <w:uiPriority w:val="39"/>
    <w:unhideWhenUsed/>
    <w:rsid w:val="000C49EB"/>
    <w:pPr>
      <w:spacing w:line="360" w:lineRule="auto"/>
      <w:ind w:left="1680"/>
    </w:pPr>
    <w:rPr>
      <w:rFonts w:asciiTheme="minorHAnsi" w:hAnsiTheme="minorHAnsi" w:cstheme="minorHAnsi"/>
      <w:kern w:val="2"/>
      <w:sz w:val="20"/>
      <w:lang w:val="en-GB" w:bidi="ar-SA"/>
      <w14:ligatures w14:val="standardContextual"/>
    </w:rPr>
  </w:style>
  <w:style w:type="paragraph" w:styleId="TOC9">
    <w:name w:val="toc 9"/>
    <w:basedOn w:val="Normal"/>
    <w:next w:val="Normal"/>
    <w:autoRedefine/>
    <w:uiPriority w:val="39"/>
    <w:unhideWhenUsed/>
    <w:rsid w:val="000C49EB"/>
    <w:pPr>
      <w:spacing w:line="360" w:lineRule="auto"/>
      <w:ind w:left="1920"/>
    </w:pPr>
    <w:rPr>
      <w:rFonts w:asciiTheme="minorHAnsi" w:hAnsiTheme="minorHAnsi" w:cstheme="minorHAnsi"/>
      <w:kern w:val="2"/>
      <w:sz w:val="20"/>
      <w:lang w:val="en-GB" w:bidi="ar-SA"/>
      <w14:ligatures w14:val="standardContextual"/>
    </w:rPr>
  </w:style>
  <w:style w:type="table" w:styleId="PlainTable5">
    <w:name w:val="Plain Table 5"/>
    <w:basedOn w:val="TableNormal"/>
    <w:uiPriority w:val="45"/>
    <w:rsid w:val="00F160D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F160D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1E0C4E"/>
  </w:style>
  <w:style w:type="table" w:styleId="GridTable6ColourfulAccent6">
    <w:name w:val="Grid Table 6 Colorful Accent 6"/>
    <w:basedOn w:val="TableNormal"/>
    <w:uiPriority w:val="51"/>
    <w:rsid w:val="00DE6DA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5">
    <w:name w:val="Grid Table 5 Dark Accent 5"/>
    <w:basedOn w:val="TableNormal"/>
    <w:uiPriority w:val="50"/>
    <w:rsid w:val="00D542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1">
    <w:name w:val="Grid Table 1 Light Accent 1"/>
    <w:basedOn w:val="TableNormal"/>
    <w:uiPriority w:val="46"/>
    <w:rsid w:val="0052788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52788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FollowedHyperlink">
    <w:name w:val="FollowedHyperlink"/>
    <w:basedOn w:val="DefaultParagraphFont"/>
    <w:uiPriority w:val="99"/>
    <w:semiHidden/>
    <w:unhideWhenUsed/>
    <w:rsid w:val="00195B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2259">
      <w:bodyDiv w:val="1"/>
      <w:marLeft w:val="0"/>
      <w:marRight w:val="0"/>
      <w:marTop w:val="0"/>
      <w:marBottom w:val="0"/>
      <w:divBdr>
        <w:top w:val="none" w:sz="0" w:space="0" w:color="auto"/>
        <w:left w:val="none" w:sz="0" w:space="0" w:color="auto"/>
        <w:bottom w:val="none" w:sz="0" w:space="0" w:color="auto"/>
        <w:right w:val="none" w:sz="0" w:space="0" w:color="auto"/>
      </w:divBdr>
    </w:div>
    <w:div w:id="47464038">
      <w:bodyDiv w:val="1"/>
      <w:marLeft w:val="0"/>
      <w:marRight w:val="0"/>
      <w:marTop w:val="0"/>
      <w:marBottom w:val="0"/>
      <w:divBdr>
        <w:top w:val="none" w:sz="0" w:space="0" w:color="auto"/>
        <w:left w:val="none" w:sz="0" w:space="0" w:color="auto"/>
        <w:bottom w:val="none" w:sz="0" w:space="0" w:color="auto"/>
        <w:right w:val="none" w:sz="0" w:space="0" w:color="auto"/>
      </w:divBdr>
    </w:div>
    <w:div w:id="140344663">
      <w:bodyDiv w:val="1"/>
      <w:marLeft w:val="0"/>
      <w:marRight w:val="0"/>
      <w:marTop w:val="0"/>
      <w:marBottom w:val="0"/>
      <w:divBdr>
        <w:top w:val="none" w:sz="0" w:space="0" w:color="auto"/>
        <w:left w:val="none" w:sz="0" w:space="0" w:color="auto"/>
        <w:bottom w:val="none" w:sz="0" w:space="0" w:color="auto"/>
        <w:right w:val="none" w:sz="0" w:space="0" w:color="auto"/>
      </w:divBdr>
    </w:div>
    <w:div w:id="212933095">
      <w:bodyDiv w:val="1"/>
      <w:marLeft w:val="0"/>
      <w:marRight w:val="0"/>
      <w:marTop w:val="0"/>
      <w:marBottom w:val="0"/>
      <w:divBdr>
        <w:top w:val="none" w:sz="0" w:space="0" w:color="auto"/>
        <w:left w:val="none" w:sz="0" w:space="0" w:color="auto"/>
        <w:bottom w:val="none" w:sz="0" w:space="0" w:color="auto"/>
        <w:right w:val="none" w:sz="0" w:space="0" w:color="auto"/>
      </w:divBdr>
    </w:div>
    <w:div w:id="303893048">
      <w:bodyDiv w:val="1"/>
      <w:marLeft w:val="0"/>
      <w:marRight w:val="0"/>
      <w:marTop w:val="0"/>
      <w:marBottom w:val="0"/>
      <w:divBdr>
        <w:top w:val="none" w:sz="0" w:space="0" w:color="auto"/>
        <w:left w:val="none" w:sz="0" w:space="0" w:color="auto"/>
        <w:bottom w:val="none" w:sz="0" w:space="0" w:color="auto"/>
        <w:right w:val="none" w:sz="0" w:space="0" w:color="auto"/>
      </w:divBdr>
    </w:div>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8629707">
      <w:bodyDiv w:val="1"/>
      <w:marLeft w:val="0"/>
      <w:marRight w:val="0"/>
      <w:marTop w:val="0"/>
      <w:marBottom w:val="0"/>
      <w:divBdr>
        <w:top w:val="none" w:sz="0" w:space="0" w:color="auto"/>
        <w:left w:val="none" w:sz="0" w:space="0" w:color="auto"/>
        <w:bottom w:val="none" w:sz="0" w:space="0" w:color="auto"/>
        <w:right w:val="none" w:sz="0" w:space="0" w:color="auto"/>
      </w:divBdr>
    </w:div>
    <w:div w:id="388843371">
      <w:bodyDiv w:val="1"/>
      <w:marLeft w:val="0"/>
      <w:marRight w:val="0"/>
      <w:marTop w:val="0"/>
      <w:marBottom w:val="0"/>
      <w:divBdr>
        <w:top w:val="none" w:sz="0" w:space="0" w:color="auto"/>
        <w:left w:val="none" w:sz="0" w:space="0" w:color="auto"/>
        <w:bottom w:val="none" w:sz="0" w:space="0" w:color="auto"/>
        <w:right w:val="none" w:sz="0" w:space="0" w:color="auto"/>
      </w:divBdr>
      <w:divsChild>
        <w:div w:id="910895751">
          <w:marLeft w:val="0"/>
          <w:marRight w:val="0"/>
          <w:marTop w:val="0"/>
          <w:marBottom w:val="0"/>
          <w:divBdr>
            <w:top w:val="none" w:sz="0" w:space="0" w:color="auto"/>
            <w:left w:val="none" w:sz="0" w:space="0" w:color="auto"/>
            <w:bottom w:val="none" w:sz="0" w:space="0" w:color="auto"/>
            <w:right w:val="none" w:sz="0" w:space="0" w:color="auto"/>
          </w:divBdr>
        </w:div>
      </w:divsChild>
    </w:div>
    <w:div w:id="392656434">
      <w:bodyDiv w:val="1"/>
      <w:marLeft w:val="0"/>
      <w:marRight w:val="0"/>
      <w:marTop w:val="0"/>
      <w:marBottom w:val="0"/>
      <w:divBdr>
        <w:top w:val="none" w:sz="0" w:space="0" w:color="auto"/>
        <w:left w:val="none" w:sz="0" w:space="0" w:color="auto"/>
        <w:bottom w:val="none" w:sz="0" w:space="0" w:color="auto"/>
        <w:right w:val="none" w:sz="0" w:space="0" w:color="auto"/>
      </w:divBdr>
    </w:div>
    <w:div w:id="460343546">
      <w:bodyDiv w:val="1"/>
      <w:marLeft w:val="0"/>
      <w:marRight w:val="0"/>
      <w:marTop w:val="0"/>
      <w:marBottom w:val="0"/>
      <w:divBdr>
        <w:top w:val="none" w:sz="0" w:space="0" w:color="auto"/>
        <w:left w:val="none" w:sz="0" w:space="0" w:color="auto"/>
        <w:bottom w:val="none" w:sz="0" w:space="0" w:color="auto"/>
        <w:right w:val="none" w:sz="0" w:space="0" w:color="auto"/>
      </w:divBdr>
    </w:div>
    <w:div w:id="461576738">
      <w:bodyDiv w:val="1"/>
      <w:marLeft w:val="0"/>
      <w:marRight w:val="0"/>
      <w:marTop w:val="0"/>
      <w:marBottom w:val="0"/>
      <w:divBdr>
        <w:top w:val="none" w:sz="0" w:space="0" w:color="auto"/>
        <w:left w:val="none" w:sz="0" w:space="0" w:color="auto"/>
        <w:bottom w:val="none" w:sz="0" w:space="0" w:color="auto"/>
        <w:right w:val="none" w:sz="0" w:space="0" w:color="auto"/>
      </w:divBdr>
    </w:div>
    <w:div w:id="488061752">
      <w:bodyDiv w:val="1"/>
      <w:marLeft w:val="0"/>
      <w:marRight w:val="0"/>
      <w:marTop w:val="0"/>
      <w:marBottom w:val="0"/>
      <w:divBdr>
        <w:top w:val="none" w:sz="0" w:space="0" w:color="auto"/>
        <w:left w:val="none" w:sz="0" w:space="0" w:color="auto"/>
        <w:bottom w:val="none" w:sz="0" w:space="0" w:color="auto"/>
        <w:right w:val="none" w:sz="0" w:space="0" w:color="auto"/>
      </w:divBdr>
    </w:div>
    <w:div w:id="637762503">
      <w:bodyDiv w:val="1"/>
      <w:marLeft w:val="0"/>
      <w:marRight w:val="0"/>
      <w:marTop w:val="0"/>
      <w:marBottom w:val="0"/>
      <w:divBdr>
        <w:top w:val="none" w:sz="0" w:space="0" w:color="auto"/>
        <w:left w:val="none" w:sz="0" w:space="0" w:color="auto"/>
        <w:bottom w:val="none" w:sz="0" w:space="0" w:color="auto"/>
        <w:right w:val="none" w:sz="0" w:space="0" w:color="auto"/>
      </w:divBdr>
    </w:div>
    <w:div w:id="645209532">
      <w:bodyDiv w:val="1"/>
      <w:marLeft w:val="0"/>
      <w:marRight w:val="0"/>
      <w:marTop w:val="0"/>
      <w:marBottom w:val="0"/>
      <w:divBdr>
        <w:top w:val="none" w:sz="0" w:space="0" w:color="auto"/>
        <w:left w:val="none" w:sz="0" w:space="0" w:color="auto"/>
        <w:bottom w:val="none" w:sz="0" w:space="0" w:color="auto"/>
        <w:right w:val="none" w:sz="0" w:space="0" w:color="auto"/>
      </w:divBdr>
    </w:div>
    <w:div w:id="683441770">
      <w:bodyDiv w:val="1"/>
      <w:marLeft w:val="0"/>
      <w:marRight w:val="0"/>
      <w:marTop w:val="0"/>
      <w:marBottom w:val="0"/>
      <w:divBdr>
        <w:top w:val="none" w:sz="0" w:space="0" w:color="auto"/>
        <w:left w:val="none" w:sz="0" w:space="0" w:color="auto"/>
        <w:bottom w:val="none" w:sz="0" w:space="0" w:color="auto"/>
        <w:right w:val="none" w:sz="0" w:space="0" w:color="auto"/>
      </w:divBdr>
    </w:div>
    <w:div w:id="759564253">
      <w:bodyDiv w:val="1"/>
      <w:marLeft w:val="0"/>
      <w:marRight w:val="0"/>
      <w:marTop w:val="0"/>
      <w:marBottom w:val="0"/>
      <w:divBdr>
        <w:top w:val="none" w:sz="0" w:space="0" w:color="auto"/>
        <w:left w:val="none" w:sz="0" w:space="0" w:color="auto"/>
        <w:bottom w:val="none" w:sz="0" w:space="0" w:color="auto"/>
        <w:right w:val="none" w:sz="0" w:space="0" w:color="auto"/>
      </w:divBdr>
    </w:div>
    <w:div w:id="778985845">
      <w:bodyDiv w:val="1"/>
      <w:marLeft w:val="0"/>
      <w:marRight w:val="0"/>
      <w:marTop w:val="0"/>
      <w:marBottom w:val="0"/>
      <w:divBdr>
        <w:top w:val="none" w:sz="0" w:space="0" w:color="auto"/>
        <w:left w:val="none" w:sz="0" w:space="0" w:color="auto"/>
        <w:bottom w:val="none" w:sz="0" w:space="0" w:color="auto"/>
        <w:right w:val="none" w:sz="0" w:space="0" w:color="auto"/>
      </w:divBdr>
    </w:div>
    <w:div w:id="808596792">
      <w:bodyDiv w:val="1"/>
      <w:marLeft w:val="0"/>
      <w:marRight w:val="0"/>
      <w:marTop w:val="0"/>
      <w:marBottom w:val="0"/>
      <w:divBdr>
        <w:top w:val="none" w:sz="0" w:space="0" w:color="auto"/>
        <w:left w:val="none" w:sz="0" w:space="0" w:color="auto"/>
        <w:bottom w:val="none" w:sz="0" w:space="0" w:color="auto"/>
        <w:right w:val="none" w:sz="0" w:space="0" w:color="auto"/>
      </w:divBdr>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 w:id="901644905">
      <w:bodyDiv w:val="1"/>
      <w:marLeft w:val="0"/>
      <w:marRight w:val="0"/>
      <w:marTop w:val="0"/>
      <w:marBottom w:val="0"/>
      <w:divBdr>
        <w:top w:val="none" w:sz="0" w:space="0" w:color="auto"/>
        <w:left w:val="none" w:sz="0" w:space="0" w:color="auto"/>
        <w:bottom w:val="none" w:sz="0" w:space="0" w:color="auto"/>
        <w:right w:val="none" w:sz="0" w:space="0" w:color="auto"/>
      </w:divBdr>
    </w:div>
    <w:div w:id="919143510">
      <w:bodyDiv w:val="1"/>
      <w:marLeft w:val="0"/>
      <w:marRight w:val="0"/>
      <w:marTop w:val="0"/>
      <w:marBottom w:val="0"/>
      <w:divBdr>
        <w:top w:val="none" w:sz="0" w:space="0" w:color="auto"/>
        <w:left w:val="none" w:sz="0" w:space="0" w:color="auto"/>
        <w:bottom w:val="none" w:sz="0" w:space="0" w:color="auto"/>
        <w:right w:val="none" w:sz="0" w:space="0" w:color="auto"/>
      </w:divBdr>
    </w:div>
    <w:div w:id="939721073">
      <w:bodyDiv w:val="1"/>
      <w:marLeft w:val="0"/>
      <w:marRight w:val="0"/>
      <w:marTop w:val="0"/>
      <w:marBottom w:val="0"/>
      <w:divBdr>
        <w:top w:val="none" w:sz="0" w:space="0" w:color="auto"/>
        <w:left w:val="none" w:sz="0" w:space="0" w:color="auto"/>
        <w:bottom w:val="none" w:sz="0" w:space="0" w:color="auto"/>
        <w:right w:val="none" w:sz="0" w:space="0" w:color="auto"/>
      </w:divBdr>
    </w:div>
    <w:div w:id="1036471660">
      <w:bodyDiv w:val="1"/>
      <w:marLeft w:val="0"/>
      <w:marRight w:val="0"/>
      <w:marTop w:val="0"/>
      <w:marBottom w:val="0"/>
      <w:divBdr>
        <w:top w:val="none" w:sz="0" w:space="0" w:color="auto"/>
        <w:left w:val="none" w:sz="0" w:space="0" w:color="auto"/>
        <w:bottom w:val="none" w:sz="0" w:space="0" w:color="auto"/>
        <w:right w:val="none" w:sz="0" w:space="0" w:color="auto"/>
      </w:divBdr>
    </w:div>
    <w:div w:id="1134101723">
      <w:bodyDiv w:val="1"/>
      <w:marLeft w:val="0"/>
      <w:marRight w:val="0"/>
      <w:marTop w:val="0"/>
      <w:marBottom w:val="0"/>
      <w:divBdr>
        <w:top w:val="none" w:sz="0" w:space="0" w:color="auto"/>
        <w:left w:val="none" w:sz="0" w:space="0" w:color="auto"/>
        <w:bottom w:val="none" w:sz="0" w:space="0" w:color="auto"/>
        <w:right w:val="none" w:sz="0" w:space="0" w:color="auto"/>
      </w:divBdr>
    </w:div>
    <w:div w:id="1326284120">
      <w:bodyDiv w:val="1"/>
      <w:marLeft w:val="0"/>
      <w:marRight w:val="0"/>
      <w:marTop w:val="0"/>
      <w:marBottom w:val="0"/>
      <w:divBdr>
        <w:top w:val="none" w:sz="0" w:space="0" w:color="auto"/>
        <w:left w:val="none" w:sz="0" w:space="0" w:color="auto"/>
        <w:bottom w:val="none" w:sz="0" w:space="0" w:color="auto"/>
        <w:right w:val="none" w:sz="0" w:space="0" w:color="auto"/>
      </w:divBdr>
    </w:div>
    <w:div w:id="1360618731">
      <w:bodyDiv w:val="1"/>
      <w:marLeft w:val="0"/>
      <w:marRight w:val="0"/>
      <w:marTop w:val="0"/>
      <w:marBottom w:val="0"/>
      <w:divBdr>
        <w:top w:val="none" w:sz="0" w:space="0" w:color="auto"/>
        <w:left w:val="none" w:sz="0" w:space="0" w:color="auto"/>
        <w:bottom w:val="none" w:sz="0" w:space="0" w:color="auto"/>
        <w:right w:val="none" w:sz="0" w:space="0" w:color="auto"/>
      </w:divBdr>
    </w:div>
    <w:div w:id="1407149369">
      <w:bodyDiv w:val="1"/>
      <w:marLeft w:val="0"/>
      <w:marRight w:val="0"/>
      <w:marTop w:val="0"/>
      <w:marBottom w:val="0"/>
      <w:divBdr>
        <w:top w:val="none" w:sz="0" w:space="0" w:color="auto"/>
        <w:left w:val="none" w:sz="0" w:space="0" w:color="auto"/>
        <w:bottom w:val="none" w:sz="0" w:space="0" w:color="auto"/>
        <w:right w:val="none" w:sz="0" w:space="0" w:color="auto"/>
      </w:divBdr>
    </w:div>
    <w:div w:id="1472597685">
      <w:bodyDiv w:val="1"/>
      <w:marLeft w:val="0"/>
      <w:marRight w:val="0"/>
      <w:marTop w:val="0"/>
      <w:marBottom w:val="0"/>
      <w:divBdr>
        <w:top w:val="none" w:sz="0" w:space="0" w:color="auto"/>
        <w:left w:val="none" w:sz="0" w:space="0" w:color="auto"/>
        <w:bottom w:val="none" w:sz="0" w:space="0" w:color="auto"/>
        <w:right w:val="none" w:sz="0" w:space="0" w:color="auto"/>
      </w:divBdr>
      <w:divsChild>
        <w:div w:id="728456875">
          <w:marLeft w:val="0"/>
          <w:marRight w:val="0"/>
          <w:marTop w:val="0"/>
          <w:marBottom w:val="0"/>
          <w:divBdr>
            <w:top w:val="none" w:sz="0" w:space="0" w:color="auto"/>
            <w:left w:val="none" w:sz="0" w:space="0" w:color="auto"/>
            <w:bottom w:val="none" w:sz="0" w:space="0" w:color="auto"/>
            <w:right w:val="none" w:sz="0" w:space="0" w:color="auto"/>
          </w:divBdr>
        </w:div>
      </w:divsChild>
    </w:div>
    <w:div w:id="1487819833">
      <w:bodyDiv w:val="1"/>
      <w:marLeft w:val="0"/>
      <w:marRight w:val="0"/>
      <w:marTop w:val="0"/>
      <w:marBottom w:val="0"/>
      <w:divBdr>
        <w:top w:val="none" w:sz="0" w:space="0" w:color="auto"/>
        <w:left w:val="none" w:sz="0" w:space="0" w:color="auto"/>
        <w:bottom w:val="none" w:sz="0" w:space="0" w:color="auto"/>
        <w:right w:val="none" w:sz="0" w:space="0" w:color="auto"/>
      </w:divBdr>
    </w:div>
    <w:div w:id="1518932627">
      <w:bodyDiv w:val="1"/>
      <w:marLeft w:val="0"/>
      <w:marRight w:val="0"/>
      <w:marTop w:val="0"/>
      <w:marBottom w:val="0"/>
      <w:divBdr>
        <w:top w:val="none" w:sz="0" w:space="0" w:color="auto"/>
        <w:left w:val="none" w:sz="0" w:space="0" w:color="auto"/>
        <w:bottom w:val="none" w:sz="0" w:space="0" w:color="auto"/>
        <w:right w:val="none" w:sz="0" w:space="0" w:color="auto"/>
      </w:divBdr>
      <w:divsChild>
        <w:div w:id="1542355629">
          <w:marLeft w:val="0"/>
          <w:marRight w:val="0"/>
          <w:marTop w:val="0"/>
          <w:marBottom w:val="0"/>
          <w:divBdr>
            <w:top w:val="none" w:sz="0" w:space="0" w:color="auto"/>
            <w:left w:val="none" w:sz="0" w:space="0" w:color="auto"/>
            <w:bottom w:val="none" w:sz="0" w:space="0" w:color="auto"/>
            <w:right w:val="none" w:sz="0" w:space="0" w:color="auto"/>
          </w:divBdr>
        </w:div>
      </w:divsChild>
    </w:div>
    <w:div w:id="1537812858">
      <w:bodyDiv w:val="1"/>
      <w:marLeft w:val="0"/>
      <w:marRight w:val="0"/>
      <w:marTop w:val="0"/>
      <w:marBottom w:val="0"/>
      <w:divBdr>
        <w:top w:val="none" w:sz="0" w:space="0" w:color="auto"/>
        <w:left w:val="none" w:sz="0" w:space="0" w:color="auto"/>
        <w:bottom w:val="none" w:sz="0" w:space="0" w:color="auto"/>
        <w:right w:val="none" w:sz="0" w:space="0" w:color="auto"/>
      </w:divBdr>
    </w:div>
    <w:div w:id="1540321283">
      <w:bodyDiv w:val="1"/>
      <w:marLeft w:val="0"/>
      <w:marRight w:val="0"/>
      <w:marTop w:val="0"/>
      <w:marBottom w:val="0"/>
      <w:divBdr>
        <w:top w:val="none" w:sz="0" w:space="0" w:color="auto"/>
        <w:left w:val="none" w:sz="0" w:space="0" w:color="auto"/>
        <w:bottom w:val="none" w:sz="0" w:space="0" w:color="auto"/>
        <w:right w:val="none" w:sz="0" w:space="0" w:color="auto"/>
      </w:divBdr>
    </w:div>
    <w:div w:id="1541279918">
      <w:bodyDiv w:val="1"/>
      <w:marLeft w:val="0"/>
      <w:marRight w:val="0"/>
      <w:marTop w:val="0"/>
      <w:marBottom w:val="0"/>
      <w:divBdr>
        <w:top w:val="none" w:sz="0" w:space="0" w:color="auto"/>
        <w:left w:val="none" w:sz="0" w:space="0" w:color="auto"/>
        <w:bottom w:val="none" w:sz="0" w:space="0" w:color="auto"/>
        <w:right w:val="none" w:sz="0" w:space="0" w:color="auto"/>
      </w:divBdr>
      <w:divsChild>
        <w:div w:id="1634022369">
          <w:marLeft w:val="0"/>
          <w:marRight w:val="0"/>
          <w:marTop w:val="0"/>
          <w:marBottom w:val="0"/>
          <w:divBdr>
            <w:top w:val="none" w:sz="0" w:space="0" w:color="auto"/>
            <w:left w:val="none" w:sz="0" w:space="0" w:color="auto"/>
            <w:bottom w:val="none" w:sz="0" w:space="0" w:color="auto"/>
            <w:right w:val="none" w:sz="0" w:space="0" w:color="auto"/>
          </w:divBdr>
        </w:div>
      </w:divsChild>
    </w:div>
    <w:div w:id="1559975310">
      <w:bodyDiv w:val="1"/>
      <w:marLeft w:val="0"/>
      <w:marRight w:val="0"/>
      <w:marTop w:val="0"/>
      <w:marBottom w:val="0"/>
      <w:divBdr>
        <w:top w:val="none" w:sz="0" w:space="0" w:color="auto"/>
        <w:left w:val="none" w:sz="0" w:space="0" w:color="auto"/>
        <w:bottom w:val="none" w:sz="0" w:space="0" w:color="auto"/>
        <w:right w:val="none" w:sz="0" w:space="0" w:color="auto"/>
      </w:divBdr>
    </w:div>
    <w:div w:id="1626347310">
      <w:bodyDiv w:val="1"/>
      <w:marLeft w:val="0"/>
      <w:marRight w:val="0"/>
      <w:marTop w:val="0"/>
      <w:marBottom w:val="0"/>
      <w:divBdr>
        <w:top w:val="none" w:sz="0" w:space="0" w:color="auto"/>
        <w:left w:val="none" w:sz="0" w:space="0" w:color="auto"/>
        <w:bottom w:val="none" w:sz="0" w:space="0" w:color="auto"/>
        <w:right w:val="none" w:sz="0" w:space="0" w:color="auto"/>
      </w:divBdr>
    </w:div>
    <w:div w:id="1676423958">
      <w:bodyDiv w:val="1"/>
      <w:marLeft w:val="0"/>
      <w:marRight w:val="0"/>
      <w:marTop w:val="0"/>
      <w:marBottom w:val="0"/>
      <w:divBdr>
        <w:top w:val="none" w:sz="0" w:space="0" w:color="auto"/>
        <w:left w:val="none" w:sz="0" w:space="0" w:color="auto"/>
        <w:bottom w:val="none" w:sz="0" w:space="0" w:color="auto"/>
        <w:right w:val="none" w:sz="0" w:space="0" w:color="auto"/>
      </w:divBdr>
    </w:div>
    <w:div w:id="1869491285">
      <w:bodyDiv w:val="1"/>
      <w:marLeft w:val="0"/>
      <w:marRight w:val="0"/>
      <w:marTop w:val="0"/>
      <w:marBottom w:val="0"/>
      <w:divBdr>
        <w:top w:val="none" w:sz="0" w:space="0" w:color="auto"/>
        <w:left w:val="none" w:sz="0" w:space="0" w:color="auto"/>
        <w:bottom w:val="none" w:sz="0" w:space="0" w:color="auto"/>
        <w:right w:val="none" w:sz="0" w:space="0" w:color="auto"/>
      </w:divBdr>
    </w:div>
    <w:div w:id="1881552080">
      <w:bodyDiv w:val="1"/>
      <w:marLeft w:val="0"/>
      <w:marRight w:val="0"/>
      <w:marTop w:val="0"/>
      <w:marBottom w:val="0"/>
      <w:divBdr>
        <w:top w:val="none" w:sz="0" w:space="0" w:color="auto"/>
        <w:left w:val="none" w:sz="0" w:space="0" w:color="auto"/>
        <w:bottom w:val="none" w:sz="0" w:space="0" w:color="auto"/>
        <w:right w:val="none" w:sz="0" w:space="0" w:color="auto"/>
      </w:divBdr>
    </w:div>
    <w:div w:id="210537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02/sd.20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emj.2019.08.010"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02/bse.3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22427</Words>
  <Characters>127839</Characters>
  <Application>Microsoft Office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2026-03-19T01:00:00Z</dcterms:created>
  <dcterms:modified xsi:type="dcterms:W3CDTF">2026-06-06T18:00:00Z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014733192f5e3ae904a7d58765acadeaf4338289b7a5db24de33270f2f88398a</vt:lpwstr>
  </property>
</Properties>
</file>