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4CC775" w14:textId="77777777" w:rsidR="00382E01" w:rsidRPr="00382E01" w:rsidRDefault="00382E01">
      <w:pPr>
        <w:pStyle w:val="p4"/>
        <w:rPr>
          <w:color w:val="1A1A1A" w:themeColor="background1" w:themeShade="1A"/>
        </w:rPr>
      </w:pPr>
    </w:p>
    <w:p w14:paraId="557C04A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Shaping the Future: Youth in the 1980s and Its Legacy for Contemporary Youth Work</w:t>
      </w:r>
    </w:p>
    <w:p w14:paraId="11CAD894" w14:textId="77777777" w:rsidR="00213ED1" w:rsidRPr="00F83FBB" w:rsidRDefault="00213ED1" w:rsidP="00213ED1">
      <w:pPr>
        <w:rPr>
          <w:rFonts w:ascii="Calibri" w:hAnsi="Calibri"/>
          <w:color w:val="1A1A1A" w:themeColor="background1" w:themeShade="1A"/>
        </w:rPr>
      </w:pPr>
    </w:p>
    <w:p w14:paraId="2DE366CE"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Introduction</w:t>
      </w:r>
    </w:p>
    <w:p w14:paraId="07EBB9CB"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Brief overview: the significance of the 1980s as a transformative decade.</w:t>
      </w:r>
    </w:p>
    <w:p w14:paraId="794342C3"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How social, political, economic, and cultural changes in this period impacted young people, communities, policy, and Youth Work practice.</w:t>
      </w:r>
    </w:p>
    <w:p w14:paraId="24651E8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Key themes to be covered include unemployment, activism, early technologies, identity, and international influences. Seminar aims:</w:t>
      </w:r>
    </w:p>
    <w:p w14:paraId="5650622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1. Understand how the experiences and policy affecting young people in the 1980s were created.</w:t>
      </w:r>
    </w:p>
    <w:p w14:paraId="64D3495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2. The 1980s formed youth experiences within Youth Work through high unemployment being countered by vocational schemes such as the Youth Training Scheme. Economic cuts to community services reduced universal services and moved Youth Work towards targeted interventions. Youth activism and subcultures influenced practice toward the issues of empowerment, inclusion, and mental health support. These changes set the foundation for the modern approaches to Youth Work.</w:t>
      </w:r>
    </w:p>
    <w:p w14:paraId="18B16526" w14:textId="77777777" w:rsidR="00213ED1" w:rsidRPr="00F83FBB" w:rsidRDefault="00213ED1" w:rsidP="00213ED1">
      <w:pPr>
        <w:rPr>
          <w:rFonts w:ascii="Calibri" w:hAnsi="Calibri"/>
          <w:color w:val="1A1A1A" w:themeColor="background1" w:themeShade="1A"/>
        </w:rPr>
      </w:pPr>
    </w:p>
    <w:p w14:paraId="688234C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Look for similarities between the 1980s and today.</w:t>
      </w:r>
    </w:p>
    <w:p w14:paraId="662F8531"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3. Some parallels between the 1980s and today in Youth Work would include:</w:t>
      </w:r>
    </w:p>
    <w:p w14:paraId="48158CE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4. •</w:t>
      </w:r>
      <w:r w:rsidRPr="00F83FBB">
        <w:rPr>
          <w:rFonts w:ascii="Calibri" w:hAnsi="Calibri"/>
          <w:color w:val="1A1A1A" w:themeColor="background1" w:themeShade="1A"/>
        </w:rPr>
        <w:tab/>
        <w:t>Unemployment: Both eras face challenges regarding unemployment among the youth, thus the focus on skills and training.</w:t>
      </w:r>
    </w:p>
    <w:p w14:paraId="7DCB6D87"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5. •</w:t>
      </w:r>
      <w:r w:rsidRPr="00F83FBB">
        <w:rPr>
          <w:rFonts w:ascii="Calibri" w:hAnsi="Calibri"/>
          <w:color w:val="1A1A1A" w:themeColor="background1" w:themeShade="1A"/>
        </w:rPr>
        <w:tab/>
        <w:t>Mental Health: The growing awareness of mental health needs among young people.</w:t>
      </w:r>
    </w:p>
    <w:p w14:paraId="0035DEAA"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6. •</w:t>
      </w:r>
      <w:r w:rsidRPr="00F83FBB">
        <w:rPr>
          <w:rFonts w:ascii="Calibri" w:hAnsi="Calibri"/>
          <w:color w:val="1A1A1A" w:themeColor="background1" w:themeShade="1A"/>
        </w:rPr>
        <w:tab/>
        <w:t>Youth Activism: Similar activism on behalf of climate change, equality, and social justice.</w:t>
      </w:r>
    </w:p>
    <w:p w14:paraId="2DABD495"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7. •</w:t>
      </w:r>
      <w:r w:rsidRPr="00F83FBB">
        <w:rPr>
          <w:rFonts w:ascii="Calibri" w:hAnsi="Calibri"/>
          <w:color w:val="1A1A1A" w:themeColor="background1" w:themeShade="1A"/>
        </w:rPr>
        <w:tab/>
        <w:t>Technology: The 1980s introduced early tech, while today's Youth Work tries to adapt to the digital age.</w:t>
      </w:r>
    </w:p>
    <w:p w14:paraId="34073425"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8.</w:t>
      </w:r>
    </w:p>
    <w:p w14:paraId="1368336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Funding Challenges: Reductions in youth services during both periods necessitated imaginative ways of helping young people</w:t>
      </w:r>
    </w:p>
    <w:p w14:paraId="1F88C69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Highlight lessons for contemporary Youth Work practice:</w:t>
      </w:r>
    </w:p>
    <w:p w14:paraId="5D37765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1. Empower Young Voices: Involve young people in shaping the programs and policies.</w:t>
      </w:r>
    </w:p>
    <w:p w14:paraId="33C36EC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lastRenderedPageBreak/>
        <w:t xml:space="preserve">2. Adapt to Change: </w:t>
      </w:r>
      <w:proofErr w:type="spellStart"/>
      <w:r w:rsidRPr="00F83FBB">
        <w:rPr>
          <w:rFonts w:ascii="Calibri" w:hAnsi="Calibri"/>
          <w:color w:val="1A1A1A" w:themeColor="background1" w:themeShade="1A"/>
        </w:rPr>
        <w:t>Utilize</w:t>
      </w:r>
      <w:proofErr w:type="spellEnd"/>
      <w:r w:rsidRPr="00F83FBB">
        <w:rPr>
          <w:rFonts w:ascii="Calibri" w:hAnsi="Calibri"/>
          <w:color w:val="1A1A1A" w:themeColor="background1" w:themeShade="1A"/>
        </w:rPr>
        <w:t xml:space="preserve"> new technologies and social trends for relevance.</w:t>
      </w:r>
    </w:p>
    <w:p w14:paraId="6B7E72BB"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3. Focus on Inclusion: Give attention to the needs of marginalised groups-promote diversity.</w:t>
      </w:r>
    </w:p>
    <w:p w14:paraId="6D045BFA"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4. Balance Approaches: Targeted interventions need to be combined with wider community-based support.</w:t>
      </w:r>
    </w:p>
    <w:p w14:paraId="5B49832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5. Resilience: Give the youth resilience to economic, social, and mental health adversities.</w:t>
      </w:r>
    </w:p>
    <w:p w14:paraId="2E3A2AD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6. Call for Funding: Advocate for continued investment in services and programs that address the needs of youth.</w:t>
      </w:r>
    </w:p>
    <w:p w14:paraId="088A5D9D" w14:textId="77777777" w:rsidR="00213ED1" w:rsidRPr="00F83FBB" w:rsidRDefault="00213ED1" w:rsidP="00213ED1">
      <w:pPr>
        <w:rPr>
          <w:rFonts w:ascii="Calibri" w:hAnsi="Calibri"/>
          <w:color w:val="1A1A1A" w:themeColor="background1" w:themeShade="1A"/>
        </w:rPr>
      </w:pPr>
    </w:p>
    <w:p w14:paraId="3F360BE7"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Section 1: Contextual Overview of the 1980s</w:t>
      </w:r>
    </w:p>
    <w:p w14:paraId="17737BC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p>
    <w:p w14:paraId="4460597C"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Political Climate:</w:t>
      </w:r>
    </w:p>
    <w:p w14:paraId="3F55BBDE"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p>
    <w:p w14:paraId="57151AF9"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Neoliberalism on the rise-for instance, Thatcherism in the UK and Ergonomics in the US.</w:t>
      </w:r>
    </w:p>
    <w:p w14:paraId="5FB8AEC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p>
    <w:p w14:paraId="4B16E15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Youth-led demonstrations against nuclear weapons, apartheid, and inequality.</w:t>
      </w:r>
    </w:p>
    <w:p w14:paraId="47CF8B8A"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p>
    <w:p w14:paraId="00290B2C"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Economic Landscape:</w:t>
      </w:r>
    </w:p>
    <w:p w14:paraId="419E48E3"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p>
    <w:p w14:paraId="705F0541"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Youth unemployment connected with recession.</w:t>
      </w:r>
    </w:p>
    <w:p w14:paraId="08598035"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p>
    <w:p w14:paraId="6C9832D0"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The decline of traditional industries, growth of service economies.</w:t>
      </w:r>
    </w:p>
    <w:p w14:paraId="25E2534B"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p>
    <w:p w14:paraId="76A2362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Cultural Shifts:</w:t>
      </w:r>
    </w:p>
    <w:p w14:paraId="4803F15F"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Creation of worldwide youth cultures with music such as punk, hip-hop, and New Wave.</w:t>
      </w:r>
    </w:p>
    <w:p w14:paraId="5A4FB1BC"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The LGBTQ+ community became more visible.</w:t>
      </w:r>
    </w:p>
    <w:p w14:paraId="3E626C89"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Technological Changes:</w:t>
      </w:r>
    </w:p>
    <w:p w14:paraId="60EAAB8B"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First personal computers and video games.</w:t>
      </w:r>
    </w:p>
    <w:p w14:paraId="25C3E34B"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Rising importance of mass media, especially MTV.</w:t>
      </w:r>
    </w:p>
    <w:p w14:paraId="66F36805" w14:textId="77777777" w:rsidR="00213ED1" w:rsidRPr="00F83FBB" w:rsidRDefault="00213ED1" w:rsidP="00213ED1">
      <w:pPr>
        <w:rPr>
          <w:rFonts w:ascii="Calibri" w:hAnsi="Calibri"/>
          <w:color w:val="1A1A1A" w:themeColor="background1" w:themeShade="1A"/>
        </w:rPr>
      </w:pPr>
    </w:p>
    <w:p w14:paraId="22EA755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lastRenderedPageBreak/>
        <w:t>Section 2: Impact on Young People</w:t>
      </w:r>
    </w:p>
    <w:p w14:paraId="17A539B1"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1.</w:t>
      </w:r>
    </w:p>
    <w:p w14:paraId="38A30B0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Economic Issues:</w:t>
      </w:r>
    </w:p>
    <w:p w14:paraId="61EAC935"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Youth unemployment caused alienation, poverty, and mental health problems.</w:t>
      </w:r>
    </w:p>
    <w:p w14:paraId="0735E2E7"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Youth from working-class communities had limited opportunities.</w:t>
      </w:r>
    </w:p>
    <w:p w14:paraId="394E79EE"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During the 1980s, Youth Work practices responded to economic challenges through employability programs such as the Youth Training Scheme, which provided life skills and vocational training. Other areas of concern for youth workers included mental health support and the need to engage young people from working-class communities through targeted interventions and community projects.</w:t>
      </w:r>
    </w:p>
    <w:p w14:paraId="12A87A47" w14:textId="77777777" w:rsidR="00213ED1" w:rsidRPr="00F83FBB" w:rsidRDefault="00213ED1" w:rsidP="00213ED1">
      <w:pPr>
        <w:rPr>
          <w:rFonts w:ascii="Calibri" w:hAnsi="Calibri"/>
          <w:color w:val="1A1A1A" w:themeColor="background1" w:themeShade="1A"/>
        </w:rPr>
      </w:pPr>
    </w:p>
    <w:p w14:paraId="6467AEF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2.</w:t>
      </w:r>
    </w:p>
    <w:p w14:paraId="78B003E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Identity and Expression:</w:t>
      </w:r>
    </w:p>
    <w:p w14:paraId="1392D4BE"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Music, fashion, and subcultures were used as outlets for self-expression and resistance.</w:t>
      </w:r>
    </w:p>
    <w:p w14:paraId="02F84170"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A growing interest in environmental and social justice movements.</w:t>
      </w:r>
    </w:p>
    <w:p w14:paraId="08F312F3"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xml:space="preserve">During the 1980s, Youth Work practices </w:t>
      </w:r>
      <w:proofErr w:type="spellStart"/>
      <w:r w:rsidRPr="00F83FBB">
        <w:rPr>
          <w:rFonts w:ascii="Calibri" w:hAnsi="Calibri"/>
          <w:color w:val="1A1A1A" w:themeColor="background1" w:themeShade="1A"/>
        </w:rPr>
        <w:t>utilized</w:t>
      </w:r>
      <w:proofErr w:type="spellEnd"/>
      <w:r w:rsidRPr="00F83FBB">
        <w:rPr>
          <w:rFonts w:ascii="Calibri" w:hAnsi="Calibri"/>
          <w:color w:val="1A1A1A" w:themeColor="background1" w:themeShade="1A"/>
        </w:rPr>
        <w:t xml:space="preserve"> music, art, and subcultures to engage young people by offering safe environments for self-expression. Youth Workers were supportive of activism, encouraging environmental and social justice movements, promoting a sense of purpose and power among the youth.</w:t>
      </w:r>
    </w:p>
    <w:p w14:paraId="702A9CAA" w14:textId="77777777" w:rsidR="00213ED1" w:rsidRPr="00F83FBB" w:rsidRDefault="00213ED1" w:rsidP="00213ED1">
      <w:pPr>
        <w:rPr>
          <w:rFonts w:ascii="Calibri" w:hAnsi="Calibri"/>
          <w:color w:val="1A1A1A" w:themeColor="background1" w:themeShade="1A"/>
        </w:rPr>
      </w:pPr>
    </w:p>
    <w:p w14:paraId="2DC912EC"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3. Educational Reforms:</w:t>
      </w:r>
    </w:p>
    <w:p w14:paraId="15E7A4F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Expansion of vocational training programs toward addressing skill deficiencies.</w:t>
      </w:r>
    </w:p>
    <w:p w14:paraId="72AFE779"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xml:space="preserve">• Higher education was still somewhat inaccessible to </w:t>
      </w:r>
      <w:proofErr w:type="spellStart"/>
      <w:r w:rsidRPr="00F83FBB">
        <w:rPr>
          <w:rFonts w:ascii="Calibri" w:hAnsi="Calibri"/>
          <w:color w:val="1A1A1A" w:themeColor="background1" w:themeShade="1A"/>
        </w:rPr>
        <w:t>marginalized</w:t>
      </w:r>
      <w:proofErr w:type="spellEnd"/>
      <w:r w:rsidRPr="00F83FBB">
        <w:rPr>
          <w:rFonts w:ascii="Calibri" w:hAnsi="Calibri"/>
          <w:color w:val="1A1A1A" w:themeColor="background1" w:themeShade="1A"/>
        </w:rPr>
        <w:t xml:space="preserve"> groups.</w:t>
      </w:r>
    </w:p>
    <w:p w14:paraId="61500E0F"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Youth Work methods during the 1980s were set up to give vocational training projects to enable young people to learn skills needed for employment. Youth Workers also worked on behalf of dispossessed people through guidance, advocating, and facilitating alternative routes of education and occupation.</w:t>
      </w:r>
    </w:p>
    <w:p w14:paraId="57382E17" w14:textId="77777777" w:rsidR="00213ED1" w:rsidRPr="00F83FBB" w:rsidRDefault="00213ED1" w:rsidP="00213ED1">
      <w:pPr>
        <w:rPr>
          <w:rFonts w:ascii="Calibri" w:hAnsi="Calibri"/>
          <w:color w:val="1A1A1A" w:themeColor="background1" w:themeShade="1A"/>
        </w:rPr>
      </w:pPr>
    </w:p>
    <w:p w14:paraId="214CFDA0"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Section 3: Policy Development in the 1980s</w:t>
      </w:r>
    </w:p>
    <w:p w14:paraId="21AAB1BA"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Introduction of youth training schemes, such as the Youth Training Scheme of the UK.</w:t>
      </w:r>
    </w:p>
    <w:p w14:paraId="2C70F4C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lastRenderedPageBreak/>
        <w:tab/>
        <w:t>•</w:t>
      </w:r>
      <w:r w:rsidRPr="00F83FBB">
        <w:rPr>
          <w:rFonts w:ascii="Calibri" w:hAnsi="Calibri"/>
          <w:color w:val="1A1A1A" w:themeColor="background1" w:themeShade="1A"/>
        </w:rPr>
        <w:tab/>
        <w:t>Emphasis on law and order policies-structural policing of youth.</w:t>
      </w:r>
    </w:p>
    <w:p w14:paraId="046C3A3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Cutbacks in social services and community youth programs.</w:t>
      </w:r>
    </w:p>
    <w:p w14:paraId="4701E602"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Increasing requirements for policies on diversity, inclusion, and mental health.</w:t>
      </w:r>
    </w:p>
    <w:p w14:paraId="2EE1C401"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xml:space="preserve">Youth Work practice was notably influenced by the development of policy during the 1980s. One such scheme introduced to tackle the problems of youth unemployment through vocational training was the UK's Youth Training Scheme; most of these schemes indeed proved to be quite inadequate for long-term solutions. Greater focus on law-and-order policies increased policing of youth, thus tending to create tensions-particularly in the most </w:t>
      </w:r>
      <w:proofErr w:type="spellStart"/>
      <w:r w:rsidRPr="00F83FBB">
        <w:rPr>
          <w:rFonts w:ascii="Calibri" w:hAnsi="Calibri"/>
          <w:color w:val="1A1A1A" w:themeColor="background1" w:themeShade="1A"/>
        </w:rPr>
        <w:t>marginalized</w:t>
      </w:r>
      <w:proofErr w:type="spellEnd"/>
      <w:r w:rsidRPr="00F83FBB">
        <w:rPr>
          <w:rFonts w:ascii="Calibri" w:hAnsi="Calibri"/>
          <w:color w:val="1A1A1A" w:themeColor="background1" w:themeShade="1A"/>
        </w:rPr>
        <w:t xml:space="preserve"> communities. It was further coupled with severe cuts to social services that drastically reduced funding for community youth programs, leaving many young people without much support. Equally, however, there had also been an increasing consciousness of and demand for policies relating to diversity, inclusion, and support for mental health, which began to impact more progressive approaches within Youth Work.</w:t>
      </w:r>
    </w:p>
    <w:p w14:paraId="262915B5" w14:textId="77777777" w:rsidR="00213ED1" w:rsidRPr="00F83FBB" w:rsidRDefault="00213ED1" w:rsidP="00213ED1">
      <w:pPr>
        <w:rPr>
          <w:rFonts w:ascii="Calibri" w:hAnsi="Calibri"/>
          <w:color w:val="1A1A1A" w:themeColor="background1" w:themeShade="1A"/>
        </w:rPr>
      </w:pPr>
    </w:p>
    <w:p w14:paraId="1132953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Section 4: Youth Work Practice in the 1980s</w:t>
      </w:r>
    </w:p>
    <w:p w14:paraId="5C929433"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Shifting from traditional youth clubs to targeted intervention.</w:t>
      </w:r>
    </w:p>
    <w:p w14:paraId="7E4C5E1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Focus on employability/life skills development.</w:t>
      </w:r>
    </w:p>
    <w:p w14:paraId="52C271F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 xml:space="preserve">Disenfranchising </w:t>
      </w:r>
      <w:proofErr w:type="spellStart"/>
      <w:r w:rsidRPr="00F83FBB">
        <w:rPr>
          <w:rFonts w:ascii="Calibri" w:hAnsi="Calibri"/>
          <w:color w:val="1A1A1A" w:themeColor="background1" w:themeShade="1A"/>
        </w:rPr>
        <w:t>marginalized</w:t>
      </w:r>
      <w:proofErr w:type="spellEnd"/>
      <w:r w:rsidRPr="00F83FBB">
        <w:rPr>
          <w:rFonts w:ascii="Calibri" w:hAnsi="Calibri"/>
          <w:color w:val="1A1A1A" w:themeColor="background1" w:themeShade="1A"/>
        </w:rPr>
        <w:t xml:space="preserve"> young people: tackling the problems.</w:t>
      </w:r>
    </w:p>
    <w:p w14:paraId="089B1A3A"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Grassroots level activism increases within Youth Work as a reaction to government cuts.</w:t>
      </w:r>
    </w:p>
    <w:p w14:paraId="4149E276" w14:textId="77777777" w:rsidR="00213ED1" w:rsidRPr="00F83FBB" w:rsidRDefault="00213ED1" w:rsidP="00213ED1">
      <w:pPr>
        <w:rPr>
          <w:rFonts w:ascii="Calibri" w:hAnsi="Calibri"/>
          <w:color w:val="1A1A1A" w:themeColor="background1" w:themeShade="1A"/>
        </w:rPr>
      </w:pPr>
    </w:p>
    <w:p w14:paraId="4A8195F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Section 5: Comparisons between the 1980s and Today</w:t>
      </w:r>
    </w:p>
    <w:p w14:paraId="68632169"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1.</w:t>
      </w:r>
    </w:p>
    <w:p w14:paraId="3E059C93"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Economic Comparisons:</w:t>
      </w:r>
    </w:p>
    <w:p w14:paraId="78548EA9"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Sustained focus on unemployment among youth and precarious work.</w:t>
      </w:r>
    </w:p>
    <w:p w14:paraId="5EF1F2B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xml:space="preserve">Understanding economic </w:t>
      </w:r>
      <w:proofErr w:type="spellStart"/>
      <w:r w:rsidRPr="00F83FBB">
        <w:rPr>
          <w:rFonts w:ascii="Calibri" w:hAnsi="Calibri"/>
          <w:color w:val="1A1A1A" w:themeColor="background1" w:themeShade="1A"/>
        </w:rPr>
        <w:t>polarization</w:t>
      </w:r>
      <w:proofErr w:type="spellEnd"/>
      <w:r w:rsidRPr="00F83FBB">
        <w:rPr>
          <w:rFonts w:ascii="Calibri" w:hAnsi="Calibri"/>
          <w:color w:val="1A1A1A" w:themeColor="background1" w:themeShade="1A"/>
        </w:rPr>
        <w:t xml:space="preserve"> and the working cost of living.</w:t>
      </w:r>
    </w:p>
    <w:p w14:paraId="02FA148E"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When considering the 1980s in a comparison to today, youth work practices show similarities in how economic conditions impact supporting and creating opportunities for young individuals. Key comparisons include:</w:t>
      </w:r>
    </w:p>
    <w:p w14:paraId="4EF34189" w14:textId="77777777" w:rsidR="00213ED1" w:rsidRPr="00F83FBB" w:rsidRDefault="00213ED1" w:rsidP="00213ED1">
      <w:pPr>
        <w:rPr>
          <w:rFonts w:ascii="Calibri" w:hAnsi="Calibri"/>
          <w:color w:val="1A1A1A" w:themeColor="background1" w:themeShade="1A"/>
        </w:rPr>
      </w:pPr>
    </w:p>
    <w:p w14:paraId="6525F63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1. Emphasis on Joblessness</w:t>
      </w:r>
    </w:p>
    <w:p w14:paraId="7C639DD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lastRenderedPageBreak/>
        <w:t>•</w:t>
      </w:r>
      <w:r w:rsidRPr="00F83FBB">
        <w:rPr>
          <w:rFonts w:ascii="Calibri" w:hAnsi="Calibri"/>
          <w:color w:val="1A1A1A" w:themeColor="background1" w:themeShade="1A"/>
        </w:rPr>
        <w:tab/>
        <w:t>1980s: Most of the youth work programs were concentrated on vocational training, apprenticeships, and skills development to address high youth unemployment caused by economic recessions.</w:t>
      </w:r>
    </w:p>
    <w:p w14:paraId="14AAC5E7"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Today: Similar programs focus on enhancing employability through STEM initiatives, digital skills, and entrepreneurship training as young people face precarious gig work and automation threats.</w:t>
      </w:r>
    </w:p>
    <w:p w14:paraId="7676FA5E" w14:textId="77777777" w:rsidR="00213ED1" w:rsidRPr="00F83FBB" w:rsidRDefault="00213ED1" w:rsidP="00213ED1">
      <w:pPr>
        <w:rPr>
          <w:rFonts w:ascii="Calibri" w:hAnsi="Calibri"/>
          <w:color w:val="1A1A1A" w:themeColor="background1" w:themeShade="1A"/>
        </w:rPr>
      </w:pPr>
    </w:p>
    <w:p w14:paraId="4D6FE4FA"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2. Support for Marginalised Youth</w:t>
      </w:r>
    </w:p>
    <w:p w14:paraId="58B03C30"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xml:space="preserve">• 1980s: During this period, youth work concentrated on outreach in poor communities to help bridge the gap economic inequality was causing. Programs were geared toward at-risk youth, with </w:t>
      </w:r>
      <w:proofErr w:type="spellStart"/>
      <w:r w:rsidRPr="00F83FBB">
        <w:rPr>
          <w:rFonts w:ascii="Calibri" w:hAnsi="Calibri"/>
          <w:color w:val="1A1A1A" w:themeColor="background1" w:themeShade="1A"/>
        </w:rPr>
        <w:t>counseling</w:t>
      </w:r>
      <w:proofErr w:type="spellEnd"/>
      <w:r w:rsidRPr="00F83FBB">
        <w:rPr>
          <w:rFonts w:ascii="Calibri" w:hAnsi="Calibri"/>
          <w:color w:val="1A1A1A" w:themeColor="background1" w:themeShade="1A"/>
        </w:rPr>
        <w:t>, mentorship, and crime-preventing activities.</w:t>
      </w:r>
    </w:p>
    <w:p w14:paraId="7C01D074" w14:textId="77777777" w:rsidR="00213ED1" w:rsidRPr="00F83FBB" w:rsidRDefault="00213ED1" w:rsidP="00213ED1">
      <w:pPr>
        <w:rPr>
          <w:rFonts w:ascii="Calibri" w:hAnsi="Calibri"/>
          <w:color w:val="1A1A1A" w:themeColor="background1" w:themeShade="1A"/>
        </w:rPr>
      </w:pPr>
    </w:p>
    <w:p w14:paraId="6CA6FC3B"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The contemporary period: Efforts toward tackling economic inequality continue by focusing on mental health support, social mobility, and diversity inclusion in education and employment opportunities.</w:t>
      </w:r>
    </w:p>
    <w:p w14:paraId="5D275AA5" w14:textId="77777777" w:rsidR="00213ED1" w:rsidRPr="00F83FBB" w:rsidRDefault="00213ED1" w:rsidP="00213ED1">
      <w:pPr>
        <w:rPr>
          <w:rFonts w:ascii="Calibri" w:hAnsi="Calibri"/>
          <w:color w:val="1A1A1A" w:themeColor="background1" w:themeShade="1A"/>
        </w:rPr>
      </w:pPr>
    </w:p>
    <w:p w14:paraId="49CD457B"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3. Empowering Youth Voices</w:t>
      </w:r>
    </w:p>
    <w:p w14:paraId="62EF5BD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1980s: During economic uncertainty, youth workers supported the involvement of young people in activism and advocacy through movements for social justice and equality.</w:t>
      </w:r>
    </w:p>
    <w:p w14:paraId="13A3575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xml:space="preserve"> • Today, participation in decision-making through digital platforms, climate activism, and economic justice has become the focus of youth work practices.</w:t>
      </w:r>
    </w:p>
    <w:p w14:paraId="7C5A97B1"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4. Soft and Transferable Skills</w:t>
      </w:r>
    </w:p>
    <w:p w14:paraId="3A7A6181"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 xml:space="preserve">• 1980s: These programs developed practical competencies such as </w:t>
      </w:r>
      <w:proofErr w:type="spellStart"/>
      <w:r w:rsidRPr="00F83FBB">
        <w:rPr>
          <w:rFonts w:ascii="Calibri" w:hAnsi="Calibri"/>
          <w:color w:val="1A1A1A" w:themeColor="background1" w:themeShade="1A"/>
        </w:rPr>
        <w:t>teamworking</w:t>
      </w:r>
      <w:proofErr w:type="spellEnd"/>
      <w:r w:rsidRPr="00F83FBB">
        <w:rPr>
          <w:rFonts w:ascii="Calibri" w:hAnsi="Calibri"/>
          <w:color w:val="1A1A1A" w:themeColor="background1" w:themeShade="1A"/>
        </w:rPr>
        <w:t>, communications, and resilience which helped adolescents adapt to new economic circumstances.</w:t>
      </w:r>
    </w:p>
    <w:p w14:paraId="03FB639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Today: These skills remain a priority, now tailored for an interconnected, globalised workforce.</w:t>
      </w:r>
    </w:p>
    <w:p w14:paraId="5E293807" w14:textId="77777777" w:rsidR="00213ED1" w:rsidRPr="00F83FBB" w:rsidRDefault="00213ED1" w:rsidP="00213ED1">
      <w:pPr>
        <w:rPr>
          <w:rFonts w:ascii="Calibri" w:hAnsi="Calibri"/>
          <w:color w:val="1A1A1A" w:themeColor="background1" w:themeShade="1A"/>
        </w:rPr>
      </w:pPr>
    </w:p>
    <w:p w14:paraId="6E575502"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Both periods demonstrate the resilience of youth work practices in adapting to economic pressures, with a consistent commitment to addressing inequality and empowering young people for the future.</w:t>
      </w:r>
    </w:p>
    <w:p w14:paraId="27652038" w14:textId="77777777" w:rsidR="00213ED1" w:rsidRPr="00F83FBB" w:rsidRDefault="00213ED1" w:rsidP="00213ED1">
      <w:pPr>
        <w:rPr>
          <w:rFonts w:ascii="Calibri" w:hAnsi="Calibri"/>
          <w:color w:val="1A1A1A" w:themeColor="background1" w:themeShade="1A"/>
        </w:rPr>
      </w:pPr>
    </w:p>
    <w:p w14:paraId="6D91CCCC"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2.</w:t>
      </w:r>
    </w:p>
    <w:p w14:paraId="0D6AA0C1"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lastRenderedPageBreak/>
        <w:tab/>
        <w:t>Identity and Activism:</w:t>
      </w:r>
    </w:p>
    <w:p w14:paraId="4EA5BC2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 Youth activism on climate change, racial justice, and LGBTQ+ rights continues.</w:t>
      </w:r>
    </w:p>
    <w:p w14:paraId="472F9B7A"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 Social media as the modern platform for youth expression, akin to 1980s music and art.</w:t>
      </w:r>
    </w:p>
    <w:p w14:paraId="086C6E77"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Identity and Activism: Youth Work Practices in the 1980s vs. Today</w:t>
      </w:r>
    </w:p>
    <w:p w14:paraId="42D68839"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1.</w:t>
      </w:r>
    </w:p>
    <w:p w14:paraId="3B34C701"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Youth Activism</w:t>
      </w:r>
    </w:p>
    <w:p w14:paraId="72C33219" w14:textId="77777777" w:rsidR="00213ED1" w:rsidRPr="00F83FBB" w:rsidRDefault="00213ED1" w:rsidP="00213ED1">
      <w:pPr>
        <w:rPr>
          <w:rFonts w:ascii="Calibri" w:hAnsi="Calibri"/>
          <w:color w:val="1A1A1A" w:themeColor="background1" w:themeShade="1A"/>
        </w:rPr>
      </w:pPr>
    </w:p>
    <w:p w14:paraId="4565E6E3"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1980s: It supported activism in nuclear disarmament, anti-apartheid, and civil rights.</w:t>
      </w:r>
    </w:p>
    <w:p w14:paraId="71576B67"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Today: These are channeled into climate change, racial justice, and LGBTQ+ rights-the current priorities in society.</w:t>
      </w:r>
    </w:p>
    <w:p w14:paraId="41C03F8F" w14:textId="77777777" w:rsidR="00213ED1" w:rsidRPr="00F83FBB" w:rsidRDefault="00213ED1" w:rsidP="00213ED1">
      <w:pPr>
        <w:rPr>
          <w:rFonts w:ascii="Calibri" w:hAnsi="Calibri"/>
          <w:color w:val="1A1A1A" w:themeColor="background1" w:themeShade="1A"/>
        </w:rPr>
      </w:pPr>
    </w:p>
    <w:p w14:paraId="0753356F"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2.</w:t>
      </w:r>
    </w:p>
    <w:p w14:paraId="1E3586B1"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Creative Expression</w:t>
      </w:r>
    </w:p>
    <w:p w14:paraId="067D03F4" w14:textId="77777777" w:rsidR="00213ED1" w:rsidRPr="00F83FBB" w:rsidRDefault="00213ED1" w:rsidP="00213ED1">
      <w:pPr>
        <w:rPr>
          <w:rFonts w:ascii="Calibri" w:hAnsi="Calibri"/>
          <w:color w:val="1A1A1A" w:themeColor="background1" w:themeShade="1A"/>
        </w:rPr>
      </w:pPr>
    </w:p>
    <w:p w14:paraId="050D5E5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1980s: Music, art, and graffiti were important ways that youth expressed identity and activism.</w:t>
      </w:r>
    </w:p>
    <w:p w14:paraId="6CE8FA02"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Today: Social media becomes the main platform for the youth to organise, express their ideas, and campaign for change.</w:t>
      </w:r>
    </w:p>
    <w:p w14:paraId="40CC06BA" w14:textId="77777777" w:rsidR="00213ED1" w:rsidRPr="00F83FBB" w:rsidRDefault="00213ED1" w:rsidP="00213ED1">
      <w:pPr>
        <w:rPr>
          <w:rFonts w:ascii="Calibri" w:hAnsi="Calibri"/>
          <w:color w:val="1A1A1A" w:themeColor="background1" w:themeShade="1A"/>
        </w:rPr>
      </w:pPr>
    </w:p>
    <w:p w14:paraId="6E2AEBE7"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3.</w:t>
      </w:r>
    </w:p>
    <w:p w14:paraId="7FA8F10E"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Youth-Led Movements</w:t>
      </w:r>
    </w:p>
    <w:p w14:paraId="0F3494C2" w14:textId="77777777" w:rsidR="00213ED1" w:rsidRPr="00F83FBB" w:rsidRDefault="00213ED1" w:rsidP="00213ED1">
      <w:pPr>
        <w:rPr>
          <w:rFonts w:ascii="Calibri" w:hAnsi="Calibri"/>
          <w:color w:val="1A1A1A" w:themeColor="background1" w:themeShade="1A"/>
        </w:rPr>
      </w:pPr>
    </w:p>
    <w:p w14:paraId="6F3B94E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Both eras emphasise empowering youth to lead movements, with youth workers fostering critical thinking and advocacy skills.</w:t>
      </w:r>
    </w:p>
    <w:p w14:paraId="5BCBD46E" w14:textId="77777777" w:rsidR="00213ED1" w:rsidRPr="00F83FBB" w:rsidRDefault="00213ED1" w:rsidP="00213ED1">
      <w:pPr>
        <w:rPr>
          <w:rFonts w:ascii="Calibri" w:hAnsi="Calibri"/>
          <w:color w:val="1A1A1A" w:themeColor="background1" w:themeShade="1A"/>
        </w:rPr>
      </w:pPr>
    </w:p>
    <w:p w14:paraId="35A1657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Youth work evolves to reflect cultural shifts, but its core mission of amplifying youth voices remains constant.</w:t>
      </w:r>
    </w:p>
    <w:p w14:paraId="0BBF4AF9" w14:textId="77777777" w:rsidR="00213ED1" w:rsidRPr="00F83FBB" w:rsidRDefault="00213ED1" w:rsidP="00213ED1">
      <w:pPr>
        <w:rPr>
          <w:rFonts w:ascii="Calibri" w:hAnsi="Calibri"/>
          <w:color w:val="1A1A1A" w:themeColor="background1" w:themeShade="1A"/>
        </w:rPr>
      </w:pPr>
    </w:p>
    <w:p w14:paraId="44ABEEC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lastRenderedPageBreak/>
        <w:tab/>
        <w:t>3.</w:t>
      </w:r>
      <w:r w:rsidRPr="00F83FBB">
        <w:rPr>
          <w:rFonts w:ascii="Calibri" w:hAnsi="Calibri"/>
          <w:color w:val="1A1A1A" w:themeColor="background1" w:themeShade="1A"/>
        </w:rPr>
        <w:tab/>
        <w:t>Technological Influences:</w:t>
      </w:r>
    </w:p>
    <w:p w14:paraId="12F4043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The digital revolution reshaping communication and access to opportunities.</w:t>
      </w:r>
    </w:p>
    <w:p w14:paraId="365357A0"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Increased focus on digital skills in education and Youth Work.</w:t>
      </w:r>
    </w:p>
    <w:p w14:paraId="36556932"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Technological Influences: Youth Work Practices in the 1980s vs. Today</w:t>
      </w:r>
    </w:p>
    <w:p w14:paraId="05B1755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1.</w:t>
      </w:r>
      <w:r w:rsidRPr="00F83FBB">
        <w:rPr>
          <w:rFonts w:ascii="Calibri" w:hAnsi="Calibri"/>
          <w:color w:val="1A1A1A" w:themeColor="background1" w:themeShade="1A"/>
        </w:rPr>
        <w:tab/>
        <w:t>Communication Tools</w:t>
      </w:r>
    </w:p>
    <w:p w14:paraId="03F02E3B" w14:textId="77777777" w:rsidR="00213ED1" w:rsidRPr="00F83FBB" w:rsidRDefault="00213ED1" w:rsidP="00213ED1">
      <w:pPr>
        <w:rPr>
          <w:rFonts w:ascii="Calibri" w:hAnsi="Calibri"/>
          <w:color w:val="1A1A1A" w:themeColor="background1" w:themeShade="1A"/>
        </w:rPr>
      </w:pPr>
    </w:p>
    <w:p w14:paraId="302A3ED0"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1980s: In-person meetings, telephone contact, and printed materials were the routes used to work with young people.</w:t>
      </w:r>
    </w:p>
    <w:p w14:paraId="5FB87FF0"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Today: The dominant elements are digital platforms, social media, and instant messaging, which allow for even wider and speedier reach.</w:t>
      </w:r>
    </w:p>
    <w:p w14:paraId="4410F3E0"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2.</w:t>
      </w:r>
    </w:p>
    <w:p w14:paraId="5968C279"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Opportunities Access</w:t>
      </w:r>
    </w:p>
    <w:p w14:paraId="22F97D97"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1980s: Limited by physical access and conventional networking.</w:t>
      </w:r>
    </w:p>
    <w:p w14:paraId="5853D755"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Today: The shift to online resources and virtual platforms has brought better access to educational, training, and job opportunities.</w:t>
      </w:r>
    </w:p>
    <w:p w14:paraId="2378AAA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3.</w:t>
      </w:r>
    </w:p>
    <w:p w14:paraId="67387DAC"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Focus on Digital Skills</w:t>
      </w:r>
    </w:p>
    <w:p w14:paraId="7D3A0C9E"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1980s: The use of technology in youth work focused on basic computing skills/IT emergent skills.</w:t>
      </w:r>
    </w:p>
    <w:p w14:paraId="37030122"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 xml:space="preserve">Today: Coding, digital literacy, and online safety are </w:t>
      </w:r>
      <w:proofErr w:type="spellStart"/>
      <w:r w:rsidRPr="00F83FBB">
        <w:rPr>
          <w:rFonts w:ascii="Calibri" w:hAnsi="Calibri"/>
          <w:color w:val="1A1A1A" w:themeColor="background1" w:themeShade="1A"/>
        </w:rPr>
        <w:t>emphasized</w:t>
      </w:r>
      <w:proofErr w:type="spellEnd"/>
      <w:r w:rsidRPr="00F83FBB">
        <w:rPr>
          <w:rFonts w:ascii="Calibri" w:hAnsi="Calibri"/>
          <w:color w:val="1A1A1A" w:themeColor="background1" w:themeShade="1A"/>
        </w:rPr>
        <w:t xml:space="preserve"> in programs today, which reflect the demands of the digital economy.</w:t>
      </w:r>
    </w:p>
    <w:p w14:paraId="094F593C" w14:textId="77777777" w:rsidR="00213ED1" w:rsidRPr="00F83FBB" w:rsidRDefault="00213ED1" w:rsidP="00213ED1">
      <w:pPr>
        <w:rPr>
          <w:rFonts w:ascii="Calibri" w:hAnsi="Calibri"/>
          <w:color w:val="1A1A1A" w:themeColor="background1" w:themeShade="1A"/>
        </w:rPr>
      </w:pPr>
    </w:p>
    <w:p w14:paraId="441F0B25"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Youth work has moved on, embracing new technologies to connect, educate, and empower young people.</w:t>
      </w:r>
    </w:p>
    <w:p w14:paraId="75FB54B1" w14:textId="77777777" w:rsidR="00213ED1" w:rsidRPr="00F83FBB" w:rsidRDefault="00213ED1" w:rsidP="00213ED1">
      <w:pPr>
        <w:rPr>
          <w:rFonts w:ascii="Calibri" w:hAnsi="Calibri"/>
          <w:color w:val="1A1A1A" w:themeColor="background1" w:themeShade="1A"/>
        </w:rPr>
      </w:pPr>
    </w:p>
    <w:p w14:paraId="45ED0ABA"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4.</w:t>
      </w:r>
    </w:p>
    <w:p w14:paraId="31C1682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Policy and Support:</w:t>
      </w:r>
    </w:p>
    <w:p w14:paraId="63C546D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Debates over funding for youth services and community programs continue.</w:t>
      </w:r>
    </w:p>
    <w:p w14:paraId="223B28BB"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There is a similar emphasis on employability-focused programs and mental health support.</w:t>
      </w:r>
    </w:p>
    <w:p w14:paraId="52964F1F"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lastRenderedPageBreak/>
        <w:t>Policy and Support: Youth Work Practices in the 1980s vs. Today</w:t>
      </w:r>
    </w:p>
    <w:p w14:paraId="6B66332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1.</w:t>
      </w:r>
    </w:p>
    <w:p w14:paraId="4AC51F4E"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Funding Challenges</w:t>
      </w:r>
    </w:p>
    <w:p w14:paraId="074EDFC3" w14:textId="77777777" w:rsidR="00213ED1" w:rsidRPr="00F83FBB" w:rsidRDefault="00213ED1" w:rsidP="00213ED1">
      <w:pPr>
        <w:rPr>
          <w:rFonts w:ascii="Calibri" w:hAnsi="Calibri"/>
          <w:color w:val="1A1A1A" w:themeColor="background1" w:themeShade="1A"/>
        </w:rPr>
      </w:pPr>
    </w:p>
    <w:p w14:paraId="77EAE8F2"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1980s: Regular debates on cuts to youth services during economic recessions.</w:t>
      </w:r>
    </w:p>
    <w:p w14:paraId="09F7731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xml:space="preserve"> • Today: Similar concerns continue, with youth programs often underfunded despite growing demand.</w:t>
      </w:r>
    </w:p>
    <w:p w14:paraId="750717D6" w14:textId="77777777" w:rsidR="00213ED1" w:rsidRPr="00F83FBB" w:rsidRDefault="00213ED1" w:rsidP="00213ED1">
      <w:pPr>
        <w:rPr>
          <w:rFonts w:ascii="Calibri" w:hAnsi="Calibri"/>
          <w:color w:val="1A1A1A" w:themeColor="background1" w:themeShade="1A"/>
        </w:rPr>
      </w:pPr>
    </w:p>
    <w:p w14:paraId="2C2A6ED2"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2. Employability Programs</w:t>
      </w:r>
    </w:p>
    <w:p w14:paraId="72EA2E5A" w14:textId="77777777" w:rsidR="00213ED1" w:rsidRPr="00F83FBB" w:rsidRDefault="00213ED1" w:rsidP="00213ED1">
      <w:pPr>
        <w:rPr>
          <w:rFonts w:ascii="Calibri" w:hAnsi="Calibri"/>
          <w:color w:val="1A1A1A" w:themeColor="background1" w:themeShade="1A"/>
        </w:rPr>
      </w:pPr>
    </w:p>
    <w:p w14:paraId="1D011827"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1980s: Concentrated on apprenticeships and vocational training to counteract youth unemployment.</w:t>
      </w:r>
    </w:p>
    <w:p w14:paraId="4E084165"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Today: Career readiness is in focus, including digital and entrepreneurial skills.</w:t>
      </w:r>
    </w:p>
    <w:p w14:paraId="2DC1A67F" w14:textId="77777777" w:rsidR="00213ED1" w:rsidRPr="00F83FBB" w:rsidRDefault="00213ED1" w:rsidP="00213ED1">
      <w:pPr>
        <w:rPr>
          <w:rFonts w:ascii="Calibri" w:hAnsi="Calibri"/>
          <w:color w:val="1A1A1A" w:themeColor="background1" w:themeShade="1A"/>
        </w:rPr>
      </w:pPr>
    </w:p>
    <w:p w14:paraId="791D11B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3. Mental Health Support</w:t>
      </w:r>
    </w:p>
    <w:p w14:paraId="6B3D0FBD" w14:textId="77777777" w:rsidR="00213ED1" w:rsidRPr="00F83FBB" w:rsidRDefault="00213ED1" w:rsidP="00213ED1">
      <w:pPr>
        <w:rPr>
          <w:rFonts w:ascii="Calibri" w:hAnsi="Calibri"/>
          <w:color w:val="1A1A1A" w:themeColor="background1" w:themeShade="1A"/>
        </w:rPr>
      </w:pPr>
    </w:p>
    <w:p w14:paraId="2091AE5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 1980s: Youth work provided basic emotional support through group activities and counselling.</w:t>
      </w:r>
    </w:p>
    <w:p w14:paraId="0FD9E9A5"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 xml:space="preserve">Today: Mental health is a core focus, with </w:t>
      </w:r>
      <w:proofErr w:type="spellStart"/>
      <w:r w:rsidRPr="00F83FBB">
        <w:rPr>
          <w:rFonts w:ascii="Calibri" w:hAnsi="Calibri"/>
          <w:color w:val="1A1A1A" w:themeColor="background1" w:themeShade="1A"/>
        </w:rPr>
        <w:t>specialized</w:t>
      </w:r>
      <w:proofErr w:type="spellEnd"/>
      <w:r w:rsidRPr="00F83FBB">
        <w:rPr>
          <w:rFonts w:ascii="Calibri" w:hAnsi="Calibri"/>
          <w:color w:val="1A1A1A" w:themeColor="background1" w:themeShade="1A"/>
        </w:rPr>
        <w:t xml:space="preserve"> programs to address anxiety, depression, and resilience.</w:t>
      </w:r>
    </w:p>
    <w:p w14:paraId="35E50E99" w14:textId="77777777" w:rsidR="00213ED1" w:rsidRPr="00F83FBB" w:rsidRDefault="00213ED1" w:rsidP="00213ED1">
      <w:pPr>
        <w:rPr>
          <w:rFonts w:ascii="Calibri" w:hAnsi="Calibri"/>
          <w:color w:val="1A1A1A" w:themeColor="background1" w:themeShade="1A"/>
        </w:rPr>
      </w:pPr>
    </w:p>
    <w:p w14:paraId="2F6DCB24"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Even though the priorities have changed, the struggle for adequate support and a focus on employability remain at the heart of youth work.</w:t>
      </w:r>
    </w:p>
    <w:p w14:paraId="2216E977" w14:textId="77777777" w:rsidR="00213ED1" w:rsidRPr="00F83FBB" w:rsidRDefault="00213ED1" w:rsidP="00213ED1">
      <w:pPr>
        <w:rPr>
          <w:rFonts w:ascii="Calibri" w:hAnsi="Calibri"/>
          <w:color w:val="1A1A1A" w:themeColor="background1" w:themeShade="1A"/>
        </w:rPr>
      </w:pPr>
    </w:p>
    <w:p w14:paraId="64073559"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Section 6: Messages for Contemporary Youth Work Practice</w:t>
      </w:r>
    </w:p>
    <w:p w14:paraId="03967D3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Listening to the voices of young people to inform policy and program development.</w:t>
      </w:r>
    </w:p>
    <w:p w14:paraId="3F4F41D6"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Balancing targeted interventions with wider community-based initiatives.</w:t>
      </w:r>
    </w:p>
    <w:p w14:paraId="5E9D7CD1"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ab/>
        <w:t>•</w:t>
      </w:r>
      <w:r w:rsidRPr="00F83FBB">
        <w:rPr>
          <w:rFonts w:ascii="Calibri" w:hAnsi="Calibri"/>
          <w:color w:val="1A1A1A" w:themeColor="background1" w:themeShade="1A"/>
        </w:rPr>
        <w:tab/>
        <w:t>Using technology to engage young people within an awareness of risks of digital divides.</w:t>
      </w:r>
    </w:p>
    <w:p w14:paraId="5ACA421B"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lastRenderedPageBreak/>
        <w:t>•</w:t>
      </w:r>
      <w:r w:rsidRPr="00F83FBB">
        <w:rPr>
          <w:rFonts w:ascii="Calibri" w:hAnsi="Calibri"/>
          <w:color w:val="1A1A1A" w:themeColor="background1" w:themeShade="1A"/>
        </w:rPr>
        <w:tab/>
        <w:t>Fostering resilience and skills for young people to navigate economic and social uncertainties.</w:t>
      </w:r>
    </w:p>
    <w:p w14:paraId="1C56DA08"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Contemporary youth work listens to young people for relevant policy and programs. For every focused individual support to groups in need, community-wide inclusive approaches balance support. Technology is thus an important enabling tool, with attention to the necessity of addressing divisions in access, such as digital divides. Skills and resilience assist young people through economic and social challenges, ultimately helping young people to rise to life's risks and opportunities through their life span. Conclusion</w:t>
      </w:r>
    </w:p>
    <w:p w14:paraId="4AF71EAD"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Reflection on the resilience of young people during the 1980s and today.</w:t>
      </w:r>
    </w:p>
    <w:p w14:paraId="0560AE6A"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A call to action for Youth Workers-that even as they draw from the past, they should also innovate towards the future.</w:t>
      </w:r>
    </w:p>
    <w:p w14:paraId="690FCAA2"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w:t>
      </w:r>
      <w:r w:rsidRPr="00F83FBB">
        <w:rPr>
          <w:rFonts w:ascii="Calibri" w:hAnsi="Calibri"/>
          <w:color w:val="1A1A1A" w:themeColor="background1" w:themeShade="1A"/>
        </w:rPr>
        <w:tab/>
        <w:t>The great need for youth to be empowered and spoken up for has always been paramount.</w:t>
      </w:r>
    </w:p>
    <w:p w14:paraId="1DDD968D" w14:textId="77777777" w:rsidR="00213ED1" w:rsidRPr="00F83FBB" w:rsidRDefault="00213ED1" w:rsidP="00213ED1">
      <w:pPr>
        <w:rPr>
          <w:rFonts w:ascii="Calibri" w:hAnsi="Calibri"/>
          <w:color w:val="1A1A1A" w:themeColor="background1" w:themeShade="1A"/>
        </w:rPr>
      </w:pPr>
    </w:p>
    <w:p w14:paraId="58E54FB3" w14:textId="77777777" w:rsidR="00213ED1" w:rsidRPr="00F83FBB" w:rsidRDefault="00213ED1" w:rsidP="00213ED1">
      <w:pPr>
        <w:rPr>
          <w:rFonts w:ascii="Calibri" w:hAnsi="Calibri"/>
          <w:color w:val="1A1A1A" w:themeColor="background1" w:themeShade="1A"/>
        </w:rPr>
      </w:pPr>
      <w:r w:rsidRPr="00F83FBB">
        <w:rPr>
          <w:rFonts w:ascii="Calibri" w:hAnsi="Calibri"/>
          <w:color w:val="1A1A1A" w:themeColor="background1" w:themeShade="1A"/>
        </w:rPr>
        <w:t>The resilience of young people during the 1980s and today underpins their capacity to adapt and thrive in adversity. In the 1980s, young people faced economic uncertainty, social inequality, and political unrest, yet they rose to the challenge through activism, creativity, and community. Today, young people reveal remarkable strength in the face of climate change, social justice, and mental health challenges, many using digital means to amplify their voices. This strength invites youth workers to take lessons from the past while innovating toward the future. Knowledge, added to the lessons from previous decades, has created a new way for youth workers to help support young people better through some of the complexities of modern times. Giving room for young people to lead and speak out shapes a future that is equitable and sustainable.</w:t>
      </w:r>
    </w:p>
    <w:p w14:paraId="1F6A60E5" w14:textId="77777777" w:rsidR="00382E01" w:rsidRPr="00F83FBB" w:rsidRDefault="00382E01">
      <w:pPr>
        <w:rPr>
          <w:rFonts w:ascii="Calibri" w:hAnsi="Calibri"/>
          <w:color w:val="1A1A1A" w:themeColor="background1" w:themeShade="1A"/>
        </w:rPr>
      </w:pPr>
    </w:p>
    <w:sectPr w:rsidR="00382E01" w:rsidRPr="00F83F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8C11C4" w14:textId="77777777" w:rsidR="00967678" w:rsidRDefault="00967678" w:rsidP="00382E01">
      <w:pPr>
        <w:spacing w:after="0" w:line="240" w:lineRule="auto"/>
      </w:pPr>
      <w:r>
        <w:separator/>
      </w:r>
    </w:p>
  </w:endnote>
  <w:endnote w:type="continuationSeparator" w:id="0">
    <w:p w14:paraId="1725D66D" w14:textId="77777777" w:rsidR="00967678" w:rsidRDefault="00967678" w:rsidP="00382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A5094E" w14:textId="77777777" w:rsidR="00967678" w:rsidRDefault="00967678" w:rsidP="00382E01">
      <w:pPr>
        <w:spacing w:after="0" w:line="240" w:lineRule="auto"/>
      </w:pPr>
      <w:r>
        <w:separator/>
      </w:r>
    </w:p>
  </w:footnote>
  <w:footnote w:type="continuationSeparator" w:id="0">
    <w:p w14:paraId="20C764A5" w14:textId="77777777" w:rsidR="00967678" w:rsidRDefault="00967678" w:rsidP="00382E0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A02CBF"/>
    <w:multiLevelType w:val="hybridMultilevel"/>
    <w:tmpl w:val="C2F6EF56"/>
    <w:lvl w:ilvl="0" w:tplc="0809000F">
      <w:start w:val="1"/>
      <w:numFmt w:val="decimal"/>
      <w:lvlText w:val="%1."/>
      <w:lvlJc w:val="left"/>
      <w:pPr>
        <w:ind w:left="775" w:hanging="360"/>
      </w:pPr>
    </w:lvl>
    <w:lvl w:ilvl="1" w:tplc="08090019" w:tentative="1">
      <w:start w:val="1"/>
      <w:numFmt w:val="lowerLetter"/>
      <w:lvlText w:val="%2."/>
      <w:lvlJc w:val="left"/>
      <w:pPr>
        <w:ind w:left="1495" w:hanging="360"/>
      </w:pPr>
    </w:lvl>
    <w:lvl w:ilvl="2" w:tplc="0809001B" w:tentative="1">
      <w:start w:val="1"/>
      <w:numFmt w:val="lowerRoman"/>
      <w:lvlText w:val="%3."/>
      <w:lvlJc w:val="right"/>
      <w:pPr>
        <w:ind w:left="2215" w:hanging="180"/>
      </w:pPr>
    </w:lvl>
    <w:lvl w:ilvl="3" w:tplc="0809000F" w:tentative="1">
      <w:start w:val="1"/>
      <w:numFmt w:val="decimal"/>
      <w:lvlText w:val="%4."/>
      <w:lvlJc w:val="left"/>
      <w:pPr>
        <w:ind w:left="2935" w:hanging="360"/>
      </w:pPr>
    </w:lvl>
    <w:lvl w:ilvl="4" w:tplc="08090019" w:tentative="1">
      <w:start w:val="1"/>
      <w:numFmt w:val="lowerLetter"/>
      <w:lvlText w:val="%5."/>
      <w:lvlJc w:val="left"/>
      <w:pPr>
        <w:ind w:left="3655" w:hanging="360"/>
      </w:pPr>
    </w:lvl>
    <w:lvl w:ilvl="5" w:tplc="0809001B" w:tentative="1">
      <w:start w:val="1"/>
      <w:numFmt w:val="lowerRoman"/>
      <w:lvlText w:val="%6."/>
      <w:lvlJc w:val="right"/>
      <w:pPr>
        <w:ind w:left="4375" w:hanging="180"/>
      </w:pPr>
    </w:lvl>
    <w:lvl w:ilvl="6" w:tplc="0809000F" w:tentative="1">
      <w:start w:val="1"/>
      <w:numFmt w:val="decimal"/>
      <w:lvlText w:val="%7."/>
      <w:lvlJc w:val="left"/>
      <w:pPr>
        <w:ind w:left="5095" w:hanging="360"/>
      </w:pPr>
    </w:lvl>
    <w:lvl w:ilvl="7" w:tplc="08090019" w:tentative="1">
      <w:start w:val="1"/>
      <w:numFmt w:val="lowerLetter"/>
      <w:lvlText w:val="%8."/>
      <w:lvlJc w:val="left"/>
      <w:pPr>
        <w:ind w:left="5815" w:hanging="360"/>
      </w:pPr>
    </w:lvl>
    <w:lvl w:ilvl="8" w:tplc="0809001B" w:tentative="1">
      <w:start w:val="1"/>
      <w:numFmt w:val="lowerRoman"/>
      <w:lvlText w:val="%9."/>
      <w:lvlJc w:val="right"/>
      <w:pPr>
        <w:ind w:left="6535" w:hanging="180"/>
      </w:pPr>
    </w:lvl>
  </w:abstractNum>
  <w:abstractNum w:abstractNumId="1" w15:restartNumberingAfterBreak="0">
    <w:nsid w:val="2B383155"/>
    <w:multiLevelType w:val="hybridMultilevel"/>
    <w:tmpl w:val="AACE0B3C"/>
    <w:lvl w:ilvl="0" w:tplc="0809000F">
      <w:start w:val="1"/>
      <w:numFmt w:val="decimal"/>
      <w:lvlText w:val="%1."/>
      <w:lvlJc w:val="left"/>
      <w:pPr>
        <w:ind w:left="1360" w:hanging="360"/>
      </w:pPr>
    </w:lvl>
    <w:lvl w:ilvl="1" w:tplc="08090019" w:tentative="1">
      <w:start w:val="1"/>
      <w:numFmt w:val="lowerLetter"/>
      <w:lvlText w:val="%2."/>
      <w:lvlJc w:val="left"/>
      <w:pPr>
        <w:ind w:left="2080" w:hanging="360"/>
      </w:pPr>
    </w:lvl>
    <w:lvl w:ilvl="2" w:tplc="0809001B" w:tentative="1">
      <w:start w:val="1"/>
      <w:numFmt w:val="lowerRoman"/>
      <w:lvlText w:val="%3."/>
      <w:lvlJc w:val="right"/>
      <w:pPr>
        <w:ind w:left="2800" w:hanging="180"/>
      </w:pPr>
    </w:lvl>
    <w:lvl w:ilvl="3" w:tplc="0809000F" w:tentative="1">
      <w:start w:val="1"/>
      <w:numFmt w:val="decimal"/>
      <w:lvlText w:val="%4."/>
      <w:lvlJc w:val="left"/>
      <w:pPr>
        <w:ind w:left="3520" w:hanging="360"/>
      </w:pPr>
    </w:lvl>
    <w:lvl w:ilvl="4" w:tplc="08090019" w:tentative="1">
      <w:start w:val="1"/>
      <w:numFmt w:val="lowerLetter"/>
      <w:lvlText w:val="%5."/>
      <w:lvlJc w:val="left"/>
      <w:pPr>
        <w:ind w:left="4240" w:hanging="360"/>
      </w:pPr>
    </w:lvl>
    <w:lvl w:ilvl="5" w:tplc="0809001B" w:tentative="1">
      <w:start w:val="1"/>
      <w:numFmt w:val="lowerRoman"/>
      <w:lvlText w:val="%6."/>
      <w:lvlJc w:val="right"/>
      <w:pPr>
        <w:ind w:left="4960" w:hanging="180"/>
      </w:pPr>
    </w:lvl>
    <w:lvl w:ilvl="6" w:tplc="0809000F" w:tentative="1">
      <w:start w:val="1"/>
      <w:numFmt w:val="decimal"/>
      <w:lvlText w:val="%7."/>
      <w:lvlJc w:val="left"/>
      <w:pPr>
        <w:ind w:left="5680" w:hanging="360"/>
      </w:pPr>
    </w:lvl>
    <w:lvl w:ilvl="7" w:tplc="08090019" w:tentative="1">
      <w:start w:val="1"/>
      <w:numFmt w:val="lowerLetter"/>
      <w:lvlText w:val="%8."/>
      <w:lvlJc w:val="left"/>
      <w:pPr>
        <w:ind w:left="6400" w:hanging="360"/>
      </w:pPr>
    </w:lvl>
    <w:lvl w:ilvl="8" w:tplc="0809001B" w:tentative="1">
      <w:start w:val="1"/>
      <w:numFmt w:val="lowerRoman"/>
      <w:lvlText w:val="%9."/>
      <w:lvlJc w:val="right"/>
      <w:pPr>
        <w:ind w:left="7120" w:hanging="180"/>
      </w:pPr>
    </w:lvl>
  </w:abstractNum>
  <w:abstractNum w:abstractNumId="2" w15:restartNumberingAfterBreak="0">
    <w:nsid w:val="5D486C30"/>
    <w:multiLevelType w:val="hybridMultilevel"/>
    <w:tmpl w:val="B88AF94E"/>
    <w:lvl w:ilvl="0" w:tplc="FFFFFFFF">
      <w:start w:val="1"/>
      <w:numFmt w:val="decimal"/>
      <w:lvlText w:val="%1."/>
      <w:lvlJc w:val="left"/>
      <w:pPr>
        <w:ind w:left="1440" w:hanging="800"/>
      </w:pPr>
      <w:rPr>
        <w:rFonts w:hint="default"/>
      </w:rPr>
    </w:lvl>
    <w:lvl w:ilvl="1" w:tplc="08090019" w:tentative="1">
      <w:start w:val="1"/>
      <w:numFmt w:val="lowerLetter"/>
      <w:lvlText w:val="%2."/>
      <w:lvlJc w:val="left"/>
      <w:pPr>
        <w:ind w:left="1720" w:hanging="360"/>
      </w:pPr>
    </w:lvl>
    <w:lvl w:ilvl="2" w:tplc="0809001B" w:tentative="1">
      <w:start w:val="1"/>
      <w:numFmt w:val="lowerRoman"/>
      <w:lvlText w:val="%3."/>
      <w:lvlJc w:val="right"/>
      <w:pPr>
        <w:ind w:left="2440" w:hanging="180"/>
      </w:pPr>
    </w:lvl>
    <w:lvl w:ilvl="3" w:tplc="0809000F" w:tentative="1">
      <w:start w:val="1"/>
      <w:numFmt w:val="decimal"/>
      <w:lvlText w:val="%4."/>
      <w:lvlJc w:val="left"/>
      <w:pPr>
        <w:ind w:left="3160" w:hanging="360"/>
      </w:pPr>
    </w:lvl>
    <w:lvl w:ilvl="4" w:tplc="08090019" w:tentative="1">
      <w:start w:val="1"/>
      <w:numFmt w:val="lowerLetter"/>
      <w:lvlText w:val="%5."/>
      <w:lvlJc w:val="left"/>
      <w:pPr>
        <w:ind w:left="3880" w:hanging="360"/>
      </w:pPr>
    </w:lvl>
    <w:lvl w:ilvl="5" w:tplc="0809001B" w:tentative="1">
      <w:start w:val="1"/>
      <w:numFmt w:val="lowerRoman"/>
      <w:lvlText w:val="%6."/>
      <w:lvlJc w:val="right"/>
      <w:pPr>
        <w:ind w:left="4600" w:hanging="180"/>
      </w:pPr>
    </w:lvl>
    <w:lvl w:ilvl="6" w:tplc="0809000F" w:tentative="1">
      <w:start w:val="1"/>
      <w:numFmt w:val="decimal"/>
      <w:lvlText w:val="%7."/>
      <w:lvlJc w:val="left"/>
      <w:pPr>
        <w:ind w:left="5320" w:hanging="360"/>
      </w:pPr>
    </w:lvl>
    <w:lvl w:ilvl="7" w:tplc="08090019" w:tentative="1">
      <w:start w:val="1"/>
      <w:numFmt w:val="lowerLetter"/>
      <w:lvlText w:val="%8."/>
      <w:lvlJc w:val="left"/>
      <w:pPr>
        <w:ind w:left="6040" w:hanging="360"/>
      </w:pPr>
    </w:lvl>
    <w:lvl w:ilvl="8" w:tplc="0809001B" w:tentative="1">
      <w:start w:val="1"/>
      <w:numFmt w:val="lowerRoman"/>
      <w:lvlText w:val="%9."/>
      <w:lvlJc w:val="right"/>
      <w:pPr>
        <w:ind w:left="6760" w:hanging="180"/>
      </w:pPr>
    </w:lvl>
  </w:abstractNum>
  <w:num w:numId="1" w16cid:durableId="764226414">
    <w:abstractNumId w:val="2"/>
  </w:num>
  <w:num w:numId="2" w16cid:durableId="1726219053">
    <w:abstractNumId w:val="0"/>
  </w:num>
  <w:num w:numId="3" w16cid:durableId="5860350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E01"/>
    <w:rsid w:val="00120769"/>
    <w:rsid w:val="00213ED1"/>
    <w:rsid w:val="00276592"/>
    <w:rsid w:val="00301669"/>
    <w:rsid w:val="00382E01"/>
    <w:rsid w:val="0038735A"/>
    <w:rsid w:val="003F60C7"/>
    <w:rsid w:val="004256D9"/>
    <w:rsid w:val="0050790D"/>
    <w:rsid w:val="006A4B70"/>
    <w:rsid w:val="007126D3"/>
    <w:rsid w:val="00734E4A"/>
    <w:rsid w:val="00921080"/>
    <w:rsid w:val="0093192C"/>
    <w:rsid w:val="00967678"/>
    <w:rsid w:val="009A1E12"/>
    <w:rsid w:val="009E0C19"/>
    <w:rsid w:val="00A571A3"/>
    <w:rsid w:val="00AE1E2C"/>
    <w:rsid w:val="00C034B8"/>
    <w:rsid w:val="00C074AB"/>
    <w:rsid w:val="00D63FA1"/>
    <w:rsid w:val="00E161AC"/>
    <w:rsid w:val="00E37D2C"/>
    <w:rsid w:val="00EE4142"/>
    <w:rsid w:val="00EF216C"/>
    <w:rsid w:val="00F83FBB"/>
    <w:rsid w:val="00F8470B"/>
    <w:rsid w:val="00FF2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C021AB"/>
  <w15:chartTrackingRefBased/>
  <w15:docId w15:val="{83335436-593B-8246-9B45-3EAD18919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E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E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E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E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E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E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E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E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E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E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E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E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E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E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E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E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E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E01"/>
    <w:rPr>
      <w:rFonts w:eastAsiaTheme="majorEastAsia" w:cstheme="majorBidi"/>
      <w:color w:val="272727" w:themeColor="text1" w:themeTint="D8"/>
    </w:rPr>
  </w:style>
  <w:style w:type="paragraph" w:styleId="Title">
    <w:name w:val="Title"/>
    <w:basedOn w:val="Normal"/>
    <w:next w:val="Normal"/>
    <w:link w:val="TitleChar"/>
    <w:uiPriority w:val="10"/>
    <w:qFormat/>
    <w:rsid w:val="00382E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E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E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E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E01"/>
    <w:pPr>
      <w:spacing w:before="160"/>
      <w:jc w:val="center"/>
    </w:pPr>
    <w:rPr>
      <w:i/>
      <w:iCs/>
      <w:color w:val="404040" w:themeColor="text1" w:themeTint="BF"/>
    </w:rPr>
  </w:style>
  <w:style w:type="character" w:customStyle="1" w:styleId="QuoteChar">
    <w:name w:val="Quote Char"/>
    <w:basedOn w:val="DefaultParagraphFont"/>
    <w:link w:val="Quote"/>
    <w:uiPriority w:val="29"/>
    <w:rsid w:val="00382E01"/>
    <w:rPr>
      <w:i/>
      <w:iCs/>
      <w:color w:val="404040" w:themeColor="text1" w:themeTint="BF"/>
    </w:rPr>
  </w:style>
  <w:style w:type="paragraph" w:styleId="ListParagraph">
    <w:name w:val="List Paragraph"/>
    <w:basedOn w:val="Normal"/>
    <w:uiPriority w:val="34"/>
    <w:qFormat/>
    <w:rsid w:val="00382E01"/>
    <w:pPr>
      <w:ind w:left="720"/>
      <w:contextualSpacing/>
    </w:pPr>
  </w:style>
  <w:style w:type="character" w:styleId="IntenseEmphasis">
    <w:name w:val="Intense Emphasis"/>
    <w:basedOn w:val="DefaultParagraphFont"/>
    <w:uiPriority w:val="21"/>
    <w:qFormat/>
    <w:rsid w:val="00382E01"/>
    <w:rPr>
      <w:i/>
      <w:iCs/>
      <w:color w:val="0F4761" w:themeColor="accent1" w:themeShade="BF"/>
    </w:rPr>
  </w:style>
  <w:style w:type="paragraph" w:styleId="IntenseQuote">
    <w:name w:val="Intense Quote"/>
    <w:basedOn w:val="Normal"/>
    <w:next w:val="Normal"/>
    <w:link w:val="IntenseQuoteChar"/>
    <w:uiPriority w:val="30"/>
    <w:qFormat/>
    <w:rsid w:val="00382E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E01"/>
    <w:rPr>
      <w:i/>
      <w:iCs/>
      <w:color w:val="0F4761" w:themeColor="accent1" w:themeShade="BF"/>
    </w:rPr>
  </w:style>
  <w:style w:type="character" w:styleId="IntenseReference">
    <w:name w:val="Intense Reference"/>
    <w:basedOn w:val="DefaultParagraphFont"/>
    <w:uiPriority w:val="32"/>
    <w:qFormat/>
    <w:rsid w:val="00382E01"/>
    <w:rPr>
      <w:b/>
      <w:bCs/>
      <w:smallCaps/>
      <w:color w:val="0F4761" w:themeColor="accent1" w:themeShade="BF"/>
      <w:spacing w:val="5"/>
    </w:rPr>
  </w:style>
  <w:style w:type="paragraph" w:customStyle="1" w:styleId="p1">
    <w:name w:val="p1"/>
    <w:basedOn w:val="Normal"/>
    <w:rsid w:val="00382E01"/>
    <w:pPr>
      <w:spacing w:after="0" w:line="240" w:lineRule="auto"/>
    </w:pPr>
    <w:rPr>
      <w:rFonts w:ascii=".AppleSystemUIFont" w:hAnsi=".AppleSystemUIFont" w:cs="Times New Roman"/>
      <w:color w:val="FFFFFF"/>
      <w:kern w:val="0"/>
      <w:sz w:val="30"/>
      <w:szCs w:val="30"/>
      <w14:ligatures w14:val="none"/>
    </w:rPr>
  </w:style>
  <w:style w:type="paragraph" w:customStyle="1" w:styleId="p2">
    <w:name w:val="p2"/>
    <w:basedOn w:val="Normal"/>
    <w:rsid w:val="00382E01"/>
    <w:pPr>
      <w:spacing w:after="0" w:line="240" w:lineRule="auto"/>
    </w:pPr>
    <w:rPr>
      <w:rFonts w:ascii=".AppleSystemUIFont" w:hAnsi=".AppleSystemUIFont" w:cs="Times New Roman"/>
      <w:color w:val="FFFFFF"/>
      <w:kern w:val="0"/>
      <w:sz w:val="26"/>
      <w:szCs w:val="26"/>
      <w14:ligatures w14:val="none"/>
    </w:rPr>
  </w:style>
  <w:style w:type="paragraph" w:customStyle="1" w:styleId="p3">
    <w:name w:val="p3"/>
    <w:basedOn w:val="Normal"/>
    <w:rsid w:val="00382E01"/>
    <w:pPr>
      <w:spacing w:after="0" w:line="240" w:lineRule="auto"/>
    </w:pPr>
    <w:rPr>
      <w:rFonts w:ascii=".AppleSystemUIFont" w:hAnsi=".AppleSystemUIFont" w:cs="Times New Roman"/>
      <w:color w:val="FFFFFF"/>
      <w:kern w:val="0"/>
      <w:sz w:val="26"/>
      <w:szCs w:val="26"/>
      <w14:ligatures w14:val="none"/>
    </w:rPr>
  </w:style>
  <w:style w:type="paragraph" w:customStyle="1" w:styleId="p4">
    <w:name w:val="p4"/>
    <w:basedOn w:val="Normal"/>
    <w:rsid w:val="00382E01"/>
    <w:pPr>
      <w:spacing w:after="0" w:line="240" w:lineRule="auto"/>
    </w:pPr>
    <w:rPr>
      <w:rFonts w:ascii="Times New Roman" w:hAnsi="Times New Roman" w:cs="Times New Roman"/>
      <w:kern w:val="0"/>
      <w14:ligatures w14:val="none"/>
    </w:rPr>
  </w:style>
  <w:style w:type="paragraph" w:customStyle="1" w:styleId="p5">
    <w:name w:val="p5"/>
    <w:basedOn w:val="Normal"/>
    <w:rsid w:val="00382E01"/>
    <w:pPr>
      <w:spacing w:before="180" w:after="0" w:line="240" w:lineRule="auto"/>
      <w:ind w:left="195" w:hanging="195"/>
    </w:pPr>
    <w:rPr>
      <w:rFonts w:ascii=".AppleSystemUIFont" w:hAnsi=".AppleSystemUIFont" w:cs="Times New Roman"/>
      <w:color w:val="FFFFFF"/>
      <w:kern w:val="0"/>
      <w:sz w:val="26"/>
      <w:szCs w:val="26"/>
      <w14:ligatures w14:val="none"/>
    </w:rPr>
  </w:style>
  <w:style w:type="paragraph" w:customStyle="1" w:styleId="p6">
    <w:name w:val="p6"/>
    <w:basedOn w:val="Normal"/>
    <w:rsid w:val="00382E01"/>
    <w:pPr>
      <w:spacing w:before="180" w:after="0" w:line="240" w:lineRule="auto"/>
      <w:ind w:left="645" w:hanging="645"/>
    </w:pPr>
    <w:rPr>
      <w:rFonts w:ascii=".AppleSystemUIFont" w:hAnsi=".AppleSystemUIFont" w:cs="Times New Roman"/>
      <w:color w:val="FFFFFF"/>
      <w:kern w:val="0"/>
      <w:sz w:val="26"/>
      <w:szCs w:val="26"/>
      <w14:ligatures w14:val="none"/>
    </w:rPr>
  </w:style>
  <w:style w:type="paragraph" w:customStyle="1" w:styleId="p7">
    <w:name w:val="p7"/>
    <w:basedOn w:val="Normal"/>
    <w:rsid w:val="00382E01"/>
    <w:pPr>
      <w:spacing w:before="180" w:after="0" w:line="240" w:lineRule="auto"/>
      <w:ind w:left="495" w:hanging="495"/>
    </w:pPr>
    <w:rPr>
      <w:rFonts w:ascii=".AppleSystemUIFont" w:hAnsi=".AppleSystemUIFont" w:cs="Times New Roman"/>
      <w:color w:val="FFFFFF"/>
      <w:kern w:val="0"/>
      <w:sz w:val="26"/>
      <w:szCs w:val="26"/>
      <w14:ligatures w14:val="none"/>
    </w:rPr>
  </w:style>
  <w:style w:type="paragraph" w:customStyle="1" w:styleId="p8">
    <w:name w:val="p8"/>
    <w:basedOn w:val="Normal"/>
    <w:rsid w:val="00382E01"/>
    <w:pPr>
      <w:spacing w:before="180" w:after="0" w:line="240" w:lineRule="auto"/>
      <w:ind w:left="345" w:hanging="345"/>
    </w:pPr>
    <w:rPr>
      <w:rFonts w:ascii=".AppleSystemUIFont" w:hAnsi=".AppleSystemUIFont" w:cs="Times New Roman"/>
      <w:color w:val="FFFFFF"/>
      <w:kern w:val="0"/>
      <w:sz w:val="26"/>
      <w:szCs w:val="26"/>
      <w14:ligatures w14:val="none"/>
    </w:rPr>
  </w:style>
  <w:style w:type="character" w:customStyle="1" w:styleId="s1">
    <w:name w:val="s1"/>
    <w:basedOn w:val="DefaultParagraphFont"/>
    <w:rsid w:val="00382E01"/>
    <w:rPr>
      <w:b/>
      <w:bCs/>
      <w:i w:val="0"/>
      <w:iCs w:val="0"/>
      <w:sz w:val="30"/>
      <w:szCs w:val="30"/>
    </w:rPr>
  </w:style>
  <w:style w:type="character" w:customStyle="1" w:styleId="s2">
    <w:name w:val="s2"/>
    <w:basedOn w:val="DefaultParagraphFont"/>
    <w:rsid w:val="00382E01"/>
    <w:rPr>
      <w:rFonts w:ascii="UICTFontTextStyleBody" w:hAnsi="UICTFontTextStyleBody" w:hint="default"/>
      <w:b w:val="0"/>
      <w:bCs w:val="0"/>
      <w:i w:val="0"/>
      <w:iCs w:val="0"/>
      <w:sz w:val="26"/>
      <w:szCs w:val="26"/>
    </w:rPr>
  </w:style>
  <w:style w:type="character" w:customStyle="1" w:styleId="s3">
    <w:name w:val="s3"/>
    <w:basedOn w:val="DefaultParagraphFont"/>
    <w:rsid w:val="00382E01"/>
    <w:rPr>
      <w:rFonts w:ascii="UICTFontTextStyleBody" w:hAnsi="UICTFontTextStyleBody" w:hint="default"/>
      <w:b/>
      <w:bCs/>
      <w:i w:val="0"/>
      <w:iCs w:val="0"/>
      <w:sz w:val="26"/>
      <w:szCs w:val="26"/>
    </w:rPr>
  </w:style>
  <w:style w:type="character" w:customStyle="1" w:styleId="apple-tab-span">
    <w:name w:val="apple-tab-span"/>
    <w:basedOn w:val="DefaultParagraphFont"/>
    <w:rsid w:val="00382E01"/>
  </w:style>
  <w:style w:type="paragraph" w:styleId="Header">
    <w:name w:val="header"/>
    <w:basedOn w:val="Normal"/>
    <w:link w:val="HeaderChar"/>
    <w:uiPriority w:val="99"/>
    <w:unhideWhenUsed/>
    <w:rsid w:val="00382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E01"/>
  </w:style>
  <w:style w:type="paragraph" w:styleId="Footer">
    <w:name w:val="footer"/>
    <w:basedOn w:val="Normal"/>
    <w:link w:val="FooterChar"/>
    <w:uiPriority w:val="99"/>
    <w:unhideWhenUsed/>
    <w:rsid w:val="00382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E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51942">
      <w:marLeft w:val="0"/>
      <w:marRight w:val="0"/>
      <w:marTop w:val="0"/>
      <w:marBottom w:val="0"/>
      <w:divBdr>
        <w:top w:val="none" w:sz="0" w:space="0" w:color="auto"/>
        <w:left w:val="none" w:sz="0" w:space="0" w:color="auto"/>
        <w:bottom w:val="none" w:sz="0" w:space="0" w:color="auto"/>
        <w:right w:val="none" w:sz="0" w:space="0" w:color="auto"/>
      </w:divBdr>
    </w:div>
    <w:div w:id="213977627">
      <w:marLeft w:val="0"/>
      <w:marRight w:val="0"/>
      <w:marTop w:val="0"/>
      <w:marBottom w:val="0"/>
      <w:divBdr>
        <w:top w:val="none" w:sz="0" w:space="0" w:color="auto"/>
        <w:left w:val="none" w:sz="0" w:space="0" w:color="auto"/>
        <w:bottom w:val="none" w:sz="0" w:space="0" w:color="auto"/>
        <w:right w:val="none" w:sz="0" w:space="0" w:color="auto"/>
      </w:divBdr>
      <w:divsChild>
        <w:div w:id="949358688">
          <w:marLeft w:val="0"/>
          <w:marRight w:val="0"/>
          <w:marTop w:val="0"/>
          <w:marBottom w:val="0"/>
          <w:divBdr>
            <w:top w:val="none" w:sz="0" w:space="0" w:color="auto"/>
            <w:left w:val="none" w:sz="0" w:space="0" w:color="auto"/>
            <w:bottom w:val="none" w:sz="0" w:space="0" w:color="auto"/>
            <w:right w:val="none" w:sz="0" w:space="0" w:color="auto"/>
          </w:divBdr>
        </w:div>
      </w:divsChild>
    </w:div>
    <w:div w:id="802426382">
      <w:marLeft w:val="0"/>
      <w:marRight w:val="0"/>
      <w:marTop w:val="0"/>
      <w:marBottom w:val="0"/>
      <w:divBdr>
        <w:top w:val="none" w:sz="0" w:space="0" w:color="auto"/>
        <w:left w:val="none" w:sz="0" w:space="0" w:color="auto"/>
        <w:bottom w:val="none" w:sz="0" w:space="0" w:color="auto"/>
        <w:right w:val="none" w:sz="0" w:space="0" w:color="auto"/>
      </w:divBdr>
    </w:div>
    <w:div w:id="905409586">
      <w:marLeft w:val="0"/>
      <w:marRight w:val="0"/>
      <w:marTop w:val="0"/>
      <w:marBottom w:val="0"/>
      <w:divBdr>
        <w:top w:val="none" w:sz="0" w:space="0" w:color="auto"/>
        <w:left w:val="none" w:sz="0" w:space="0" w:color="auto"/>
        <w:bottom w:val="none" w:sz="0" w:space="0" w:color="auto"/>
        <w:right w:val="none" w:sz="0" w:space="0" w:color="auto"/>
      </w:divBdr>
    </w:div>
    <w:div w:id="936407362">
      <w:marLeft w:val="0"/>
      <w:marRight w:val="0"/>
      <w:marTop w:val="0"/>
      <w:marBottom w:val="0"/>
      <w:divBdr>
        <w:top w:val="none" w:sz="0" w:space="0" w:color="auto"/>
        <w:left w:val="none" w:sz="0" w:space="0" w:color="auto"/>
        <w:bottom w:val="none" w:sz="0" w:space="0" w:color="auto"/>
        <w:right w:val="none" w:sz="0" w:space="0" w:color="auto"/>
      </w:divBdr>
    </w:div>
    <w:div w:id="1241065692">
      <w:marLeft w:val="0"/>
      <w:marRight w:val="0"/>
      <w:marTop w:val="0"/>
      <w:marBottom w:val="0"/>
      <w:divBdr>
        <w:top w:val="none" w:sz="0" w:space="0" w:color="auto"/>
        <w:left w:val="none" w:sz="0" w:space="0" w:color="auto"/>
        <w:bottom w:val="none" w:sz="0" w:space="0" w:color="auto"/>
        <w:right w:val="none" w:sz="0" w:space="0" w:color="auto"/>
      </w:divBdr>
    </w:div>
    <w:div w:id="1332178240">
      <w:marLeft w:val="0"/>
      <w:marRight w:val="0"/>
      <w:marTop w:val="0"/>
      <w:marBottom w:val="0"/>
      <w:divBdr>
        <w:top w:val="none" w:sz="0" w:space="0" w:color="auto"/>
        <w:left w:val="none" w:sz="0" w:space="0" w:color="auto"/>
        <w:bottom w:val="none" w:sz="0" w:space="0" w:color="auto"/>
        <w:right w:val="none" w:sz="0" w:space="0" w:color="auto"/>
      </w:divBdr>
    </w:div>
    <w:div w:id="1519197920">
      <w:marLeft w:val="0"/>
      <w:marRight w:val="0"/>
      <w:marTop w:val="0"/>
      <w:marBottom w:val="0"/>
      <w:divBdr>
        <w:top w:val="none" w:sz="0" w:space="0" w:color="auto"/>
        <w:left w:val="none" w:sz="0" w:space="0" w:color="auto"/>
        <w:bottom w:val="none" w:sz="0" w:space="0" w:color="auto"/>
        <w:right w:val="none" w:sz="0" w:space="0" w:color="auto"/>
      </w:divBdr>
    </w:div>
    <w:div w:id="1549487356">
      <w:marLeft w:val="0"/>
      <w:marRight w:val="0"/>
      <w:marTop w:val="0"/>
      <w:marBottom w:val="0"/>
      <w:divBdr>
        <w:top w:val="none" w:sz="0" w:space="0" w:color="auto"/>
        <w:left w:val="none" w:sz="0" w:space="0" w:color="auto"/>
        <w:bottom w:val="none" w:sz="0" w:space="0" w:color="auto"/>
        <w:right w:val="none" w:sz="0" w:space="0" w:color="auto"/>
      </w:divBdr>
    </w:div>
    <w:div w:id="1572540840">
      <w:marLeft w:val="0"/>
      <w:marRight w:val="0"/>
      <w:marTop w:val="0"/>
      <w:marBottom w:val="0"/>
      <w:divBdr>
        <w:top w:val="none" w:sz="0" w:space="0" w:color="auto"/>
        <w:left w:val="none" w:sz="0" w:space="0" w:color="auto"/>
        <w:bottom w:val="none" w:sz="0" w:space="0" w:color="auto"/>
        <w:right w:val="none" w:sz="0" w:space="0" w:color="auto"/>
      </w:divBdr>
    </w:div>
    <w:div w:id="1621187397">
      <w:marLeft w:val="0"/>
      <w:marRight w:val="0"/>
      <w:marTop w:val="0"/>
      <w:marBottom w:val="0"/>
      <w:divBdr>
        <w:top w:val="none" w:sz="0" w:space="0" w:color="auto"/>
        <w:left w:val="none" w:sz="0" w:space="0" w:color="auto"/>
        <w:bottom w:val="none" w:sz="0" w:space="0" w:color="auto"/>
        <w:right w:val="none" w:sz="0" w:space="0" w:color="auto"/>
      </w:divBdr>
    </w:div>
    <w:div w:id="196781131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2006</Words>
  <Characters>11437</Characters>
  <Application>Microsoft Office Word</Application>
  <DocSecurity>0</DocSecurity>
  <Lines>95</Lines>
  <Paragraphs>26</Paragraphs>
  <ScaleCrop>false</ScaleCrop>
  <Company/>
  <LinksUpToDate>false</LinksUpToDate>
  <CharactersWithSpaces>13417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Russell (2400258)</dc:creator>
  <cp:keywords/>
  <dc:description/>
  <cp:lastModifiedBy>Ella Russell (2400258)</cp:lastModifiedBy>
  <cp:revision>5</cp:revision>
  <dcterms:created xsi:type="dcterms:W3CDTF">2025-01-16T18:26:00Z</dcterms:created>
  <dcterms:modified xsi:type="dcterms:W3CDTF">2025-01-16T18:35:00Z</dcterms:modified>
</cp:coreProperties>
</file>