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108B3" w14:textId="2E7FC33B" w:rsidR="00CF2B62" w:rsidRDefault="00CF2B62" w:rsidP="00450084">
      <w:pPr>
        <w:spacing w:before="480" w:line="360" w:lineRule="auto"/>
        <w:jc w:val="center"/>
        <w:rPr>
          <w:rFonts w:ascii="Times New Roman" w:eastAsia="Times New Roman" w:hAnsi="Times New Roman" w:cs="Times New Roman"/>
          <w:b/>
          <w:sz w:val="40"/>
          <w:szCs w:val="40"/>
        </w:rPr>
      </w:pPr>
      <w:r w:rsidRPr="00CF2B62">
        <w:rPr>
          <w:rFonts w:ascii="Times New Roman" w:eastAsia="Times New Roman" w:hAnsi="Times New Roman" w:cs="Times New Roman"/>
          <w:b/>
          <w:noProof/>
          <w:sz w:val="40"/>
          <w:szCs w:val="40"/>
          <w:lang w:val="en-US" w:eastAsia="en-US"/>
        </w:rPr>
        <w:drawing>
          <wp:inline distT="0" distB="0" distL="0" distR="0" wp14:anchorId="76717251" wp14:editId="793B7CFE">
            <wp:extent cx="3073558" cy="1187511"/>
            <wp:effectExtent l="0" t="0" r="0" b="0"/>
            <wp:docPr id="122929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95916" name=""/>
                    <pic:cNvPicPr/>
                  </pic:nvPicPr>
                  <pic:blipFill>
                    <a:blip r:embed="rId5"/>
                    <a:stretch>
                      <a:fillRect/>
                    </a:stretch>
                  </pic:blipFill>
                  <pic:spPr>
                    <a:xfrm>
                      <a:off x="0" y="0"/>
                      <a:ext cx="3073558" cy="1187511"/>
                    </a:xfrm>
                    <a:prstGeom prst="rect">
                      <a:avLst/>
                    </a:prstGeom>
                  </pic:spPr>
                </pic:pic>
              </a:graphicData>
            </a:graphic>
          </wp:inline>
        </w:drawing>
      </w:r>
    </w:p>
    <w:p w14:paraId="770D72CF" w14:textId="77777777" w:rsidR="00450084" w:rsidRPr="00CF2B62" w:rsidRDefault="00450084" w:rsidP="00450084">
      <w:pPr>
        <w:spacing w:before="480" w:line="360" w:lineRule="auto"/>
        <w:jc w:val="center"/>
        <w:rPr>
          <w:rFonts w:ascii="Times New Roman" w:eastAsia="Times New Roman" w:hAnsi="Times New Roman" w:cs="Times New Roman"/>
          <w:b/>
          <w:sz w:val="40"/>
          <w:szCs w:val="40"/>
        </w:rPr>
      </w:pPr>
    </w:p>
    <w:p w14:paraId="0F9717B5" w14:textId="77777777" w:rsidR="00450084" w:rsidRPr="00C06830" w:rsidRDefault="00450084" w:rsidP="00450084">
      <w:pPr>
        <w:spacing w:line="360" w:lineRule="auto"/>
        <w:jc w:val="center"/>
        <w:rPr>
          <w:rFonts w:ascii="Times New Roman" w:eastAsia="Times New Roman" w:hAnsi="Times New Roman" w:cs="Times New Roman"/>
          <w:sz w:val="24"/>
          <w:szCs w:val="24"/>
        </w:rPr>
      </w:pPr>
      <w:r w:rsidRPr="00C06830">
        <w:rPr>
          <w:rFonts w:ascii="Times New Roman" w:eastAsia="Times New Roman" w:hAnsi="Times New Roman" w:cs="Times New Roman"/>
          <w:b/>
          <w:bCs/>
          <w:color w:val="000000"/>
          <w:sz w:val="32"/>
          <w:szCs w:val="32"/>
        </w:rPr>
        <w:t>Programme: International Hotel Management (BA)</w:t>
      </w:r>
    </w:p>
    <w:p w14:paraId="32753DF7" w14:textId="77777777" w:rsidR="00450084" w:rsidRPr="00C06830" w:rsidRDefault="00450084" w:rsidP="00450084">
      <w:pPr>
        <w:spacing w:line="360" w:lineRule="auto"/>
        <w:rPr>
          <w:rFonts w:ascii="Times New Roman" w:eastAsia="Times New Roman" w:hAnsi="Times New Roman" w:cs="Times New Roman"/>
          <w:sz w:val="24"/>
          <w:szCs w:val="24"/>
        </w:rPr>
      </w:pPr>
    </w:p>
    <w:p w14:paraId="56D703F2" w14:textId="77777777" w:rsidR="00450084" w:rsidRPr="00C06830" w:rsidRDefault="00450084" w:rsidP="00450084">
      <w:pPr>
        <w:spacing w:line="360" w:lineRule="auto"/>
        <w:jc w:val="center"/>
        <w:rPr>
          <w:rFonts w:ascii="Times New Roman" w:eastAsia="Times New Roman" w:hAnsi="Times New Roman" w:cs="Times New Roman"/>
          <w:sz w:val="24"/>
          <w:szCs w:val="24"/>
        </w:rPr>
      </w:pPr>
      <w:r w:rsidRPr="00C06830">
        <w:rPr>
          <w:rFonts w:ascii="Times New Roman" w:eastAsia="Times New Roman" w:hAnsi="Times New Roman" w:cs="Times New Roman"/>
          <w:b/>
          <w:bCs/>
          <w:color w:val="000000"/>
          <w:sz w:val="32"/>
          <w:szCs w:val="32"/>
        </w:rPr>
        <w:t>Module: International Meetings Management for the Hotel Industry</w:t>
      </w:r>
    </w:p>
    <w:p w14:paraId="11BF453E" w14:textId="77777777" w:rsidR="00450084" w:rsidRPr="00C06830" w:rsidRDefault="00450084" w:rsidP="00450084">
      <w:pPr>
        <w:spacing w:line="360" w:lineRule="auto"/>
        <w:rPr>
          <w:rFonts w:ascii="Times New Roman" w:eastAsia="Times New Roman" w:hAnsi="Times New Roman" w:cs="Times New Roman"/>
          <w:sz w:val="24"/>
          <w:szCs w:val="24"/>
        </w:rPr>
      </w:pPr>
    </w:p>
    <w:p w14:paraId="57F7A0DC" w14:textId="71D00555" w:rsidR="00CF2B62" w:rsidRDefault="00450084" w:rsidP="00450084">
      <w:pPr>
        <w:spacing w:after="80" w:line="360" w:lineRule="auto"/>
        <w:jc w:val="center"/>
        <w:rPr>
          <w:rFonts w:ascii="Times New Roman" w:eastAsia="Times New Roman" w:hAnsi="Times New Roman" w:cs="Times New Roman"/>
          <w:b/>
          <w:bCs/>
          <w:color w:val="000000"/>
          <w:sz w:val="32"/>
          <w:szCs w:val="32"/>
        </w:rPr>
      </w:pPr>
      <w:r w:rsidRPr="00C06830">
        <w:rPr>
          <w:rFonts w:ascii="Times New Roman" w:eastAsia="Times New Roman" w:hAnsi="Times New Roman" w:cs="Times New Roman"/>
          <w:b/>
          <w:bCs/>
          <w:color w:val="000000"/>
          <w:sz w:val="32"/>
          <w:szCs w:val="32"/>
        </w:rPr>
        <w:t>Module code: BMIH6007</w:t>
      </w:r>
    </w:p>
    <w:p w14:paraId="5EF87ABE" w14:textId="45B3C06A" w:rsidR="008D15B3" w:rsidRDefault="008D15B3" w:rsidP="00450084">
      <w:pPr>
        <w:spacing w:after="8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 xml:space="preserve">Title: </w:t>
      </w:r>
      <w:r w:rsidRPr="008D15B3">
        <w:rPr>
          <w:rFonts w:ascii="Times New Roman" w:eastAsia="Times New Roman" w:hAnsi="Times New Roman" w:cs="Times New Roman"/>
          <w:b/>
          <w:bCs/>
          <w:color w:val="000000"/>
          <w:sz w:val="32"/>
          <w:szCs w:val="32"/>
        </w:rPr>
        <w:t>Planning and Delivering</w:t>
      </w:r>
      <w:r>
        <w:rPr>
          <w:rFonts w:ascii="Times New Roman" w:eastAsia="Times New Roman" w:hAnsi="Times New Roman" w:cs="Times New Roman"/>
          <w:b/>
          <w:bCs/>
          <w:color w:val="000000"/>
          <w:sz w:val="32"/>
          <w:szCs w:val="32"/>
        </w:rPr>
        <w:t xml:space="preserve"> an International Meeting/Event</w:t>
      </w:r>
    </w:p>
    <w:p w14:paraId="79D127A8" w14:textId="77777777" w:rsidR="00450084" w:rsidRDefault="00450084" w:rsidP="00450084">
      <w:pPr>
        <w:spacing w:after="80" w:line="360" w:lineRule="auto"/>
        <w:jc w:val="center"/>
        <w:rPr>
          <w:rFonts w:ascii="Times New Roman" w:eastAsia="Times New Roman" w:hAnsi="Times New Roman" w:cs="Times New Roman"/>
          <w:b/>
          <w:bCs/>
          <w:color w:val="000000"/>
          <w:sz w:val="32"/>
          <w:szCs w:val="32"/>
        </w:rPr>
      </w:pPr>
    </w:p>
    <w:p w14:paraId="67EB4B45" w14:textId="36BC24C6" w:rsidR="00450084" w:rsidRPr="00ED665A" w:rsidRDefault="00450084" w:rsidP="00450084">
      <w:pPr>
        <w:spacing w:after="80" w:line="360" w:lineRule="auto"/>
        <w:jc w:val="center"/>
        <w:rPr>
          <w:rFonts w:ascii="Times New Roman" w:eastAsia="Times New Roman" w:hAnsi="Times New Roman" w:cs="Times New Roman"/>
          <w:b/>
          <w:bCs/>
          <w:color w:val="000000"/>
          <w:sz w:val="32"/>
          <w:szCs w:val="32"/>
        </w:rPr>
      </w:pPr>
      <w:r w:rsidRPr="00ED665A">
        <w:rPr>
          <w:rFonts w:ascii="Times New Roman" w:eastAsia="Times New Roman" w:hAnsi="Times New Roman" w:cs="Times New Roman"/>
          <w:b/>
          <w:bCs/>
          <w:color w:val="000000"/>
          <w:sz w:val="32"/>
          <w:szCs w:val="32"/>
        </w:rPr>
        <w:t xml:space="preserve">Student Name: </w:t>
      </w:r>
      <w:r w:rsidR="002C1F61">
        <w:rPr>
          <w:rFonts w:ascii="Times New Roman" w:eastAsia="Times New Roman" w:hAnsi="Times New Roman" w:cs="Times New Roman"/>
          <w:b/>
          <w:bCs/>
          <w:color w:val="000000"/>
          <w:sz w:val="32"/>
          <w:szCs w:val="32"/>
        </w:rPr>
        <w:t>Ayesha Siddiqua</w:t>
      </w:r>
    </w:p>
    <w:p w14:paraId="48B37DFE" w14:textId="78FF825F" w:rsidR="00450084" w:rsidRPr="00ED665A" w:rsidRDefault="00450084" w:rsidP="00450084">
      <w:pPr>
        <w:spacing w:after="80" w:line="360" w:lineRule="auto"/>
        <w:jc w:val="center"/>
        <w:rPr>
          <w:rFonts w:ascii="Times New Roman" w:eastAsia="Times New Roman" w:hAnsi="Times New Roman" w:cs="Times New Roman"/>
          <w:b/>
          <w:bCs/>
          <w:color w:val="000000"/>
          <w:sz w:val="32"/>
          <w:szCs w:val="32"/>
        </w:rPr>
      </w:pPr>
      <w:r w:rsidRPr="00ED665A">
        <w:rPr>
          <w:rFonts w:ascii="Times New Roman" w:eastAsia="Times New Roman" w:hAnsi="Times New Roman" w:cs="Times New Roman"/>
          <w:b/>
          <w:bCs/>
          <w:color w:val="000000"/>
          <w:sz w:val="32"/>
          <w:szCs w:val="32"/>
        </w:rPr>
        <w:t>Student ID:</w:t>
      </w:r>
      <w:r w:rsidR="002C1F61">
        <w:rPr>
          <w:rFonts w:ascii="Times New Roman" w:eastAsia="Times New Roman" w:hAnsi="Times New Roman" w:cs="Times New Roman"/>
          <w:b/>
          <w:bCs/>
          <w:color w:val="000000"/>
          <w:sz w:val="32"/>
          <w:szCs w:val="32"/>
        </w:rPr>
        <w:t xml:space="preserve"> 2233548</w:t>
      </w:r>
    </w:p>
    <w:p w14:paraId="14721146" w14:textId="34773763" w:rsidR="00450084" w:rsidRDefault="00ED665A" w:rsidP="00450084">
      <w:pPr>
        <w:spacing w:after="80" w:line="360" w:lineRule="auto"/>
        <w:jc w:val="center"/>
        <w:rPr>
          <w:rFonts w:ascii="Times New Roman" w:eastAsia="Times New Roman" w:hAnsi="Times New Roman" w:cs="Times New Roman"/>
          <w:b/>
          <w:sz w:val="32"/>
          <w:szCs w:val="32"/>
        </w:rPr>
      </w:pPr>
      <w:r w:rsidRPr="00ED665A">
        <w:rPr>
          <w:rFonts w:ascii="Times New Roman" w:eastAsia="Times New Roman" w:hAnsi="Times New Roman" w:cs="Times New Roman"/>
          <w:b/>
          <w:sz w:val="32"/>
          <w:szCs w:val="32"/>
        </w:rPr>
        <w:t>Lecturer’s name:</w:t>
      </w:r>
      <w:r w:rsidR="002C1F61">
        <w:rPr>
          <w:rFonts w:ascii="Times New Roman" w:eastAsia="Times New Roman" w:hAnsi="Times New Roman" w:cs="Times New Roman"/>
          <w:b/>
          <w:sz w:val="32"/>
          <w:szCs w:val="32"/>
        </w:rPr>
        <w:t xml:space="preserve"> </w:t>
      </w:r>
      <w:proofErr w:type="spellStart"/>
      <w:r w:rsidR="002C1F61">
        <w:rPr>
          <w:rFonts w:ascii="Times New Roman" w:eastAsia="Times New Roman" w:hAnsi="Times New Roman" w:cs="Times New Roman"/>
          <w:b/>
          <w:sz w:val="32"/>
          <w:szCs w:val="32"/>
        </w:rPr>
        <w:t>Kethryn</w:t>
      </w:r>
      <w:proofErr w:type="spellEnd"/>
      <w:r w:rsidR="002C1F61">
        <w:rPr>
          <w:rFonts w:ascii="Times New Roman" w:eastAsia="Times New Roman" w:hAnsi="Times New Roman" w:cs="Times New Roman"/>
          <w:b/>
          <w:sz w:val="32"/>
          <w:szCs w:val="32"/>
        </w:rPr>
        <w:t xml:space="preserve"> Flynn</w:t>
      </w:r>
    </w:p>
    <w:p w14:paraId="4AA95DB4" w14:textId="581378F3" w:rsidR="002C1F61" w:rsidRPr="00ED665A" w:rsidRDefault="002C1F61" w:rsidP="00450084">
      <w:pPr>
        <w:spacing w:after="80" w:line="360" w:lineRule="auto"/>
        <w:jc w:val="center"/>
        <w:rPr>
          <w:rFonts w:ascii="Times New Roman" w:eastAsia="Times New Roman" w:hAnsi="Times New Roman" w:cs="Times New Roman"/>
          <w:b/>
          <w:sz w:val="32"/>
          <w:szCs w:val="32"/>
        </w:rPr>
      </w:pPr>
    </w:p>
    <w:p w14:paraId="0C1A813A" w14:textId="638A5C5B" w:rsidR="00056F8D" w:rsidRPr="00CF2B62" w:rsidRDefault="00CF2B62" w:rsidP="00CF2B62">
      <w:pPr>
        <w:rPr>
          <w:rFonts w:ascii="Times New Roman" w:eastAsia="Times New Roman" w:hAnsi="Times New Roman" w:cs="Times New Roman"/>
          <w:b/>
          <w:sz w:val="40"/>
          <w:szCs w:val="40"/>
        </w:rPr>
      </w:pPr>
      <w:r w:rsidRPr="00CF2B62">
        <w:rPr>
          <w:rFonts w:ascii="Times New Roman" w:eastAsia="Times New Roman" w:hAnsi="Times New Roman" w:cs="Times New Roman"/>
          <w:b/>
          <w:sz w:val="40"/>
          <w:szCs w:val="40"/>
        </w:rPr>
        <w:br w:type="page"/>
      </w:r>
    </w:p>
    <w:p w14:paraId="65CC1E90" w14:textId="77777777" w:rsidR="00056F8D" w:rsidRPr="00CF2B62" w:rsidRDefault="00450084">
      <w:pPr>
        <w:pStyle w:val="Heading1"/>
      </w:pPr>
      <w:bookmarkStart w:id="0" w:name="_gdmojsylan7p" w:colFirst="0" w:colLast="0"/>
      <w:bookmarkEnd w:id="0"/>
      <w:r w:rsidRPr="00CF2B62">
        <w:lastRenderedPageBreak/>
        <w:t>1. Introduction</w:t>
      </w:r>
    </w:p>
    <w:p w14:paraId="62BD56FF"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Inclusive Hospitality Summit 2025 is an educational and business forum and ambitiously targeted commercial event in the sphere of the hospitality industry dedicated to EDI. Hospitality is also one of the most diverse industries in the international market, with customers across the globe (Morrison, 2022). However, despite this diversity, issues of the embarkation of diverse people in management positions, physical barriers that lockout guests with disabilities, and hidden discrimination in hiring and serving customers are still felt today. This summit will help to solve these problems due to the organisation of communication on knowledge exchange and partnership between representatives of the hospitality industry, government, and business to build an effective business model for the inclusive approach.</w:t>
      </w:r>
    </w:p>
    <w:p w14:paraId="14BF68EE"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occasion will occur in ExCeL London – a multipurpose exhibition and convention centre which provides barrier-free access for disabled visitors, convenient transport links, and focuses on sustainable development. London is appropriate for hosting the summit because it is the business capital of the world, which attracts a multinational audience (Rogers and Wynn-Moylan, 2022). ExCeL London was constructed to cater for people with different mobility disabilities to have easy access to activities such as there are no stairs to negotiate, Ta loop facility, and sign languages for people with hearing impairment.</w:t>
      </w:r>
    </w:p>
    <w:p w14:paraId="0E292258"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reasons that led to the decision to conduct this event are the increasing pressure from regulatory authorities and consumers, particularly in the area of diversity. The governments of various countries are implementing higher standards of EDI compliance, and customers are demanding companies respect diversity (You, Pleace and Doherty, 2024). Therefore, businesses in the hospitality industry that do not incorporate the aspect of inclusion in their business and promotional models stand to incur a financial loss and damage to their reputations. The Inclusive Hospitality Summit 2025 will provide actionable knowledge, professional advice, and effective tools that companies can apply in order to successfully put into practice and further develop their EDI strategies. Moreover, the event aims to support the United Nations Sustainable Development Goals (UNSDGs) targets, particularly numbers 10 and 8. Thus, the summit participants will gain practical knowledge that will help make the hospitality industry more inclusive.</w:t>
      </w:r>
    </w:p>
    <w:p w14:paraId="5B174011" w14:textId="77777777" w:rsidR="00056F8D" w:rsidRPr="00CF2B62" w:rsidRDefault="00450084">
      <w:pPr>
        <w:pStyle w:val="Heading1"/>
        <w:keepNext w:val="0"/>
        <w:keepLines w:val="0"/>
        <w:spacing w:after="80"/>
      </w:pPr>
      <w:bookmarkStart w:id="1" w:name="_unx08kxvzi2i" w:colFirst="0" w:colLast="0"/>
      <w:bookmarkEnd w:id="1"/>
      <w:r w:rsidRPr="00CF2B62">
        <w:t>2. The Event Cycle</w:t>
      </w:r>
    </w:p>
    <w:p w14:paraId="2601AB90"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lastRenderedPageBreak/>
        <w:t>The Event Cycle is a concept used in event management that helps in the effective conceptualisation, planning, implementation, and assessment of an event. The Goldblatt Event Management Model (2011) identifies the four planning stages within the event cycle.</w:t>
      </w:r>
    </w:p>
    <w:p w14:paraId="291F6F8E"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Concept Development</w:t>
      </w:r>
    </w:p>
    <w:p w14:paraId="360775ED"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This phase involved the organisation of a literature review and interviews to establish the current state of EDI practices and gaps in the hospitality industry. While there is an increasing understanding of the Internet’s potential, many companies remain challenged on the operational level. Studies revealed that a majority of hospitality organisations have no formal policies for access, diversity employment, and inclusion of customers (Kim, Ma and Wang, 2023). Consequently, the concept of the Inclusive Hospitality Summit 2025 was created as solution-oriented to meet these needs.</w:t>
      </w:r>
    </w:p>
    <w:p w14:paraId="5743C8AF"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Planning</w:t>
      </w:r>
    </w:p>
    <w:p w14:paraId="5E76B545"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In this phase, ExCeL London was chosen as a venue because of its good accessibility rating and facilities. Among the important planning activities were the search for corporate sponsors, hospitality associations, and government bodies and the development of an effective marketing campaign to attract the attention of industry professionals. An event schedule was created, and all the topics covered were varied, stimulating, and participative.</w:t>
      </w:r>
    </w:p>
    <w:p w14:paraId="0B14EDCA"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Implementation</w:t>
      </w:r>
    </w:p>
    <w:p w14:paraId="3CF30A11"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This is because logistical instructions will be followed during the event to ensure registration is efficient, coordination of speakers is proper, and accessibility has been efficiently catered for. The event will incorporate the digital technologies of real-time captioning, assistive listening devices, and virtual networking for those joining physically and virtually. For instance, a specially selected staff is tasked with catering, security, and accessibility services to ensure that all guests are accommodated appropriately (Wang, 2024).</w:t>
      </w:r>
    </w:p>
    <w:p w14:paraId="52D6040B"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Evaluation</w:t>
      </w:r>
    </w:p>
    <w:p w14:paraId="7765F9FA"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The event will be evaluated by asking the attendees, analysing the social media profiles for specific keywords, and completing the follow-up surveys. At the end of the event, an impact assessment will be conducted to determine whether the participants have adopted any EDI </w:t>
      </w:r>
      <w:r w:rsidRPr="00CF2B62">
        <w:rPr>
          <w:rFonts w:ascii="Times New Roman" w:eastAsia="Times New Roman" w:hAnsi="Times New Roman" w:cs="Times New Roman"/>
          <w:sz w:val="24"/>
          <w:szCs w:val="24"/>
        </w:rPr>
        <w:lastRenderedPageBreak/>
        <w:t>strategies in their firms. Moreover, there will be a three-month post-program webinar to check the retention of key points and review the steps for creating inclusive practices.</w:t>
      </w:r>
    </w:p>
    <w:p w14:paraId="1E33DFD0" w14:textId="77777777" w:rsidR="00056F8D" w:rsidRPr="00CF2B62" w:rsidRDefault="00450084">
      <w:pPr>
        <w:pStyle w:val="Heading1"/>
        <w:keepNext w:val="0"/>
        <w:keepLines w:val="0"/>
        <w:spacing w:after="80"/>
      </w:pPr>
      <w:bookmarkStart w:id="2" w:name="_htn63sitl6u7" w:colFirst="0" w:colLast="0"/>
      <w:bookmarkEnd w:id="2"/>
      <w:r w:rsidRPr="00CF2B62">
        <w:t>3. Event Concept</w:t>
      </w:r>
    </w:p>
    <w:p w14:paraId="471DE8EE"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Inclusive Hospitality Summit 2025 will be a one-day, intense, focused meeting that aims to provide relevant information and practical solutions to industry professionals on improving the hospitality industry's levels of inclusion.</w:t>
      </w:r>
    </w:p>
    <w:p w14:paraId="617DDF68"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first part of the day involves participating in and registering for the networking breakfast, during which the delegates will be able to discuss key concerns and network with speakers, exhibitors, and other like-minded delegates. The conference begins with the opening keynote speech, which an expert in the hospitality industry will deliver. This will spur discussions of trends, issues, and prospects of inclusivity.</w:t>
      </w:r>
    </w:p>
    <w:p w14:paraId="34F076AB"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event will include several panels and workshops based on such topics:</w:t>
      </w:r>
    </w:p>
    <w:p w14:paraId="08054874" w14:textId="77777777" w:rsidR="00056F8D" w:rsidRPr="00CF2B62" w:rsidRDefault="00450084">
      <w:pPr>
        <w:numPr>
          <w:ilvl w:val="0"/>
          <w:numId w:val="5"/>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Inclusive hiring and leadership strategies</w:t>
      </w:r>
    </w:p>
    <w:p w14:paraId="4DB944CF" w14:textId="77777777" w:rsidR="00056F8D" w:rsidRPr="00CF2B62" w:rsidRDefault="00450084">
      <w:pPr>
        <w:numPr>
          <w:ilvl w:val="0"/>
          <w:numId w:val="5"/>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Designing hospitality spaces for accessibility</w:t>
      </w:r>
    </w:p>
    <w:p w14:paraId="57919BA7" w14:textId="77777777" w:rsidR="00056F8D" w:rsidRPr="00CF2B62" w:rsidRDefault="00450084">
      <w:pPr>
        <w:numPr>
          <w:ilvl w:val="0"/>
          <w:numId w:val="5"/>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potential of combining Artificial Intelligence with technology in order to improve guests’ satisfaction.</w:t>
      </w:r>
    </w:p>
    <w:p w14:paraId="080D4970" w14:textId="77777777" w:rsidR="00056F8D" w:rsidRPr="00CF2B62" w:rsidRDefault="00450084">
      <w:pPr>
        <w:numPr>
          <w:ilvl w:val="0"/>
          <w:numId w:val="5"/>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Present culturally competent training to the employees</w:t>
      </w:r>
    </w:p>
    <w:p w14:paraId="00C6F328"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 technology expo will present digital solutions for diversifying businesses and professions, as well as developments in VR training, AI accessibility applications, and services.</w:t>
      </w:r>
    </w:p>
    <w:p w14:paraId="6B6AF21C"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finale of the event will be the commitment session, during which the businesses will commit to adopting at least one inclusion policy within six months. A government representative will deliver closing remarks that recall key points of the discussion and establish a basis for further cooperation among industry stakeholders.</w:t>
      </w:r>
    </w:p>
    <w:p w14:paraId="00D71F4D" w14:textId="77777777" w:rsidR="00056F8D" w:rsidRPr="00CF2B62" w:rsidRDefault="00056F8D">
      <w:pPr>
        <w:spacing w:line="360" w:lineRule="auto"/>
        <w:jc w:val="both"/>
        <w:rPr>
          <w:rFonts w:ascii="Times New Roman" w:eastAsia="Times New Roman" w:hAnsi="Times New Roman" w:cs="Times New Roman"/>
          <w:sz w:val="24"/>
          <w:szCs w:val="24"/>
        </w:rPr>
      </w:pPr>
    </w:p>
    <w:p w14:paraId="57D8870A" w14:textId="77777777" w:rsidR="00056F8D" w:rsidRPr="00CF2B62" w:rsidRDefault="00450084">
      <w:pPr>
        <w:pStyle w:val="Heading1"/>
      </w:pPr>
      <w:bookmarkStart w:id="3" w:name="_vacys85crg28" w:colFirst="0" w:colLast="0"/>
      <w:bookmarkEnd w:id="3"/>
      <w:r w:rsidRPr="00CF2B62">
        <w:t>4. Aim and Objectives</w:t>
      </w:r>
    </w:p>
    <w:p w14:paraId="28C18212"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main vision of the Inclusive Hospitality Summit 2025 is to achieve tangible advancements in EDI within the hospitality sector by providing businesses with thorough knowledge and actionable plans.</w:t>
      </w:r>
    </w:p>
    <w:p w14:paraId="22A7C003"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In order to accomplish this, the following specific measurable, achievable, realistic and timely objectives have been set:</w:t>
      </w:r>
    </w:p>
    <w:p w14:paraId="187DF3E8" w14:textId="77777777" w:rsidR="00056F8D" w:rsidRPr="00CF2B62" w:rsidRDefault="00450084">
      <w:pPr>
        <w:numPr>
          <w:ilvl w:val="0"/>
          <w:numId w:val="4"/>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lastRenderedPageBreak/>
        <w:t>To raise awareness of at least 500 hospitality professionals about EDI recommendations during keynote speeches, panel discussions, and workshops.</w:t>
      </w:r>
    </w:p>
    <w:p w14:paraId="3302C354" w14:textId="77777777" w:rsidR="00056F8D" w:rsidRPr="00CF2B62" w:rsidRDefault="00450084">
      <w:pPr>
        <w:numPr>
          <w:ilvl w:val="0"/>
          <w:numId w:val="4"/>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To do this, networking goals will be set that entails creating opportunities that will lead to at least 50 new strategic business relations aimed at enhancing the inclusiveness programs.</w:t>
      </w:r>
    </w:p>
    <w:p w14:paraId="0C0C4243" w14:textId="77777777" w:rsidR="00056F8D" w:rsidRPr="00CF2B62" w:rsidRDefault="00450084">
      <w:pPr>
        <w:numPr>
          <w:ilvl w:val="0"/>
          <w:numId w:val="4"/>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To pass on that, not less than seventy per cent of the attendees create and document an acceptable/ measurable EDI plan in their respective organisations within the next six months of attending the event.</w:t>
      </w:r>
    </w:p>
    <w:p w14:paraId="4D56C886" w14:textId="77777777" w:rsidR="00056F8D" w:rsidRPr="00CF2B62" w:rsidRDefault="00056F8D">
      <w:pPr>
        <w:rPr>
          <w:rFonts w:ascii="Times New Roman" w:eastAsia="Times New Roman" w:hAnsi="Times New Roman" w:cs="Times New Roman"/>
          <w:sz w:val="24"/>
          <w:szCs w:val="24"/>
        </w:rPr>
      </w:pPr>
    </w:p>
    <w:p w14:paraId="1557A1C3" w14:textId="77777777" w:rsidR="00056F8D" w:rsidRPr="00CF2B62" w:rsidRDefault="00450084">
      <w:pPr>
        <w:pStyle w:val="Heading1"/>
        <w:keepNext w:val="0"/>
        <w:keepLines w:val="0"/>
        <w:spacing w:after="80"/>
      </w:pPr>
      <w:bookmarkStart w:id="4" w:name="_lql48rtabss5" w:colFirst="0" w:colLast="0"/>
      <w:bookmarkEnd w:id="4"/>
      <w:r w:rsidRPr="00CF2B62">
        <w:t>5. Event Management</w:t>
      </w:r>
    </w:p>
    <w:p w14:paraId="5DE56A96"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That is why organising the Inclusive Hospitality Summit 2025 presupposes strategic planning, effective use of available resources, and professional event management. This kind of event requires considerable planning, marketing, operation, logistical, communication, and technology strategy.</w:t>
      </w:r>
    </w:p>
    <w:p w14:paraId="4536F7E6"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Operational Management</w:t>
      </w:r>
    </w:p>
    <w:p w14:paraId="68D1129C"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Organising an international corporate conference, such as the Inclusive Hospitality Summit 2025, requires working on several components of this major event, including the selection of venues, the organisation of the delegation, security strategies, and accessibility measures (Rogers and Wynn-Moylan, 2022). ExCeL London was selected as it had modern amenities, well connected transport network and high-end technology. An operations personnel will ensure that required preparations of the venue are done, site coordination, and observation of health and safety measures.</w:t>
      </w:r>
    </w:p>
    <w:p w14:paraId="37C3E5A1"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Also, the summit must ensure adequate human resources are available to volunteer for any of the summit roles. These include registration desk services, guest services, media services, technical services, and accommodation services for persons with disabilities. Professional staff will always be on the ground to help those in wheelchairs, in addition to other attendees, thus providing the best experience to all guests.</w:t>
      </w:r>
    </w:p>
    <w:p w14:paraId="714D2E19"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Safety measures are another important factor in an event (World Health Organization, 2021). Since top policymakers and strategists worldwide will attend the summit, security personnel will patrol the facility to control entry and access to guests, address crowds, and provide </w:t>
      </w:r>
      <w:r w:rsidRPr="00CF2B62">
        <w:rPr>
          <w:rFonts w:ascii="Times New Roman" w:eastAsia="Times New Roman" w:hAnsi="Times New Roman" w:cs="Times New Roman"/>
          <w:sz w:val="24"/>
          <w:szCs w:val="24"/>
        </w:rPr>
        <w:lastRenderedPageBreak/>
        <w:t>security evacuation measures. Measures like first aid, emergency exits, and access to safe evacuation routes for persons with disabilities will be available.</w:t>
      </w:r>
    </w:p>
    <w:p w14:paraId="38EE6267"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Marketing and Promotion</w:t>
      </w:r>
    </w:p>
    <w:p w14:paraId="2C41E3DC"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Another important factor is the marketing and promotion agenda because it will determine the uptake of the events and their impact on the industry (Nwagwu and Akintoye, 2024). The promotional campaign will include social media, email, industry media, online advertising, and bloggers/influencers.</w:t>
      </w:r>
    </w:p>
    <w:p w14:paraId="76CF2B9C"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Therefore, the target audience for the summit will be the industry leaders, and the marketing of the event will be based on the following:</w:t>
      </w:r>
    </w:p>
    <w:p w14:paraId="04C904D3" w14:textId="77777777" w:rsidR="00056F8D" w:rsidRPr="00CF2B62" w:rsidRDefault="00450084">
      <w:pPr>
        <w:numPr>
          <w:ilvl w:val="0"/>
          <w:numId w:val="2"/>
        </w:numPr>
        <w:spacing w:before="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Business networking or exclusive access to other hospitality personnel, such as the presidents, managing directors, or CEOs of hospitality organisations.</w:t>
      </w:r>
    </w:p>
    <w:p w14:paraId="2ECABD96" w14:textId="77777777" w:rsidR="00056F8D" w:rsidRPr="00CF2B62" w:rsidRDefault="00450084">
      <w:pPr>
        <w:numPr>
          <w:ilvl w:val="0"/>
          <w:numId w:val="2"/>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This is an opportunity to receive information that has not been published in the public domain, as it is not available in the public domain and is not open to all.</w:t>
      </w:r>
    </w:p>
    <w:p w14:paraId="32D80068" w14:textId="77777777" w:rsidR="00056F8D" w:rsidRPr="00CF2B62" w:rsidRDefault="00450084">
      <w:pPr>
        <w:numPr>
          <w:ilvl w:val="0"/>
          <w:numId w:val="2"/>
        </w:numPr>
        <w:spacing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This means establishing a new perspective on where, when, and how the best accessibility and/or inclusiveness solutions are displayed.</w:t>
      </w:r>
    </w:p>
    <w:p w14:paraId="23945240"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An event website specifically created for the event is a way to have one source for all information regarding the event, including the speakers, registration, and a sneak preview of its contents. In the period leading up to the event, blog posts, webinars, and teaser videos that correspond to the promotion theme would also be published.</w:t>
      </w:r>
    </w:p>
    <w:p w14:paraId="0C242B22" w14:textId="77777777" w:rsidR="00056F8D" w:rsidRPr="00CF2B62" w:rsidRDefault="00450084">
      <w:pPr>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Digital Engagement and Hybrid Participation</w:t>
      </w:r>
    </w:p>
    <w:p w14:paraId="62976E92"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Due to the growing popularity of hybrid events, the summit will incorporate new technologies to cater for people who will attend the event via virtual platforms. There will be live streaming of keynote sessions, live participation in Q&amp;A sessions, virtual networking lounges, and opportunities to use an event app.</w:t>
      </w:r>
    </w:p>
    <w:p w14:paraId="6679D238"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Attendees will have access to:</w:t>
      </w:r>
    </w:p>
    <w:p w14:paraId="6A829FDC" w14:textId="77777777" w:rsidR="00056F8D" w:rsidRPr="00CF2B62" w:rsidRDefault="00450084">
      <w:pPr>
        <w:numPr>
          <w:ilvl w:val="0"/>
          <w:numId w:val="1"/>
        </w:numPr>
        <w:spacing w:before="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On-demand video content of all sessions post-event</w:t>
      </w:r>
    </w:p>
    <w:p w14:paraId="303B9BE1" w14:textId="77777777" w:rsidR="00056F8D" w:rsidRPr="00CF2B62" w:rsidRDefault="00450084">
      <w:pPr>
        <w:numPr>
          <w:ilvl w:val="0"/>
          <w:numId w:val="1"/>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Technical elements of online matchmaking that employ the use of artificial intelligence.</w:t>
      </w:r>
    </w:p>
    <w:p w14:paraId="79D7E239" w14:textId="1D84FB89" w:rsidR="00056F8D" w:rsidRPr="00CF2B62" w:rsidRDefault="00450084">
      <w:pPr>
        <w:numPr>
          <w:ilvl w:val="0"/>
          <w:numId w:val="1"/>
        </w:numPr>
        <w:spacing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Special programs such as opinion polls and discussion forums to </w:t>
      </w:r>
      <w:r w:rsidR="00CF2B62" w:rsidRPr="00CF2B62">
        <w:rPr>
          <w:rFonts w:ascii="Times New Roman" w:eastAsia="Times New Roman" w:hAnsi="Times New Roman" w:cs="Times New Roman"/>
          <w:sz w:val="24"/>
          <w:szCs w:val="24"/>
        </w:rPr>
        <w:t>engage</w:t>
      </w:r>
      <w:r w:rsidRPr="00CF2B62">
        <w:rPr>
          <w:rFonts w:ascii="Times New Roman" w:eastAsia="Times New Roman" w:hAnsi="Times New Roman" w:cs="Times New Roman"/>
          <w:sz w:val="24"/>
          <w:szCs w:val="24"/>
        </w:rPr>
        <w:t xml:space="preserve"> the audience engaged.</w:t>
      </w:r>
    </w:p>
    <w:p w14:paraId="6A0E9C97"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lastRenderedPageBreak/>
        <w:t>A mobile event app is defined as an event application that should enable the delegates to manage the timings of events, such as meetings, exhibition details, and up-to-date information regarding the event they are attending.</w:t>
      </w:r>
    </w:p>
    <w:p w14:paraId="4D9A3EAC" w14:textId="77777777" w:rsidR="00056F8D" w:rsidRPr="00CF2B62" w:rsidRDefault="00450084">
      <w:pPr>
        <w:pStyle w:val="Heading1"/>
      </w:pPr>
      <w:bookmarkStart w:id="5" w:name="_s5d4pgfe8l9y" w:colFirst="0" w:colLast="0"/>
      <w:bookmarkEnd w:id="5"/>
      <w:r w:rsidRPr="00CF2B62">
        <w:t>6. Event Budget</w:t>
      </w:r>
    </w:p>
    <w:p w14:paraId="316322F4"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financial plan is also an important factor in the sustainable development and profitability of the Inclusive Hospitality Summit 2025. The sources of funds to finance the event include ticket sales, sponsorships, exhibitors, and government sponsorship; the costs will consist of hall rental, fee payments to speakers, promotions, facilitation of the physically challenged, and other operational costs.</w:t>
      </w:r>
    </w:p>
    <w:p w14:paraId="4340B5A5" w14:textId="77777777" w:rsidR="00056F8D" w:rsidRPr="00CF2B62" w:rsidRDefault="00450084">
      <w:pPr>
        <w:spacing w:before="280" w:line="360" w:lineRule="auto"/>
        <w:jc w:val="both"/>
        <w:rPr>
          <w:rFonts w:ascii="Times New Roman" w:eastAsia="Times New Roman" w:hAnsi="Times New Roman" w:cs="Times New Roman"/>
          <w:b/>
          <w:i/>
          <w:sz w:val="26"/>
          <w:szCs w:val="26"/>
        </w:rPr>
      </w:pPr>
      <w:r w:rsidRPr="00CF2B62">
        <w:rPr>
          <w:rFonts w:ascii="Times New Roman" w:eastAsia="Times New Roman" w:hAnsi="Times New Roman" w:cs="Times New Roman"/>
          <w:b/>
          <w:i/>
          <w:sz w:val="24"/>
          <w:szCs w:val="24"/>
        </w:rPr>
        <w:t>Projected Revenue</w:t>
      </w:r>
    </w:p>
    <w:tbl>
      <w:tblPr>
        <w:tblStyle w:val="a"/>
        <w:tblW w:w="8880" w:type="dxa"/>
        <w:tblBorders>
          <w:top w:val="nil"/>
          <w:left w:val="nil"/>
          <w:bottom w:val="nil"/>
          <w:right w:val="nil"/>
          <w:insideH w:val="nil"/>
          <w:insideV w:val="nil"/>
        </w:tblBorders>
        <w:tblLayout w:type="fixed"/>
        <w:tblLook w:val="0600" w:firstRow="0" w:lastRow="0" w:firstColumn="0" w:lastColumn="0" w:noHBand="1" w:noVBand="1"/>
      </w:tblPr>
      <w:tblGrid>
        <w:gridCol w:w="3390"/>
        <w:gridCol w:w="5490"/>
      </w:tblGrid>
      <w:tr w:rsidR="00056F8D" w:rsidRPr="00CF2B62" w14:paraId="684C21DA" w14:textId="77777777">
        <w:trPr>
          <w:trHeight w:val="500"/>
        </w:trPr>
        <w:tc>
          <w:tcPr>
            <w:tcW w:w="3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854DF7" w14:textId="77777777" w:rsidR="00056F8D" w:rsidRPr="00CF2B62" w:rsidRDefault="00450084">
            <w:pPr>
              <w:spacing w:line="360" w:lineRule="auto"/>
              <w:jc w:val="center"/>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Revenue Source</w:t>
            </w:r>
          </w:p>
        </w:tc>
        <w:tc>
          <w:tcPr>
            <w:tcW w:w="5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0CBA19" w14:textId="77777777" w:rsidR="00056F8D" w:rsidRPr="00CF2B62" w:rsidRDefault="00450084">
            <w:pPr>
              <w:spacing w:line="360" w:lineRule="auto"/>
              <w:jc w:val="center"/>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Estimated Amount (£)</w:t>
            </w:r>
          </w:p>
        </w:tc>
      </w:tr>
      <w:tr w:rsidR="00056F8D" w:rsidRPr="00CF2B62" w14:paraId="42A489AD" w14:textId="77777777">
        <w:trPr>
          <w:trHeight w:val="500"/>
        </w:trPr>
        <w:tc>
          <w:tcPr>
            <w:tcW w:w="3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BBA10E"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Ticket Sales</w:t>
            </w:r>
          </w:p>
        </w:tc>
        <w:tc>
          <w:tcPr>
            <w:tcW w:w="5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1E6F66"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80,000</w:t>
            </w:r>
          </w:p>
        </w:tc>
      </w:tr>
      <w:tr w:rsidR="00056F8D" w:rsidRPr="00CF2B62" w14:paraId="5C36907E" w14:textId="77777777">
        <w:trPr>
          <w:trHeight w:val="500"/>
        </w:trPr>
        <w:tc>
          <w:tcPr>
            <w:tcW w:w="3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4281CC"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Corporate Sponsorships</w:t>
            </w:r>
          </w:p>
        </w:tc>
        <w:tc>
          <w:tcPr>
            <w:tcW w:w="5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7A41AE"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100,000</w:t>
            </w:r>
          </w:p>
        </w:tc>
      </w:tr>
      <w:tr w:rsidR="00056F8D" w:rsidRPr="00CF2B62" w14:paraId="3F72074B" w14:textId="77777777">
        <w:trPr>
          <w:trHeight w:val="500"/>
        </w:trPr>
        <w:tc>
          <w:tcPr>
            <w:tcW w:w="3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521B46"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Exhibitor Fees</w:t>
            </w:r>
          </w:p>
        </w:tc>
        <w:tc>
          <w:tcPr>
            <w:tcW w:w="5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ED1CAD"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30,000</w:t>
            </w:r>
          </w:p>
        </w:tc>
      </w:tr>
      <w:tr w:rsidR="00056F8D" w:rsidRPr="00CF2B62" w14:paraId="6B0AA0CC" w14:textId="77777777">
        <w:trPr>
          <w:trHeight w:val="500"/>
        </w:trPr>
        <w:tc>
          <w:tcPr>
            <w:tcW w:w="3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8E980C"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Government and Industry Grants</w:t>
            </w:r>
          </w:p>
        </w:tc>
        <w:tc>
          <w:tcPr>
            <w:tcW w:w="5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6BC8FF"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20,000</w:t>
            </w:r>
          </w:p>
        </w:tc>
      </w:tr>
      <w:tr w:rsidR="00056F8D" w:rsidRPr="00CF2B62" w14:paraId="7FE2E5A6" w14:textId="77777777">
        <w:trPr>
          <w:trHeight w:val="500"/>
        </w:trPr>
        <w:tc>
          <w:tcPr>
            <w:tcW w:w="33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C79ADD"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Total Income</w:t>
            </w:r>
          </w:p>
        </w:tc>
        <w:tc>
          <w:tcPr>
            <w:tcW w:w="5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8CC15D"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230,000</w:t>
            </w:r>
          </w:p>
        </w:tc>
      </w:tr>
    </w:tbl>
    <w:p w14:paraId="3E90FB7A" w14:textId="77777777" w:rsidR="00056F8D" w:rsidRPr="00CF2B62" w:rsidRDefault="00450084">
      <w:pPr>
        <w:spacing w:before="28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Projected Expenses</w:t>
      </w:r>
    </w:p>
    <w:tbl>
      <w:tblPr>
        <w:tblStyle w:val="a0"/>
        <w:tblW w:w="8680" w:type="dxa"/>
        <w:tblBorders>
          <w:top w:val="nil"/>
          <w:left w:val="nil"/>
          <w:bottom w:val="nil"/>
          <w:right w:val="nil"/>
          <w:insideH w:val="nil"/>
          <w:insideV w:val="nil"/>
        </w:tblBorders>
        <w:tblLayout w:type="fixed"/>
        <w:tblLook w:val="0600" w:firstRow="0" w:lastRow="0" w:firstColumn="0" w:lastColumn="0" w:noHBand="1" w:noVBand="1"/>
      </w:tblPr>
      <w:tblGrid>
        <w:gridCol w:w="3870"/>
        <w:gridCol w:w="4810"/>
      </w:tblGrid>
      <w:tr w:rsidR="00056F8D" w:rsidRPr="00CF2B62" w14:paraId="0F78716B"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0C5FFE" w14:textId="77777777" w:rsidR="00056F8D" w:rsidRPr="00CF2B62" w:rsidRDefault="00450084">
            <w:pPr>
              <w:spacing w:line="360" w:lineRule="auto"/>
              <w:jc w:val="center"/>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Expense Category</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CB89F7" w14:textId="77777777" w:rsidR="00056F8D" w:rsidRPr="00CF2B62" w:rsidRDefault="00450084">
            <w:pPr>
              <w:spacing w:line="360" w:lineRule="auto"/>
              <w:jc w:val="center"/>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Estimated Cost (£)</w:t>
            </w:r>
          </w:p>
        </w:tc>
      </w:tr>
      <w:tr w:rsidR="00056F8D" w:rsidRPr="00CF2B62" w14:paraId="4552F370"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A3E18D"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Venue Rental</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10A33C"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50,000</w:t>
            </w:r>
          </w:p>
        </w:tc>
      </w:tr>
      <w:tr w:rsidR="00056F8D" w:rsidRPr="00CF2B62" w14:paraId="1B5F232F"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51E3D6"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Speaker Fees &amp; Travel</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9E3B8B"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30,000</w:t>
            </w:r>
          </w:p>
        </w:tc>
      </w:tr>
      <w:tr w:rsidR="00056F8D" w:rsidRPr="00CF2B62" w14:paraId="65166E18"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D573D4"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Catering &amp; Hospitality</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C956DF"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15,000</w:t>
            </w:r>
          </w:p>
        </w:tc>
      </w:tr>
      <w:tr w:rsidR="00056F8D" w:rsidRPr="00CF2B62" w14:paraId="65F351B1"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8A7AB1"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Marketing &amp; Promotion</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91A853"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20,000</w:t>
            </w:r>
          </w:p>
        </w:tc>
      </w:tr>
      <w:tr w:rsidR="00056F8D" w:rsidRPr="00CF2B62" w14:paraId="5B2504C0"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91CF76"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lastRenderedPageBreak/>
              <w:t>Logistics &amp; Accessibility Services</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D0CBBD"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25,000</w:t>
            </w:r>
          </w:p>
        </w:tc>
      </w:tr>
      <w:tr w:rsidR="00056F8D" w:rsidRPr="00CF2B62" w14:paraId="67D7696E"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341397"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Event Staffing</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E05988"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20,000</w:t>
            </w:r>
          </w:p>
        </w:tc>
      </w:tr>
      <w:tr w:rsidR="00056F8D" w:rsidRPr="00CF2B62" w14:paraId="7196FBCB"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F4958D"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Security &amp; Health Services</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1A0DFA"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10,000</w:t>
            </w:r>
          </w:p>
        </w:tc>
      </w:tr>
      <w:tr w:rsidR="00056F8D" w:rsidRPr="00CF2B62" w14:paraId="0DD45E43"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46A1FE"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Digital Technology &amp; Live Streaming</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C161DE"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10,000</w:t>
            </w:r>
          </w:p>
        </w:tc>
      </w:tr>
      <w:tr w:rsidR="00056F8D" w:rsidRPr="00CF2B62" w14:paraId="40DB448B"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30F74C"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Contingency Fund</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8BF8FA"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10,000</w:t>
            </w:r>
          </w:p>
        </w:tc>
      </w:tr>
      <w:tr w:rsidR="00056F8D" w:rsidRPr="00CF2B62" w14:paraId="7DD64D2A" w14:textId="77777777">
        <w:trPr>
          <w:trHeight w:val="500"/>
        </w:trPr>
        <w:tc>
          <w:tcPr>
            <w:tcW w:w="38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E16B67"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Total Expenses</w:t>
            </w:r>
          </w:p>
        </w:tc>
        <w:tc>
          <w:tcPr>
            <w:tcW w:w="48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E21F45" w14:textId="77777777" w:rsidR="00056F8D" w:rsidRPr="00CF2B62" w:rsidRDefault="00450084">
            <w:p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b/>
                <w:sz w:val="24"/>
                <w:szCs w:val="24"/>
              </w:rPr>
              <w:t>190,000</w:t>
            </w:r>
          </w:p>
        </w:tc>
      </w:tr>
    </w:tbl>
    <w:p w14:paraId="215B3FD1" w14:textId="77777777" w:rsidR="00056F8D" w:rsidRPr="00CF2B62" w:rsidRDefault="00450084">
      <w:pPr>
        <w:spacing w:before="28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Analysis of Budget and Funding Sources</w:t>
      </w:r>
    </w:p>
    <w:p w14:paraId="44AC082C"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organiser aims to have a surplus of £ 40,000, which will be invested in future EDI activities, training, and other activities that can support the implementation of inclusion within the business and the industry in general. The sponsorship package will comprise platinum at £50,000, gold at £25,000, and silver at £10,000, with branding benefits, speaking rights, and promotion rights for the sponsors.</w:t>
      </w:r>
    </w:p>
    <w:p w14:paraId="16C25242"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Moreover, the government will seek funding to facilitate accessibility, which will allow attendees with disabilities to participate fully in the event.</w:t>
      </w:r>
    </w:p>
    <w:p w14:paraId="37DA7263" w14:textId="77777777" w:rsidR="00056F8D" w:rsidRPr="00CF2B62" w:rsidRDefault="00450084">
      <w:pPr>
        <w:pStyle w:val="Heading1"/>
      </w:pPr>
      <w:bookmarkStart w:id="6" w:name="_mwm6ucwrvydb" w:colFirst="0" w:colLast="0"/>
      <w:bookmarkEnd w:id="6"/>
      <w:r w:rsidRPr="00CF2B62">
        <w:t>7. Industry Trends, Issues, and Impacts</w:t>
      </w:r>
    </w:p>
    <w:p w14:paraId="52631396"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Current Trends in the Hospitality and Events Industry</w:t>
      </w:r>
    </w:p>
    <w:p w14:paraId="3DF3303E"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The hospitality and event management sector is in the middle of a major transition, one that is inspired by change agents such as sustainability, digital advancement, and equality initiatives (Bladen </w:t>
      </w:r>
      <w:r w:rsidRPr="00CF2B62">
        <w:rPr>
          <w:rFonts w:ascii="Times New Roman" w:eastAsia="Times New Roman" w:hAnsi="Times New Roman" w:cs="Times New Roman"/>
          <w:i/>
          <w:sz w:val="24"/>
          <w:szCs w:val="24"/>
        </w:rPr>
        <w:t>et al.</w:t>
      </w:r>
      <w:r w:rsidRPr="00CF2B62">
        <w:rPr>
          <w:rFonts w:ascii="Times New Roman" w:eastAsia="Times New Roman" w:hAnsi="Times New Roman" w:cs="Times New Roman"/>
          <w:sz w:val="24"/>
          <w:szCs w:val="24"/>
        </w:rPr>
        <w:t xml:space="preserve"> 2022). The following are important trends concerning the Inclusive Hospitality Summit 2025:</w:t>
      </w:r>
    </w:p>
    <w:p w14:paraId="358E90B1"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Increasing Regulatory Requirements for EDI Compliance</w:t>
      </w:r>
    </w:p>
    <w:p w14:paraId="3951ABCB"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It has become possible for the government to introduce more rigid measures of implementing the inclusiveness and diversity principles on the choice of the infrastructure that has to be </w:t>
      </w:r>
      <w:r w:rsidRPr="00CF2B62">
        <w:rPr>
          <w:rFonts w:ascii="Times New Roman" w:eastAsia="Times New Roman" w:hAnsi="Times New Roman" w:cs="Times New Roman"/>
          <w:sz w:val="24"/>
          <w:szCs w:val="24"/>
        </w:rPr>
        <w:lastRenderedPageBreak/>
        <w:t>incorporated in the companies, non-discriminatory policies of employment, and diversity training.</w:t>
      </w:r>
    </w:p>
    <w:p w14:paraId="0D386E41"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The Rise of Hybrid and Digital Events</w:t>
      </w:r>
    </w:p>
    <w:p w14:paraId="48EA6F7B"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COVID-19 further advanced the notion of hybrid events by enabling the combination of remote and live participation, AI-based technologies, and content accessibility.</w:t>
      </w:r>
    </w:p>
    <w:p w14:paraId="64C3A08A"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Consumer Expectations for Social Responsibility</w:t>
      </w:r>
    </w:p>
    <w:p w14:paraId="3FF2CCB0"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 recent trend is that modern customers tend to choose companies that support diversity, inclusion, and the fight against climate change (Sachs and Sachs, 2021). Any organisation that does not embrace such values may lose customers and their loyalty.</w:t>
      </w:r>
    </w:p>
    <w:p w14:paraId="60A34DC2"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Challenges Facing the Hospitality Sector</w:t>
      </w:r>
    </w:p>
    <w:p w14:paraId="73EAF2CD"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Still, there are some problems, like resistance to change issues related to funding, and many of them are due to the non-availability of standard models of EDI on a global level (Raja Santhi and Muthuswamy, 2022). Many businesses still struggle with:</w:t>
      </w:r>
    </w:p>
    <w:p w14:paraId="17718ED2" w14:textId="77777777" w:rsidR="00056F8D" w:rsidRPr="00CF2B62" w:rsidRDefault="00450084">
      <w:pPr>
        <w:numPr>
          <w:ilvl w:val="0"/>
          <w:numId w:val="3"/>
        </w:numPr>
        <w:spacing w:before="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Incorporating inclusive hiring policies</w:t>
      </w:r>
    </w:p>
    <w:p w14:paraId="7A80DAF0" w14:textId="77777777" w:rsidR="00056F8D" w:rsidRPr="00CF2B62" w:rsidRDefault="00450084">
      <w:pPr>
        <w:numPr>
          <w:ilvl w:val="0"/>
          <w:numId w:val="3"/>
        </w:numPr>
        <w:spacing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Providing adequate accessibility accommodations</w:t>
      </w:r>
    </w:p>
    <w:p w14:paraId="3C5C226C" w14:textId="77777777" w:rsidR="00056F8D" w:rsidRPr="00CF2B62" w:rsidRDefault="00450084">
      <w:pPr>
        <w:numPr>
          <w:ilvl w:val="0"/>
          <w:numId w:val="3"/>
        </w:numPr>
        <w:spacing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Incorporation of culture into service provision</w:t>
      </w:r>
    </w:p>
    <w:p w14:paraId="35A15F2E"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Inclusive Hospitality Summit 2025 will help resolve the specific challenges mentioned. It will also help organisations apply innovative solutions that satisfy the requirements of the evolving market.</w:t>
      </w:r>
    </w:p>
    <w:p w14:paraId="0ACD284D" w14:textId="77777777" w:rsidR="00056F8D" w:rsidRPr="00CF2B62" w:rsidRDefault="00450084">
      <w:pPr>
        <w:pStyle w:val="Heading1"/>
        <w:keepNext w:val="0"/>
        <w:keepLines w:val="0"/>
        <w:spacing w:after="80"/>
      </w:pPr>
      <w:bookmarkStart w:id="7" w:name="_ieea9w5og3vc" w:colFirst="0" w:colLast="0"/>
      <w:bookmarkEnd w:id="7"/>
      <w:r w:rsidRPr="00CF2B62">
        <w:t>8. Situational and Cultural Considerations</w:t>
      </w:r>
    </w:p>
    <w:p w14:paraId="7B8FDB79"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 PESTEL analysis of the event was conducted to establish its political, economic, social, technological, environmental, and legal impacts.</w:t>
      </w:r>
    </w:p>
    <w:p w14:paraId="58E3B86D"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Political Factors</w:t>
      </w:r>
    </w:p>
    <w:p w14:paraId="33271706"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Legal factors include the government’s agenda of encouraging workplace diversity and the provision of accessibility regulations that require firms to adhere to EDI standards (Gay, 2022). </w:t>
      </w:r>
      <w:r w:rsidRPr="00CF2B62">
        <w:rPr>
          <w:rFonts w:ascii="Times New Roman" w:eastAsia="Times New Roman" w:hAnsi="Times New Roman" w:cs="Times New Roman"/>
          <w:sz w:val="24"/>
          <w:szCs w:val="24"/>
        </w:rPr>
        <w:lastRenderedPageBreak/>
        <w:t>The presence of equal employment opportunity and the focus on the employment of people with disabilities makes the summit timely in the UK market.</w:t>
      </w:r>
    </w:p>
    <w:p w14:paraId="7DAB0A75"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Economic Factors</w:t>
      </w:r>
    </w:p>
    <w:p w14:paraId="25BD1D12"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Businesses thus have to respond to global economic conditions when making investment plans for inclusivity programs. Nonetheless, research establishes that firms with effective EDI policies achieve better results than rivals in staff turnover, client loyalty, and financial returns.</w:t>
      </w:r>
    </w:p>
    <w:p w14:paraId="63110B09"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Social Factors</w:t>
      </w:r>
    </w:p>
    <w:p w14:paraId="1FE14DC2"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Higher attendance at diverse and inclusive programs is blending with consumer behaviour and shaping company expectations (Kaur</w:t>
      </w:r>
      <w:r w:rsidRPr="00CF2B62">
        <w:rPr>
          <w:rFonts w:ascii="Times New Roman" w:eastAsia="Times New Roman" w:hAnsi="Times New Roman" w:cs="Times New Roman"/>
          <w:i/>
          <w:sz w:val="24"/>
          <w:szCs w:val="24"/>
        </w:rPr>
        <w:t xml:space="preserve"> et al. </w:t>
      </w:r>
      <w:r w:rsidRPr="00CF2B62">
        <w:rPr>
          <w:rFonts w:ascii="Times New Roman" w:eastAsia="Times New Roman" w:hAnsi="Times New Roman" w:cs="Times New Roman"/>
          <w:sz w:val="24"/>
          <w:szCs w:val="24"/>
        </w:rPr>
        <w:t>2024). Now, consumers consciously look for companies that share their values, and thus, EDI is an essential business necessity for the hospitality industry.</w:t>
      </w:r>
    </w:p>
    <w:p w14:paraId="2170DE20"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Technological Factors</w:t>
      </w:r>
    </w:p>
    <w:p w14:paraId="02063284"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The integration of AI accessibility tools, VR-based training facilitating applications, and sophisticated smart hospitality applications are reshaping how the key concept of inclusiveness is practised in the sector. The occasion will allow us to present the most recent technological breakthroughs in making it easier for the physically challenged to navigate the Internet.</w:t>
      </w:r>
    </w:p>
    <w:p w14:paraId="42CCB0F8"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Environmental Factors</w:t>
      </w:r>
    </w:p>
    <w:p w14:paraId="41ADEAB8"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Corporation responsibility is in tandem with sustainability, and companies are adopting many environmental and social responsibility programs. The summit will focus on the principles of sustainable inclusion as a call to meet global standards of ESG (Environmental, Social, and Governance).</w:t>
      </w:r>
    </w:p>
    <w:p w14:paraId="48127068" w14:textId="77777777" w:rsidR="00056F8D" w:rsidRPr="00CF2B62" w:rsidRDefault="00450084">
      <w:pPr>
        <w:spacing w:before="240" w:after="240" w:line="360" w:lineRule="auto"/>
        <w:jc w:val="both"/>
        <w:rPr>
          <w:rFonts w:ascii="Times New Roman" w:eastAsia="Times New Roman" w:hAnsi="Times New Roman" w:cs="Times New Roman"/>
          <w:b/>
          <w:i/>
          <w:sz w:val="24"/>
          <w:szCs w:val="24"/>
        </w:rPr>
      </w:pPr>
      <w:r w:rsidRPr="00CF2B62">
        <w:rPr>
          <w:rFonts w:ascii="Times New Roman" w:eastAsia="Times New Roman" w:hAnsi="Times New Roman" w:cs="Times New Roman"/>
          <w:b/>
          <w:i/>
          <w:sz w:val="24"/>
          <w:szCs w:val="24"/>
        </w:rPr>
        <w:t>Legal Factors</w:t>
      </w:r>
    </w:p>
    <w:p w14:paraId="066F1E47"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A failure to adhere to inclusivity regulations will attract fines, legal consequences, and a tarnished reputation. The summit will offer professional legal advice on the matter of compliance with the EDI laws.</w:t>
      </w:r>
    </w:p>
    <w:p w14:paraId="6FE92AC2"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br w:type="page"/>
      </w:r>
    </w:p>
    <w:p w14:paraId="5F1A51AE" w14:textId="77777777" w:rsidR="00056F8D" w:rsidRPr="00CF2B62" w:rsidRDefault="00450084">
      <w:pPr>
        <w:pStyle w:val="Heading1"/>
      </w:pPr>
      <w:bookmarkStart w:id="8" w:name="_j3wszriftnjw" w:colFirst="0" w:colLast="0"/>
      <w:bookmarkEnd w:id="8"/>
      <w:r w:rsidRPr="00CF2B62">
        <w:lastRenderedPageBreak/>
        <w:t>Reference</w:t>
      </w:r>
    </w:p>
    <w:p w14:paraId="0FBC6E22"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Bladen, C., Kennell, J., Abson, E. and Wilde, N., (2022). </w:t>
      </w:r>
      <w:r w:rsidRPr="00CF2B62">
        <w:rPr>
          <w:rFonts w:ascii="Times New Roman" w:eastAsia="Times New Roman" w:hAnsi="Times New Roman" w:cs="Times New Roman"/>
          <w:i/>
          <w:sz w:val="24"/>
          <w:szCs w:val="24"/>
        </w:rPr>
        <w:t>Events management: An introduction</w:t>
      </w:r>
      <w:r w:rsidRPr="00CF2B62">
        <w:rPr>
          <w:rFonts w:ascii="Times New Roman" w:eastAsia="Times New Roman" w:hAnsi="Times New Roman" w:cs="Times New Roman"/>
          <w:sz w:val="24"/>
          <w:szCs w:val="24"/>
        </w:rPr>
        <w:t>. Routledge.</w:t>
      </w:r>
    </w:p>
    <w:p w14:paraId="4AD9D3BC"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Gay, B.R., (2022). Dimensions in EDI Policy Development: Considerations for Emerging Work Ethics. </w:t>
      </w:r>
      <w:r w:rsidRPr="00CF2B62">
        <w:rPr>
          <w:rFonts w:ascii="Times New Roman" w:eastAsia="Times New Roman" w:hAnsi="Times New Roman" w:cs="Times New Roman"/>
          <w:i/>
          <w:sz w:val="24"/>
          <w:szCs w:val="24"/>
        </w:rPr>
        <w:t>Mainstreaming Diversity, Equity, and Inclusion as Future Workplace Ethics</w:t>
      </w:r>
      <w:r w:rsidRPr="00CF2B62">
        <w:rPr>
          <w:rFonts w:ascii="Times New Roman" w:eastAsia="Times New Roman" w:hAnsi="Times New Roman" w:cs="Times New Roman"/>
          <w:sz w:val="24"/>
          <w:szCs w:val="24"/>
        </w:rPr>
        <w:t>, pp.97-118. Available at:</w:t>
      </w:r>
      <w:hyperlink r:id="rId6" w:anchor="page=122">
        <w:r w:rsidRPr="00CF2B62">
          <w:rPr>
            <w:rFonts w:ascii="Times New Roman" w:eastAsia="Times New Roman" w:hAnsi="Times New Roman" w:cs="Times New Roman"/>
            <w:sz w:val="24"/>
            <w:szCs w:val="24"/>
          </w:rPr>
          <w:t xml:space="preserve"> </w:t>
        </w:r>
      </w:hyperlink>
      <w:hyperlink r:id="rId7" w:anchor="page=122">
        <w:r w:rsidRPr="00CF2B62">
          <w:rPr>
            <w:rFonts w:ascii="Times New Roman" w:eastAsia="Times New Roman" w:hAnsi="Times New Roman" w:cs="Times New Roman"/>
            <w:color w:val="1155CC"/>
            <w:sz w:val="24"/>
            <w:szCs w:val="24"/>
            <w:u w:val="single"/>
          </w:rPr>
          <w:t>https://diversityatlas.io/wp-content/uploads/2023/08/2022-Mainstreaming-Diversity-Equity-and-Inclusion-as-Future-Workplace-Ethics.pdf#page=122</w:t>
        </w:r>
      </w:hyperlink>
      <w:r w:rsidRPr="00CF2B62">
        <w:rPr>
          <w:rFonts w:ascii="Times New Roman" w:eastAsia="Times New Roman" w:hAnsi="Times New Roman" w:cs="Times New Roman"/>
          <w:sz w:val="24"/>
          <w:szCs w:val="24"/>
        </w:rPr>
        <w:t xml:space="preserve"> [Accessed on 30 January 2025]</w:t>
      </w:r>
    </w:p>
    <w:p w14:paraId="219CB4C8"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Kaur, J., Mogaji, E., Paliwal, M., Jha, S., Agarwal, S. and Mogaji, S.A., (2024). Consumer behavior in the metaverse. </w:t>
      </w:r>
      <w:r w:rsidRPr="00CF2B62">
        <w:rPr>
          <w:rFonts w:ascii="Times New Roman" w:eastAsia="Times New Roman" w:hAnsi="Times New Roman" w:cs="Times New Roman"/>
          <w:i/>
          <w:sz w:val="24"/>
          <w:szCs w:val="24"/>
        </w:rPr>
        <w:t>Journal of Consumer Behaviour</w:t>
      </w:r>
      <w:r w:rsidRPr="00CF2B62">
        <w:rPr>
          <w:rFonts w:ascii="Times New Roman" w:eastAsia="Times New Roman" w:hAnsi="Times New Roman" w:cs="Times New Roman"/>
          <w:sz w:val="24"/>
          <w:szCs w:val="24"/>
        </w:rPr>
        <w:t xml:space="preserve">, </w:t>
      </w:r>
      <w:r w:rsidRPr="00CF2B62">
        <w:rPr>
          <w:rFonts w:ascii="Times New Roman" w:eastAsia="Times New Roman" w:hAnsi="Times New Roman" w:cs="Times New Roman"/>
          <w:i/>
          <w:sz w:val="24"/>
          <w:szCs w:val="24"/>
        </w:rPr>
        <w:t>23</w:t>
      </w:r>
      <w:r w:rsidRPr="00CF2B62">
        <w:rPr>
          <w:rFonts w:ascii="Times New Roman" w:eastAsia="Times New Roman" w:hAnsi="Times New Roman" w:cs="Times New Roman"/>
          <w:sz w:val="24"/>
          <w:szCs w:val="24"/>
        </w:rPr>
        <w:t>(4), pp.1720-1738. Available at:</w:t>
      </w:r>
      <w:hyperlink r:id="rId8">
        <w:r w:rsidRPr="00CF2B62">
          <w:rPr>
            <w:rFonts w:ascii="Times New Roman" w:eastAsia="Times New Roman" w:hAnsi="Times New Roman" w:cs="Times New Roman"/>
            <w:sz w:val="24"/>
            <w:szCs w:val="24"/>
          </w:rPr>
          <w:t xml:space="preserve"> </w:t>
        </w:r>
      </w:hyperlink>
      <w:hyperlink r:id="rId9">
        <w:r w:rsidRPr="00CF2B62">
          <w:rPr>
            <w:rFonts w:ascii="Times New Roman" w:eastAsia="Times New Roman" w:hAnsi="Times New Roman" w:cs="Times New Roman"/>
            <w:color w:val="1155CC"/>
            <w:sz w:val="24"/>
            <w:szCs w:val="24"/>
            <w:u w:val="single"/>
          </w:rPr>
          <w:t>https://onlinelibrary.wiley.com/doi/pdfdirect/10.1002/cb.2298</w:t>
        </w:r>
      </w:hyperlink>
      <w:r w:rsidRPr="00CF2B62">
        <w:rPr>
          <w:rFonts w:ascii="Times New Roman" w:eastAsia="Times New Roman" w:hAnsi="Times New Roman" w:cs="Times New Roman"/>
          <w:sz w:val="24"/>
          <w:szCs w:val="24"/>
        </w:rPr>
        <w:t xml:space="preserve"> [Accessed on 30 January 2025]</w:t>
      </w:r>
    </w:p>
    <w:p w14:paraId="13D01C33"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Kim, M.S., Ma, E. and Wang, L., (2023). Work-family supportive benefits, programs, and policies and employee well-being: Implications for the hospitality industry. </w:t>
      </w:r>
      <w:r w:rsidRPr="00CF2B62">
        <w:rPr>
          <w:rFonts w:ascii="Times New Roman" w:eastAsia="Times New Roman" w:hAnsi="Times New Roman" w:cs="Times New Roman"/>
          <w:i/>
          <w:sz w:val="24"/>
          <w:szCs w:val="24"/>
        </w:rPr>
        <w:t>International Journal of Hospitality Management</w:t>
      </w:r>
      <w:r w:rsidRPr="00CF2B62">
        <w:rPr>
          <w:rFonts w:ascii="Times New Roman" w:eastAsia="Times New Roman" w:hAnsi="Times New Roman" w:cs="Times New Roman"/>
          <w:sz w:val="24"/>
          <w:szCs w:val="24"/>
        </w:rPr>
        <w:t xml:space="preserve">, </w:t>
      </w:r>
      <w:r w:rsidRPr="00CF2B62">
        <w:rPr>
          <w:rFonts w:ascii="Times New Roman" w:eastAsia="Times New Roman" w:hAnsi="Times New Roman" w:cs="Times New Roman"/>
          <w:i/>
          <w:sz w:val="24"/>
          <w:szCs w:val="24"/>
        </w:rPr>
        <w:t>108</w:t>
      </w:r>
      <w:r w:rsidRPr="00CF2B62">
        <w:rPr>
          <w:rFonts w:ascii="Times New Roman" w:eastAsia="Times New Roman" w:hAnsi="Times New Roman" w:cs="Times New Roman"/>
          <w:sz w:val="24"/>
          <w:szCs w:val="24"/>
        </w:rPr>
        <w:t>, p.103356. Available at:</w:t>
      </w:r>
      <w:hyperlink r:id="rId10">
        <w:r w:rsidRPr="00CF2B62">
          <w:rPr>
            <w:rFonts w:ascii="Times New Roman" w:eastAsia="Times New Roman" w:hAnsi="Times New Roman" w:cs="Times New Roman"/>
            <w:sz w:val="24"/>
            <w:szCs w:val="24"/>
          </w:rPr>
          <w:t xml:space="preserve"> </w:t>
        </w:r>
      </w:hyperlink>
      <w:hyperlink r:id="rId11">
        <w:r w:rsidRPr="00CF2B62">
          <w:rPr>
            <w:rFonts w:ascii="Times New Roman" w:eastAsia="Times New Roman" w:hAnsi="Times New Roman" w:cs="Times New Roman"/>
            <w:color w:val="1155CC"/>
            <w:sz w:val="24"/>
            <w:szCs w:val="24"/>
            <w:u w:val="single"/>
          </w:rPr>
          <w:t>https://thuvienso.hoasen.edu.vn/bitstream/handle/123456789/14089/Work-family%20supportive%20benefits%2C%20programs%2C%20and%20policies%20and%20employee%20well-being%20Implications%20for%20the%20hospitality%20industry.pdf?sequence=1&amp;isAllowed=y</w:t>
        </w:r>
      </w:hyperlink>
      <w:r w:rsidRPr="00CF2B62">
        <w:rPr>
          <w:rFonts w:ascii="Times New Roman" w:eastAsia="Times New Roman" w:hAnsi="Times New Roman" w:cs="Times New Roman"/>
          <w:sz w:val="24"/>
          <w:szCs w:val="24"/>
        </w:rPr>
        <w:t xml:space="preserve"> [Accessed on 30 January 2025]</w:t>
      </w:r>
    </w:p>
    <w:p w14:paraId="31D68534"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Morrison, A.M., (2022). </w:t>
      </w:r>
      <w:r w:rsidRPr="00CF2B62">
        <w:rPr>
          <w:rFonts w:ascii="Times New Roman" w:eastAsia="Times New Roman" w:hAnsi="Times New Roman" w:cs="Times New Roman"/>
          <w:i/>
          <w:sz w:val="24"/>
          <w:szCs w:val="24"/>
        </w:rPr>
        <w:t>Hospitality and travel marketing</w:t>
      </w:r>
      <w:r w:rsidRPr="00CF2B62">
        <w:rPr>
          <w:rFonts w:ascii="Times New Roman" w:eastAsia="Times New Roman" w:hAnsi="Times New Roman" w:cs="Times New Roman"/>
          <w:sz w:val="24"/>
          <w:szCs w:val="24"/>
        </w:rPr>
        <w:t>. Routledge.</w:t>
      </w:r>
    </w:p>
    <w:p w14:paraId="0DC0E9F8"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Nwagwu, W.E. and Akintoye, A., (2024). Influence of social media on the uptake of emerging musicians and entertainment events. </w:t>
      </w:r>
      <w:r w:rsidRPr="00CF2B62">
        <w:rPr>
          <w:rFonts w:ascii="Times New Roman" w:eastAsia="Times New Roman" w:hAnsi="Times New Roman" w:cs="Times New Roman"/>
          <w:i/>
          <w:sz w:val="24"/>
          <w:szCs w:val="24"/>
        </w:rPr>
        <w:t>Information Development</w:t>
      </w:r>
      <w:r w:rsidRPr="00CF2B62">
        <w:rPr>
          <w:rFonts w:ascii="Times New Roman" w:eastAsia="Times New Roman" w:hAnsi="Times New Roman" w:cs="Times New Roman"/>
          <w:sz w:val="24"/>
          <w:szCs w:val="24"/>
        </w:rPr>
        <w:t xml:space="preserve">, </w:t>
      </w:r>
      <w:r w:rsidRPr="00CF2B62">
        <w:rPr>
          <w:rFonts w:ascii="Times New Roman" w:eastAsia="Times New Roman" w:hAnsi="Times New Roman" w:cs="Times New Roman"/>
          <w:i/>
          <w:sz w:val="24"/>
          <w:szCs w:val="24"/>
        </w:rPr>
        <w:t>40</w:t>
      </w:r>
      <w:r w:rsidRPr="00CF2B62">
        <w:rPr>
          <w:rFonts w:ascii="Times New Roman" w:eastAsia="Times New Roman" w:hAnsi="Times New Roman" w:cs="Times New Roman"/>
          <w:sz w:val="24"/>
          <w:szCs w:val="24"/>
        </w:rPr>
        <w:t>(4), pp.667-692. Available at:</w:t>
      </w:r>
      <w:hyperlink r:id="rId12">
        <w:r w:rsidRPr="00CF2B62">
          <w:rPr>
            <w:rFonts w:ascii="Times New Roman" w:eastAsia="Times New Roman" w:hAnsi="Times New Roman" w:cs="Times New Roman"/>
            <w:sz w:val="24"/>
            <w:szCs w:val="24"/>
          </w:rPr>
          <w:t xml:space="preserve"> </w:t>
        </w:r>
      </w:hyperlink>
      <w:hyperlink r:id="rId13">
        <w:r w:rsidRPr="00CF2B62">
          <w:rPr>
            <w:rFonts w:ascii="Times New Roman" w:eastAsia="Times New Roman" w:hAnsi="Times New Roman" w:cs="Times New Roman"/>
            <w:color w:val="1155CC"/>
            <w:sz w:val="24"/>
            <w:szCs w:val="24"/>
            <w:u w:val="single"/>
          </w:rPr>
          <w:t>https://journals.sagepub.com/doi/pdf/10.1177/02666669221151162</w:t>
        </w:r>
      </w:hyperlink>
      <w:r w:rsidRPr="00CF2B62">
        <w:rPr>
          <w:rFonts w:ascii="Times New Roman" w:eastAsia="Times New Roman" w:hAnsi="Times New Roman" w:cs="Times New Roman"/>
          <w:sz w:val="24"/>
          <w:szCs w:val="24"/>
        </w:rPr>
        <w:t xml:space="preserve"> [Accessed on 30 January 2025]</w:t>
      </w:r>
    </w:p>
    <w:p w14:paraId="3CDC8CE9"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Raja Santhi, A. and Muthuswamy, P., (2022). Pandemic, war, natural calamities, and sustainability: Industry 4.0 technologies to overcome traditional and contemporary supply chain challenges. </w:t>
      </w:r>
      <w:r w:rsidRPr="00CF2B62">
        <w:rPr>
          <w:rFonts w:ascii="Times New Roman" w:eastAsia="Times New Roman" w:hAnsi="Times New Roman" w:cs="Times New Roman"/>
          <w:i/>
          <w:sz w:val="24"/>
          <w:szCs w:val="24"/>
        </w:rPr>
        <w:t>Logistics</w:t>
      </w:r>
      <w:r w:rsidRPr="00CF2B62">
        <w:rPr>
          <w:rFonts w:ascii="Times New Roman" w:eastAsia="Times New Roman" w:hAnsi="Times New Roman" w:cs="Times New Roman"/>
          <w:sz w:val="24"/>
          <w:szCs w:val="24"/>
        </w:rPr>
        <w:t xml:space="preserve">, </w:t>
      </w:r>
      <w:r w:rsidRPr="00CF2B62">
        <w:rPr>
          <w:rFonts w:ascii="Times New Roman" w:eastAsia="Times New Roman" w:hAnsi="Times New Roman" w:cs="Times New Roman"/>
          <w:i/>
          <w:sz w:val="24"/>
          <w:szCs w:val="24"/>
        </w:rPr>
        <w:t>6</w:t>
      </w:r>
      <w:r w:rsidRPr="00CF2B62">
        <w:rPr>
          <w:rFonts w:ascii="Times New Roman" w:eastAsia="Times New Roman" w:hAnsi="Times New Roman" w:cs="Times New Roman"/>
          <w:sz w:val="24"/>
          <w:szCs w:val="24"/>
        </w:rPr>
        <w:t>(4), p.81. Available at:</w:t>
      </w:r>
      <w:hyperlink r:id="rId14">
        <w:r w:rsidRPr="00CF2B62">
          <w:rPr>
            <w:rFonts w:ascii="Times New Roman" w:eastAsia="Times New Roman" w:hAnsi="Times New Roman" w:cs="Times New Roman"/>
            <w:sz w:val="24"/>
            <w:szCs w:val="24"/>
          </w:rPr>
          <w:t xml:space="preserve"> </w:t>
        </w:r>
      </w:hyperlink>
      <w:hyperlink r:id="rId15">
        <w:r w:rsidRPr="00CF2B62">
          <w:rPr>
            <w:rFonts w:ascii="Times New Roman" w:eastAsia="Times New Roman" w:hAnsi="Times New Roman" w:cs="Times New Roman"/>
            <w:color w:val="1155CC"/>
            <w:sz w:val="24"/>
            <w:szCs w:val="24"/>
            <w:u w:val="single"/>
          </w:rPr>
          <w:t>https://www.mdpi.com/2305-6290/6/4/81/pdf</w:t>
        </w:r>
      </w:hyperlink>
      <w:r w:rsidRPr="00CF2B62">
        <w:rPr>
          <w:rFonts w:ascii="Times New Roman" w:eastAsia="Times New Roman" w:hAnsi="Times New Roman" w:cs="Times New Roman"/>
          <w:sz w:val="24"/>
          <w:szCs w:val="24"/>
        </w:rPr>
        <w:t xml:space="preserve"> [Accessed on 30 January 2025]</w:t>
      </w:r>
    </w:p>
    <w:p w14:paraId="74169ADC"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lastRenderedPageBreak/>
        <w:t xml:space="preserve">Rogers, T. and Wynn-Moylan, P., (2022). </w:t>
      </w:r>
      <w:r w:rsidRPr="00CF2B62">
        <w:rPr>
          <w:rFonts w:ascii="Times New Roman" w:eastAsia="Times New Roman" w:hAnsi="Times New Roman" w:cs="Times New Roman"/>
          <w:i/>
          <w:sz w:val="24"/>
          <w:szCs w:val="24"/>
        </w:rPr>
        <w:t>Conferences and conventions: A global industry</w:t>
      </w:r>
      <w:r w:rsidRPr="00CF2B62">
        <w:rPr>
          <w:rFonts w:ascii="Times New Roman" w:eastAsia="Times New Roman" w:hAnsi="Times New Roman" w:cs="Times New Roman"/>
          <w:sz w:val="24"/>
          <w:szCs w:val="24"/>
        </w:rPr>
        <w:t>. Routledge.</w:t>
      </w:r>
    </w:p>
    <w:p w14:paraId="223FF06C"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Rogers, T. and Wynn-Moylan, P., (2022). </w:t>
      </w:r>
      <w:r w:rsidRPr="00CF2B62">
        <w:rPr>
          <w:rFonts w:ascii="Times New Roman" w:eastAsia="Times New Roman" w:hAnsi="Times New Roman" w:cs="Times New Roman"/>
          <w:i/>
          <w:sz w:val="24"/>
          <w:szCs w:val="24"/>
        </w:rPr>
        <w:t>Conferences and conventions: A global industry</w:t>
      </w:r>
      <w:r w:rsidRPr="00CF2B62">
        <w:rPr>
          <w:rFonts w:ascii="Times New Roman" w:eastAsia="Times New Roman" w:hAnsi="Times New Roman" w:cs="Times New Roman"/>
          <w:sz w:val="24"/>
          <w:szCs w:val="24"/>
        </w:rPr>
        <w:t>. Routledge.</w:t>
      </w:r>
    </w:p>
    <w:p w14:paraId="09F71483"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Sachs, J.D. and Sachs, L.E., (2021). Business alignment for the “Decade of Action”. </w:t>
      </w:r>
      <w:r w:rsidRPr="00CF2B62">
        <w:rPr>
          <w:rFonts w:ascii="Times New Roman" w:eastAsia="Times New Roman" w:hAnsi="Times New Roman" w:cs="Times New Roman"/>
          <w:i/>
          <w:sz w:val="24"/>
          <w:szCs w:val="24"/>
        </w:rPr>
        <w:t>Journal of International Business Policy</w:t>
      </w:r>
      <w:r w:rsidRPr="00CF2B62">
        <w:rPr>
          <w:rFonts w:ascii="Times New Roman" w:eastAsia="Times New Roman" w:hAnsi="Times New Roman" w:cs="Times New Roman"/>
          <w:sz w:val="24"/>
          <w:szCs w:val="24"/>
        </w:rPr>
        <w:t xml:space="preserve">, </w:t>
      </w:r>
      <w:r w:rsidRPr="00CF2B62">
        <w:rPr>
          <w:rFonts w:ascii="Times New Roman" w:eastAsia="Times New Roman" w:hAnsi="Times New Roman" w:cs="Times New Roman"/>
          <w:i/>
          <w:sz w:val="24"/>
          <w:szCs w:val="24"/>
        </w:rPr>
        <w:t>4</w:t>
      </w:r>
      <w:r w:rsidRPr="00CF2B62">
        <w:rPr>
          <w:rFonts w:ascii="Times New Roman" w:eastAsia="Times New Roman" w:hAnsi="Times New Roman" w:cs="Times New Roman"/>
          <w:sz w:val="24"/>
          <w:szCs w:val="24"/>
        </w:rPr>
        <w:t>(1), pp.22-27. Available at:</w:t>
      </w:r>
      <w:hyperlink r:id="rId16">
        <w:r w:rsidRPr="00CF2B62">
          <w:rPr>
            <w:rFonts w:ascii="Times New Roman" w:eastAsia="Times New Roman" w:hAnsi="Times New Roman" w:cs="Times New Roman"/>
            <w:sz w:val="24"/>
            <w:szCs w:val="24"/>
          </w:rPr>
          <w:t xml:space="preserve"> </w:t>
        </w:r>
      </w:hyperlink>
      <w:hyperlink r:id="rId17">
        <w:r w:rsidRPr="00CF2B62">
          <w:rPr>
            <w:rFonts w:ascii="Times New Roman" w:eastAsia="Times New Roman" w:hAnsi="Times New Roman" w:cs="Times New Roman"/>
            <w:color w:val="1155CC"/>
            <w:sz w:val="24"/>
            <w:szCs w:val="24"/>
            <w:u w:val="single"/>
          </w:rPr>
          <w:t>https://link.springer.com/content/pdf/10.1057/s42214-020-00090-6.pdf</w:t>
        </w:r>
      </w:hyperlink>
      <w:r w:rsidRPr="00CF2B62">
        <w:rPr>
          <w:rFonts w:ascii="Times New Roman" w:eastAsia="Times New Roman" w:hAnsi="Times New Roman" w:cs="Times New Roman"/>
          <w:sz w:val="24"/>
          <w:szCs w:val="24"/>
        </w:rPr>
        <w:t xml:space="preserve"> [Accessed on 30 January 2025]</w:t>
      </w:r>
    </w:p>
    <w:p w14:paraId="66DA9EAF"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Wang, P.Q., (2024). Personalizing guest experience with generative AI in the hotel industry: there's more to it than meets a Kiwi’s eye. </w:t>
      </w:r>
      <w:r w:rsidRPr="00CF2B62">
        <w:rPr>
          <w:rFonts w:ascii="Times New Roman" w:eastAsia="Times New Roman" w:hAnsi="Times New Roman" w:cs="Times New Roman"/>
          <w:i/>
          <w:sz w:val="24"/>
          <w:szCs w:val="24"/>
        </w:rPr>
        <w:t>Current Issues in Tourism</w:t>
      </w:r>
      <w:r w:rsidRPr="00CF2B62">
        <w:rPr>
          <w:rFonts w:ascii="Times New Roman" w:eastAsia="Times New Roman" w:hAnsi="Times New Roman" w:cs="Times New Roman"/>
          <w:sz w:val="24"/>
          <w:szCs w:val="24"/>
        </w:rPr>
        <w:t>, pp.1-18. Available at:</w:t>
      </w:r>
      <w:hyperlink r:id="rId18">
        <w:r w:rsidRPr="00CF2B62">
          <w:rPr>
            <w:rFonts w:ascii="Times New Roman" w:eastAsia="Times New Roman" w:hAnsi="Times New Roman" w:cs="Times New Roman"/>
            <w:sz w:val="24"/>
            <w:szCs w:val="24"/>
          </w:rPr>
          <w:t xml:space="preserve"> </w:t>
        </w:r>
      </w:hyperlink>
      <w:hyperlink r:id="rId19">
        <w:r w:rsidRPr="00CF2B62">
          <w:rPr>
            <w:rFonts w:ascii="Times New Roman" w:eastAsia="Times New Roman" w:hAnsi="Times New Roman" w:cs="Times New Roman"/>
            <w:color w:val="1155CC"/>
            <w:sz w:val="24"/>
            <w:szCs w:val="24"/>
            <w:u w:val="single"/>
          </w:rPr>
          <w:t>https://www.tandfonline.com/doi/pdf/10.1080/13683500.2023.2300030</w:t>
        </w:r>
      </w:hyperlink>
      <w:r w:rsidRPr="00CF2B62">
        <w:rPr>
          <w:rFonts w:ascii="Times New Roman" w:eastAsia="Times New Roman" w:hAnsi="Times New Roman" w:cs="Times New Roman"/>
          <w:sz w:val="24"/>
          <w:szCs w:val="24"/>
        </w:rPr>
        <w:t xml:space="preserve"> [Accessed on 30 January 2025]</w:t>
      </w:r>
    </w:p>
    <w:p w14:paraId="6C068925"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World Health Organization, (2021). </w:t>
      </w:r>
      <w:r w:rsidRPr="00CF2B62">
        <w:rPr>
          <w:rFonts w:ascii="Times New Roman" w:eastAsia="Times New Roman" w:hAnsi="Times New Roman" w:cs="Times New Roman"/>
          <w:i/>
          <w:sz w:val="24"/>
          <w:szCs w:val="24"/>
        </w:rPr>
        <w:t>Global patient safety action plan 2021-2030: towards eliminating avoidable harm in health care</w:t>
      </w:r>
      <w:r w:rsidRPr="00CF2B62">
        <w:rPr>
          <w:rFonts w:ascii="Times New Roman" w:eastAsia="Times New Roman" w:hAnsi="Times New Roman" w:cs="Times New Roman"/>
          <w:sz w:val="24"/>
          <w:szCs w:val="24"/>
        </w:rPr>
        <w:t>. World Health Organization.</w:t>
      </w:r>
    </w:p>
    <w:p w14:paraId="51C84E05" w14:textId="77777777" w:rsidR="00056F8D" w:rsidRPr="00CF2B62" w:rsidRDefault="00450084">
      <w:pPr>
        <w:spacing w:before="240" w:after="240" w:line="360" w:lineRule="auto"/>
        <w:jc w:val="both"/>
        <w:rPr>
          <w:rFonts w:ascii="Times New Roman" w:eastAsia="Times New Roman" w:hAnsi="Times New Roman" w:cs="Times New Roman"/>
          <w:sz w:val="24"/>
          <w:szCs w:val="24"/>
        </w:rPr>
      </w:pPr>
      <w:r w:rsidRPr="00CF2B62">
        <w:rPr>
          <w:rFonts w:ascii="Times New Roman" w:eastAsia="Times New Roman" w:hAnsi="Times New Roman" w:cs="Times New Roman"/>
          <w:sz w:val="24"/>
          <w:szCs w:val="24"/>
        </w:rPr>
        <w:t xml:space="preserve">You, J., Pleace, N. and Doherty, B., (2024). Tracking Success for the Good Business Charter (GBC): Developing an effective approach: Insight Report November 2024. In </w:t>
      </w:r>
      <w:r w:rsidRPr="00CF2B62">
        <w:rPr>
          <w:rFonts w:ascii="Times New Roman" w:eastAsia="Times New Roman" w:hAnsi="Times New Roman" w:cs="Times New Roman"/>
          <w:i/>
          <w:sz w:val="24"/>
          <w:szCs w:val="24"/>
        </w:rPr>
        <w:t>Sustainable Futures Forum: Building for Good</w:t>
      </w:r>
      <w:r w:rsidRPr="00CF2B62">
        <w:rPr>
          <w:rFonts w:ascii="Times New Roman" w:eastAsia="Times New Roman" w:hAnsi="Times New Roman" w:cs="Times New Roman"/>
          <w:sz w:val="24"/>
          <w:szCs w:val="24"/>
        </w:rPr>
        <w:t>. University of York. Available at:</w:t>
      </w:r>
      <w:hyperlink r:id="rId20">
        <w:r w:rsidRPr="00CF2B62">
          <w:rPr>
            <w:rFonts w:ascii="Times New Roman" w:eastAsia="Times New Roman" w:hAnsi="Times New Roman" w:cs="Times New Roman"/>
            <w:sz w:val="24"/>
            <w:szCs w:val="24"/>
          </w:rPr>
          <w:t xml:space="preserve"> </w:t>
        </w:r>
      </w:hyperlink>
      <w:hyperlink r:id="rId21">
        <w:r w:rsidRPr="00CF2B62">
          <w:rPr>
            <w:rFonts w:ascii="Times New Roman" w:eastAsia="Times New Roman" w:hAnsi="Times New Roman" w:cs="Times New Roman"/>
            <w:color w:val="1155CC"/>
            <w:sz w:val="24"/>
            <w:szCs w:val="24"/>
            <w:u w:val="single"/>
          </w:rPr>
          <w:t>https://pure.york.ac.uk/portal/files/113498515/GBC_Insight_Report_2024.pdf</w:t>
        </w:r>
      </w:hyperlink>
      <w:r w:rsidRPr="00CF2B62">
        <w:rPr>
          <w:rFonts w:ascii="Times New Roman" w:eastAsia="Times New Roman" w:hAnsi="Times New Roman" w:cs="Times New Roman"/>
          <w:sz w:val="24"/>
          <w:szCs w:val="24"/>
        </w:rPr>
        <w:t xml:space="preserve"> [Accessed on 30 January 2025]</w:t>
      </w:r>
    </w:p>
    <w:p w14:paraId="0C660025" w14:textId="77777777" w:rsidR="00056F8D" w:rsidRPr="00CF2B62" w:rsidRDefault="00056F8D"/>
    <w:p w14:paraId="40203540" w14:textId="77777777" w:rsidR="00056F8D" w:rsidRDefault="00056F8D">
      <w:pPr>
        <w:spacing w:line="360" w:lineRule="auto"/>
        <w:jc w:val="both"/>
        <w:rPr>
          <w:rFonts w:ascii="Times New Roman" w:eastAsia="Times New Roman" w:hAnsi="Times New Roman" w:cs="Times New Roman"/>
          <w:sz w:val="24"/>
          <w:szCs w:val="24"/>
        </w:rPr>
      </w:pPr>
    </w:p>
    <w:sectPr w:rsidR="00056F8D">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6422C"/>
    <w:multiLevelType w:val="multilevel"/>
    <w:tmpl w:val="96BC3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E876C9"/>
    <w:multiLevelType w:val="multilevel"/>
    <w:tmpl w:val="B3A8C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CF26F6"/>
    <w:multiLevelType w:val="multilevel"/>
    <w:tmpl w:val="DBE45A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47F5C02"/>
    <w:multiLevelType w:val="multilevel"/>
    <w:tmpl w:val="053083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ED12A6"/>
    <w:multiLevelType w:val="multilevel"/>
    <w:tmpl w:val="25022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25436907">
    <w:abstractNumId w:val="1"/>
  </w:num>
  <w:num w:numId="2" w16cid:durableId="1486583893">
    <w:abstractNumId w:val="2"/>
  </w:num>
  <w:num w:numId="3" w16cid:durableId="1184630739">
    <w:abstractNumId w:val="3"/>
  </w:num>
  <w:num w:numId="4" w16cid:durableId="1299530744">
    <w:abstractNumId w:val="0"/>
  </w:num>
  <w:num w:numId="5" w16cid:durableId="9534847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F8D"/>
    <w:rsid w:val="000023C3"/>
    <w:rsid w:val="00056F8D"/>
    <w:rsid w:val="002C1F61"/>
    <w:rsid w:val="00450084"/>
    <w:rsid w:val="0083291A"/>
    <w:rsid w:val="008D15B3"/>
    <w:rsid w:val="009E0391"/>
    <w:rsid w:val="00CF2B62"/>
    <w:rsid w:val="00ED665A"/>
    <w:rsid w:val="00EE419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32A408"/>
  <w15:docId w15:val="{21EE581E-3F6B-4251-9C72-EB6BC64EC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direct/10.1002/cb.2298" TargetMode="External"/><Relationship Id="rId13" Type="http://schemas.openxmlformats.org/officeDocument/2006/relationships/hyperlink" Target="https://journals.sagepub.com/doi/pdf/10.1177/02666669221151162" TargetMode="External"/><Relationship Id="rId18" Type="http://schemas.openxmlformats.org/officeDocument/2006/relationships/hyperlink" Target="https://www.tandfonline.com/doi/pdf/10.1080/13683500.2023.2300030" TargetMode="External"/><Relationship Id="rId3" Type="http://schemas.openxmlformats.org/officeDocument/2006/relationships/settings" Target="settings.xml"/><Relationship Id="rId21" Type="http://schemas.openxmlformats.org/officeDocument/2006/relationships/hyperlink" Target="https://pure.york.ac.uk/portal/files/113498515/GBC_Insight_Report_2024.pdf" TargetMode="External"/><Relationship Id="rId7" Type="http://schemas.openxmlformats.org/officeDocument/2006/relationships/hyperlink" Target="https://diversityatlas.io/wp-content/uploads/2023/08/2022-Mainstreaming-Diversity-Equity-and-Inclusion-as-Future-Workplace-Ethics.pdf" TargetMode="External"/><Relationship Id="rId12" Type="http://schemas.openxmlformats.org/officeDocument/2006/relationships/hyperlink" Target="https://journals.sagepub.com/doi/pdf/10.1177/02666669221151162" TargetMode="External"/><Relationship Id="rId17" Type="http://schemas.openxmlformats.org/officeDocument/2006/relationships/hyperlink" Target="https://link.springer.com/content/pdf/10.1057/s42214-020-00090-6.pdf" TargetMode="External"/><Relationship Id="rId2" Type="http://schemas.openxmlformats.org/officeDocument/2006/relationships/styles" Target="styles.xml"/><Relationship Id="rId16" Type="http://schemas.openxmlformats.org/officeDocument/2006/relationships/hyperlink" Target="https://link.springer.com/content/pdf/10.1057/s42214-020-00090-6.pdf" TargetMode="External"/><Relationship Id="rId20" Type="http://schemas.openxmlformats.org/officeDocument/2006/relationships/hyperlink" Target="https://pure.york.ac.uk/portal/files/113498515/GBC_Insight_Report_2024.pdf" TargetMode="External"/><Relationship Id="rId1" Type="http://schemas.openxmlformats.org/officeDocument/2006/relationships/numbering" Target="numbering.xml"/><Relationship Id="rId6" Type="http://schemas.openxmlformats.org/officeDocument/2006/relationships/hyperlink" Target="https://diversityatlas.io/wp-content/uploads/2023/08/2022-Mainstreaming-Diversity-Equity-and-Inclusion-as-Future-Workplace-Ethics.pdf" TargetMode="External"/><Relationship Id="rId11" Type="http://schemas.openxmlformats.org/officeDocument/2006/relationships/hyperlink" Target="https://thuvienso.hoasen.edu.vn/bitstream/handle/123456789/14089/Work-family%20supportive%20benefits%2C%20programs%2C%20and%20policies%20and%20employee%20well-being%20Implications%20for%20the%20hospitality%20industry.pdf?sequence=1&amp;isAllowed=y" TargetMode="External"/><Relationship Id="rId5" Type="http://schemas.openxmlformats.org/officeDocument/2006/relationships/image" Target="media/image1.png"/><Relationship Id="rId15" Type="http://schemas.openxmlformats.org/officeDocument/2006/relationships/hyperlink" Target="https://www.mdpi.com/2305-6290/6/4/81/pdf" TargetMode="External"/><Relationship Id="rId23" Type="http://schemas.openxmlformats.org/officeDocument/2006/relationships/theme" Target="theme/theme1.xml"/><Relationship Id="rId10" Type="http://schemas.openxmlformats.org/officeDocument/2006/relationships/hyperlink" Target="https://thuvienso.hoasen.edu.vn/bitstream/handle/123456789/14089/Work-family%20supportive%20benefits%2C%20programs%2C%20and%20policies%20and%20employee%20well-being%20Implications%20for%20the%20hospitality%20industry.pdf?sequence=1&amp;isAllowed=y" TargetMode="External"/><Relationship Id="rId19" Type="http://schemas.openxmlformats.org/officeDocument/2006/relationships/hyperlink" Target="https://www.tandfonline.com/doi/pdf/10.1080/13683500.2023.2300030" TargetMode="External"/><Relationship Id="rId4" Type="http://schemas.openxmlformats.org/officeDocument/2006/relationships/webSettings" Target="webSettings.xml"/><Relationship Id="rId9" Type="http://schemas.openxmlformats.org/officeDocument/2006/relationships/hyperlink" Target="https://onlinelibrary.wiley.com/doi/pdfdirect/10.1002/cb.2298" TargetMode="External"/><Relationship Id="rId14" Type="http://schemas.openxmlformats.org/officeDocument/2006/relationships/hyperlink" Target="https://www.mdpi.com/2305-6290/6/4/81/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3268</Words>
  <Characters>18632</Characters>
  <Application>Microsoft Office Word</Application>
  <DocSecurity>0</DocSecurity>
  <Lines>155</Lines>
  <Paragraphs>43</Paragraphs>
  <ScaleCrop>false</ScaleCrop>
  <Company/>
  <LinksUpToDate>false</LinksUpToDate>
  <CharactersWithSpaces>21857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Ayesha Siddiqua (2233548)</cp:lastModifiedBy>
  <cp:revision>3</cp:revision>
  <dcterms:created xsi:type="dcterms:W3CDTF">2025-03-08T09:34:00Z</dcterms:created>
  <dcterms:modified xsi:type="dcterms:W3CDTF">2025-03-08T09:38:00Z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a596cfa87b46f1106087f8a52519bf860bcdffeb96d23e0b5b10b27f1dad2344</vt:lpwstr>
  </property>
</Properties>
</file>