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29F" w:rsidRPr="00D20F01" w:rsidRDefault="0044329F" w:rsidP="00085A0C">
      <w:pPr>
        <w:spacing w:after="0" w:line="360" w:lineRule="auto"/>
        <w:rPr>
          <w:rFonts w:ascii="Arial" w:hAnsi="Arial" w:cs="Arial"/>
          <w:color w:val="000000" w:themeColor="text1"/>
          <w:sz w:val="24"/>
          <w:szCs w:val="24"/>
          <w:lang w:val="en-GB"/>
        </w:rPr>
      </w:pPr>
      <w:bookmarkStart w:id="0" w:name="_GoBack"/>
      <w:bookmarkEnd w:id="0"/>
    </w:p>
    <w:p w:rsidR="0044329F" w:rsidRPr="00D20F01" w:rsidRDefault="00460576" w:rsidP="0007486B">
      <w:pPr>
        <w:spacing w:line="360" w:lineRule="auto"/>
        <w:ind w:left="720"/>
        <w:jc w:val="center"/>
        <w:rPr>
          <w:rFonts w:ascii="Arial" w:hAnsi="Arial" w:cs="Arial"/>
          <w:bCs/>
          <w:color w:val="000000" w:themeColor="text1"/>
          <w:sz w:val="24"/>
          <w:szCs w:val="24"/>
          <w:lang w:val="en-GB"/>
        </w:rPr>
      </w:pPr>
      <w:r w:rsidRPr="00D20F01">
        <w:rPr>
          <w:rFonts w:ascii="Arial" w:hAnsi="Arial" w:cs="Arial"/>
          <w:bCs/>
          <w:color w:val="000000" w:themeColor="text1"/>
          <w:sz w:val="24"/>
          <w:szCs w:val="24"/>
          <w:lang w:val="en-GB"/>
        </w:rPr>
        <w:t>REFORMS ON HOMICIDE</w:t>
      </w: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DE1261"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BY Masoom Ashraf</w:t>
      </w:r>
    </w:p>
    <w:p w:rsidR="0044329F" w:rsidRPr="00D20F01" w:rsidRDefault="00DE1261"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2225233</w:t>
      </w:r>
    </w:p>
    <w:p w:rsidR="0044329F" w:rsidRPr="00D20F01" w:rsidRDefault="0044329F" w:rsidP="0007486B">
      <w:pPr>
        <w:tabs>
          <w:tab w:val="left" w:pos="5200"/>
        </w:tabs>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E85B97"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BMPL4009 + Criminal law</w:t>
      </w:r>
    </w:p>
    <w:p w:rsidR="0044329F" w:rsidRPr="00D20F01" w:rsidRDefault="00E85B97"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Zita Draper</w:t>
      </w:r>
    </w:p>
    <w:p w:rsidR="0044329F" w:rsidRPr="00D20F01" w:rsidRDefault="0044329F"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University of wales Trinity St David</w:t>
      </w:r>
    </w:p>
    <w:p w:rsidR="0044329F" w:rsidRPr="00D20F01" w:rsidRDefault="0044329F" w:rsidP="0007486B">
      <w:pPr>
        <w:spacing w:line="360" w:lineRule="auto"/>
        <w:jc w:val="center"/>
        <w:rPr>
          <w:rFonts w:ascii="Arial" w:hAnsi="Arial" w:cs="Arial"/>
          <w:color w:val="000000" w:themeColor="text1"/>
          <w:sz w:val="24"/>
          <w:szCs w:val="24"/>
          <w:lang w:val="en-GB"/>
        </w:rPr>
      </w:pPr>
    </w:p>
    <w:p w:rsidR="0044329F" w:rsidRPr="00D20F01" w:rsidRDefault="0044329F" w:rsidP="0007486B">
      <w:pPr>
        <w:spacing w:line="360" w:lineRule="auto"/>
        <w:jc w:val="center"/>
        <w:rPr>
          <w:rFonts w:ascii="Arial" w:hAnsi="Arial" w:cs="Arial"/>
          <w:color w:val="000000" w:themeColor="text1"/>
          <w:sz w:val="24"/>
          <w:szCs w:val="24"/>
          <w:lang w:val="en-GB"/>
        </w:rPr>
      </w:pPr>
      <w:r w:rsidRPr="00D20F01">
        <w:rPr>
          <w:rFonts w:ascii="Arial" w:hAnsi="Arial" w:cs="Arial"/>
          <w:color w:val="000000" w:themeColor="text1"/>
          <w:sz w:val="24"/>
          <w:szCs w:val="24"/>
          <w:lang w:val="en-GB"/>
        </w:rPr>
        <w:t>5</w:t>
      </w:r>
      <w:r w:rsidRPr="00D20F01">
        <w:rPr>
          <w:rFonts w:ascii="Arial" w:hAnsi="Arial" w:cs="Arial"/>
          <w:color w:val="000000" w:themeColor="text1"/>
          <w:sz w:val="24"/>
          <w:szCs w:val="24"/>
          <w:vertAlign w:val="superscript"/>
          <w:lang w:val="en-GB"/>
        </w:rPr>
        <w:t>th</w:t>
      </w:r>
      <w:r w:rsidRPr="00D20F01">
        <w:rPr>
          <w:rFonts w:ascii="Arial" w:hAnsi="Arial" w:cs="Arial"/>
          <w:color w:val="000000" w:themeColor="text1"/>
          <w:sz w:val="24"/>
          <w:szCs w:val="24"/>
          <w:lang w:val="en-GB"/>
        </w:rPr>
        <w:t xml:space="preserve"> JUNE 2023</w:t>
      </w:r>
    </w:p>
    <w:p w:rsidR="0044329F" w:rsidRPr="00D20F01" w:rsidRDefault="0044329F" w:rsidP="00085A0C">
      <w:pPr>
        <w:spacing w:after="0" w:line="360" w:lineRule="auto"/>
        <w:rPr>
          <w:rFonts w:ascii="Arial" w:hAnsi="Arial" w:cs="Arial"/>
          <w:color w:val="000000" w:themeColor="text1"/>
          <w:sz w:val="24"/>
          <w:szCs w:val="24"/>
          <w:lang w:val="en-GB"/>
        </w:rPr>
      </w:pPr>
    </w:p>
    <w:p w:rsidR="0044329F" w:rsidRPr="00D20F01" w:rsidRDefault="0044329F"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8374A1" w:rsidRPr="00D20F01" w:rsidRDefault="008374A1" w:rsidP="00085A0C">
      <w:pPr>
        <w:spacing w:after="0" w:line="360" w:lineRule="auto"/>
        <w:rPr>
          <w:rFonts w:ascii="Arial" w:hAnsi="Arial" w:cs="Arial"/>
          <w:color w:val="000000" w:themeColor="text1"/>
          <w:sz w:val="24"/>
          <w:szCs w:val="24"/>
          <w:lang w:val="en-GB"/>
        </w:rPr>
      </w:pPr>
    </w:p>
    <w:p w:rsidR="0044329F" w:rsidRPr="00D20F01" w:rsidRDefault="0044329F" w:rsidP="00085A0C">
      <w:pPr>
        <w:spacing w:after="0" w:line="360" w:lineRule="auto"/>
        <w:rPr>
          <w:rFonts w:ascii="Arial" w:hAnsi="Arial" w:cs="Arial"/>
          <w:b/>
          <w:color w:val="000000" w:themeColor="text1"/>
          <w:sz w:val="24"/>
          <w:szCs w:val="24"/>
          <w:lang w:val="en-GB"/>
        </w:rPr>
      </w:pPr>
    </w:p>
    <w:p w:rsidR="0044329F" w:rsidRPr="00D20F01" w:rsidRDefault="007027C1" w:rsidP="000A4873">
      <w:pPr>
        <w:tabs>
          <w:tab w:val="left" w:pos="4100"/>
        </w:tabs>
        <w:spacing w:line="360" w:lineRule="auto"/>
        <w:rPr>
          <w:rFonts w:ascii="Arial" w:hAnsi="Arial" w:cs="Arial"/>
          <w:b/>
          <w:color w:val="000000" w:themeColor="text1"/>
          <w:sz w:val="24"/>
          <w:szCs w:val="24"/>
          <w:lang w:val="en-GB"/>
        </w:rPr>
      </w:pPr>
      <w:r w:rsidRPr="00D20F01">
        <w:rPr>
          <w:rFonts w:ascii="Arial" w:hAnsi="Arial" w:cs="Arial"/>
          <w:b/>
          <w:color w:val="000000" w:themeColor="text1"/>
          <w:sz w:val="24"/>
          <w:szCs w:val="24"/>
          <w:lang w:val="en-GB"/>
        </w:rPr>
        <w:lastRenderedPageBreak/>
        <w:t>Introduction</w:t>
      </w:r>
      <w:r w:rsidR="000A4873" w:rsidRPr="00D20F01">
        <w:rPr>
          <w:rFonts w:ascii="Arial" w:hAnsi="Arial" w:cs="Arial"/>
          <w:b/>
          <w:color w:val="000000" w:themeColor="text1"/>
          <w:sz w:val="24"/>
          <w:szCs w:val="24"/>
          <w:lang w:val="en-GB"/>
        </w:rPr>
        <w:tab/>
      </w:r>
    </w:p>
    <w:p w:rsidR="00092EB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 statement insinuates that the current laws on homicide have not been based on very steady foundat</w:t>
      </w:r>
      <w:r w:rsidR="00827CDE" w:rsidRPr="00D20F01">
        <w:rPr>
          <w:rFonts w:ascii="Arial" w:hAnsi="Arial" w:cs="Arial"/>
          <w:color w:val="000000" w:themeColor="text1"/>
          <w:sz w:val="24"/>
          <w:szCs w:val="24"/>
          <w:lang w:val="en-GB"/>
        </w:rPr>
        <w:t>ions for a very long time. T</w:t>
      </w:r>
      <w:r w:rsidRPr="00D20F01">
        <w:rPr>
          <w:rFonts w:ascii="Arial" w:hAnsi="Arial" w:cs="Arial"/>
          <w:color w:val="000000" w:themeColor="text1"/>
          <w:sz w:val="24"/>
          <w:szCs w:val="24"/>
          <w:lang w:val="en-GB"/>
        </w:rPr>
        <w:t>herefore,</w:t>
      </w:r>
      <w:r w:rsidR="00827CDE" w:rsidRPr="00D20F01">
        <w:rPr>
          <w:rFonts w:ascii="Arial" w:hAnsi="Arial" w:cs="Arial"/>
          <w:color w:val="000000" w:themeColor="text1"/>
          <w:sz w:val="24"/>
          <w:szCs w:val="24"/>
          <w:lang w:val="en-GB"/>
        </w:rPr>
        <w:t xml:space="preserve"> this</w:t>
      </w:r>
      <w:r w:rsidRPr="00D20F01">
        <w:rPr>
          <w:rFonts w:ascii="Arial" w:hAnsi="Arial" w:cs="Arial"/>
          <w:color w:val="000000" w:themeColor="text1"/>
          <w:sz w:val="24"/>
          <w:szCs w:val="24"/>
          <w:lang w:val="en-GB"/>
        </w:rPr>
        <w:t xml:space="preserve"> brings the</w:t>
      </w:r>
      <w:r w:rsidR="0014186C" w:rsidRPr="00D20F01">
        <w:rPr>
          <w:rFonts w:ascii="Arial" w:hAnsi="Arial" w:cs="Arial"/>
          <w:color w:val="000000" w:themeColor="text1"/>
          <w:sz w:val="24"/>
          <w:szCs w:val="24"/>
          <w:lang w:val="en-GB"/>
        </w:rPr>
        <w:t xml:space="preserve"> need for </w:t>
      </w:r>
      <w:r w:rsidRPr="00D20F01">
        <w:rPr>
          <w:rFonts w:ascii="Arial" w:hAnsi="Arial" w:cs="Arial"/>
          <w:color w:val="000000" w:themeColor="text1"/>
          <w:sz w:val="24"/>
          <w:szCs w:val="24"/>
          <w:lang w:val="en-GB"/>
        </w:rPr>
        <w:t>some sections of the law to be changed.</w:t>
      </w:r>
      <w:r w:rsidR="00301580" w:rsidRPr="00D20F01">
        <w:rPr>
          <w:rFonts w:ascii="Arial" w:hAnsi="Arial" w:cs="Arial"/>
          <w:color w:val="000000" w:themeColor="text1"/>
          <w:sz w:val="24"/>
          <w:szCs w:val="24"/>
          <w:lang w:val="en-GB"/>
        </w:rPr>
        <w:t xml:space="preserve"> Homicide ca</w:t>
      </w:r>
      <w:r w:rsidR="00C522AB" w:rsidRPr="00D20F01">
        <w:rPr>
          <w:rFonts w:ascii="Arial" w:hAnsi="Arial" w:cs="Arial"/>
          <w:color w:val="000000" w:themeColor="text1"/>
          <w:sz w:val="24"/>
          <w:szCs w:val="24"/>
          <w:lang w:val="en-GB"/>
        </w:rPr>
        <w:t>n be described as the act of one individual</w:t>
      </w:r>
      <w:r w:rsidR="00301580" w:rsidRPr="00D20F01">
        <w:rPr>
          <w:rFonts w:ascii="Arial" w:hAnsi="Arial" w:cs="Arial"/>
          <w:color w:val="000000" w:themeColor="text1"/>
          <w:sz w:val="24"/>
          <w:szCs w:val="24"/>
          <w:lang w:val="en-GB"/>
        </w:rPr>
        <w:t xml:space="preserve"> killing another </w:t>
      </w:r>
      <w:r w:rsidR="00DC7E6A" w:rsidRPr="00D20F01">
        <w:rPr>
          <w:rFonts w:ascii="Arial" w:hAnsi="Arial" w:cs="Arial"/>
          <w:color w:val="000000" w:themeColor="text1"/>
          <w:sz w:val="24"/>
          <w:szCs w:val="24"/>
          <w:lang w:val="en-GB"/>
        </w:rPr>
        <w:t>human being</w:t>
      </w:r>
      <w:r w:rsidR="00301580" w:rsidRPr="00D20F01">
        <w:rPr>
          <w:rFonts w:ascii="Arial" w:hAnsi="Arial" w:cs="Arial"/>
          <w:color w:val="000000" w:themeColor="text1"/>
          <w:sz w:val="24"/>
          <w:szCs w:val="24"/>
          <w:lang w:val="en-GB"/>
        </w:rPr>
        <w:t>.</w:t>
      </w:r>
      <w:r w:rsidR="00B75474" w:rsidRPr="00D20F01">
        <w:rPr>
          <w:rFonts w:ascii="Arial" w:hAnsi="Arial" w:cs="Arial"/>
          <w:color w:val="000000" w:themeColor="text1"/>
          <w:sz w:val="24"/>
          <w:szCs w:val="24"/>
          <w:lang w:val="en-GB"/>
        </w:rPr>
        <w:t xml:space="preserve"> In this essay, </w:t>
      </w:r>
      <w:r w:rsidR="00C522AB" w:rsidRPr="00D20F01">
        <w:rPr>
          <w:rFonts w:ascii="Arial" w:hAnsi="Arial" w:cs="Arial"/>
          <w:color w:val="000000" w:themeColor="text1"/>
          <w:sz w:val="24"/>
          <w:szCs w:val="24"/>
          <w:lang w:val="en-GB"/>
        </w:rPr>
        <w:t xml:space="preserve">we </w:t>
      </w:r>
      <w:r w:rsidR="00E44B82" w:rsidRPr="00D20F01">
        <w:rPr>
          <w:rFonts w:ascii="Arial" w:hAnsi="Arial" w:cs="Arial"/>
          <w:color w:val="000000" w:themeColor="text1"/>
          <w:sz w:val="24"/>
          <w:szCs w:val="24"/>
          <w:lang w:val="en-GB"/>
        </w:rPr>
        <w:t>consider</w:t>
      </w:r>
      <w:r w:rsidR="0014186C" w:rsidRPr="00D20F01">
        <w:rPr>
          <w:rFonts w:ascii="Arial" w:hAnsi="Arial" w:cs="Arial"/>
          <w:color w:val="000000" w:themeColor="text1"/>
          <w:sz w:val="24"/>
          <w:szCs w:val="24"/>
          <w:lang w:val="en-GB"/>
        </w:rPr>
        <w:t xml:space="preserve"> the current</w:t>
      </w:r>
      <w:r w:rsidR="00C522AB" w:rsidRPr="00D20F01">
        <w:rPr>
          <w:rFonts w:ascii="Arial" w:hAnsi="Arial" w:cs="Arial"/>
          <w:color w:val="000000" w:themeColor="text1"/>
          <w:sz w:val="24"/>
          <w:szCs w:val="24"/>
          <w:lang w:val="en-GB"/>
        </w:rPr>
        <w:t xml:space="preserve"> homicide law, a few key issues such as</w:t>
      </w:r>
      <w:r w:rsidR="0014186C" w:rsidRPr="00D20F01">
        <w:rPr>
          <w:rFonts w:ascii="Arial" w:hAnsi="Arial" w:cs="Arial"/>
          <w:color w:val="000000" w:themeColor="text1"/>
          <w:sz w:val="24"/>
          <w:szCs w:val="24"/>
          <w:lang w:val="en-GB"/>
        </w:rPr>
        <w:t xml:space="preserve"> suggested improvements, the government's </w:t>
      </w:r>
      <w:r w:rsidR="00C522AB" w:rsidRPr="00D20F01">
        <w:rPr>
          <w:rFonts w:ascii="Arial" w:hAnsi="Arial" w:cs="Arial"/>
          <w:color w:val="000000" w:themeColor="text1"/>
          <w:sz w:val="24"/>
          <w:szCs w:val="24"/>
          <w:lang w:val="en-GB"/>
        </w:rPr>
        <w:t xml:space="preserve">take on </w:t>
      </w:r>
      <w:r w:rsidR="0014186C" w:rsidRPr="00D20F01">
        <w:rPr>
          <w:rFonts w:ascii="Arial" w:hAnsi="Arial" w:cs="Arial"/>
          <w:color w:val="000000" w:themeColor="text1"/>
          <w:sz w:val="24"/>
          <w:szCs w:val="24"/>
          <w:lang w:val="en-GB"/>
        </w:rPr>
        <w:t>approval or rejection of the reforms, and the arguments for and against the reforms to assess the claim</w:t>
      </w:r>
      <w:r w:rsidR="00C7665B" w:rsidRPr="00D20F01">
        <w:rPr>
          <w:rFonts w:ascii="Arial" w:hAnsi="Arial" w:cs="Arial"/>
          <w:color w:val="000000" w:themeColor="text1"/>
          <w:sz w:val="24"/>
          <w:szCs w:val="24"/>
          <w:lang w:val="en-GB"/>
        </w:rPr>
        <w:t xml:space="preserve"> (</w:t>
      </w:r>
      <w:r w:rsidR="00C7665B" w:rsidRPr="00D20F01">
        <w:rPr>
          <w:rFonts w:ascii="Arial" w:hAnsi="Arial" w:cs="Arial"/>
          <w:color w:val="000000" w:themeColor="text1"/>
          <w:sz w:val="24"/>
          <w:szCs w:val="24"/>
          <w:shd w:val="clear" w:color="auto" w:fill="FFFFFF"/>
          <w:lang w:val="en-GB"/>
        </w:rPr>
        <w:t>Bell, 2017</w:t>
      </w:r>
      <w:r w:rsidR="00C7665B" w:rsidRPr="00D20F01">
        <w:rPr>
          <w:rFonts w:ascii="Arial" w:hAnsi="Arial" w:cs="Arial"/>
          <w:color w:val="000000" w:themeColor="text1"/>
          <w:sz w:val="24"/>
          <w:szCs w:val="24"/>
          <w:lang w:val="en-GB"/>
        </w:rPr>
        <w:t>)</w:t>
      </w:r>
      <w:r w:rsidR="0014186C" w:rsidRPr="00D20F01">
        <w:rPr>
          <w:rFonts w:ascii="Arial" w:hAnsi="Arial" w:cs="Arial"/>
          <w:color w:val="000000" w:themeColor="text1"/>
          <w:sz w:val="24"/>
          <w:szCs w:val="24"/>
          <w:lang w:val="en-GB"/>
        </w:rPr>
        <w:t>.</w:t>
      </w:r>
    </w:p>
    <w:p w:rsidR="006D48C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There are currently two principal homicide offenses under England and Wales law.</w:t>
      </w:r>
      <w:r w:rsidR="00C522AB" w:rsidRPr="00D20F01">
        <w:rPr>
          <w:rFonts w:ascii="Arial" w:hAnsi="Arial" w:cs="Arial"/>
          <w:color w:val="000000" w:themeColor="text1"/>
          <w:sz w:val="24"/>
          <w:szCs w:val="24"/>
          <w:lang w:val="en-GB"/>
        </w:rPr>
        <w:t xml:space="preserve"> </w:t>
      </w:r>
      <w:r w:rsidRPr="00D20F01">
        <w:rPr>
          <w:rFonts w:ascii="Arial" w:hAnsi="Arial" w:cs="Arial"/>
          <w:color w:val="000000" w:themeColor="text1"/>
          <w:sz w:val="24"/>
          <w:szCs w:val="24"/>
          <w:lang w:val="en-GB"/>
        </w:rPr>
        <w:t>Murder can be defined as the premeditated and intentiona</w:t>
      </w:r>
      <w:r w:rsidR="00C522AB" w:rsidRPr="00D20F01">
        <w:rPr>
          <w:rFonts w:ascii="Arial" w:hAnsi="Arial" w:cs="Arial"/>
          <w:color w:val="000000" w:themeColor="text1"/>
          <w:sz w:val="24"/>
          <w:szCs w:val="24"/>
          <w:lang w:val="en-GB"/>
        </w:rPr>
        <w:t>l killing of another individual</w:t>
      </w:r>
      <w:r w:rsidR="00542AD5" w:rsidRPr="00D20F01">
        <w:rPr>
          <w:rFonts w:ascii="Arial" w:hAnsi="Arial" w:cs="Arial"/>
          <w:color w:val="000000" w:themeColor="text1"/>
          <w:sz w:val="24"/>
          <w:szCs w:val="24"/>
          <w:lang w:val="en-GB"/>
        </w:rPr>
        <w:t>. Malice aforethought describes an act performed</w:t>
      </w:r>
      <w:r w:rsidRPr="00D20F01">
        <w:rPr>
          <w:rFonts w:ascii="Arial" w:hAnsi="Arial" w:cs="Arial"/>
          <w:color w:val="000000" w:themeColor="text1"/>
          <w:sz w:val="24"/>
          <w:szCs w:val="24"/>
          <w:lang w:val="en-GB"/>
        </w:rPr>
        <w:t xml:space="preserve"> with the specific goal of causing death or serious bodily harm</w:t>
      </w:r>
      <w:r w:rsidR="00C7665B" w:rsidRPr="00D20F01">
        <w:rPr>
          <w:rFonts w:ascii="Arial" w:hAnsi="Arial" w:cs="Arial"/>
          <w:color w:val="000000" w:themeColor="text1"/>
          <w:sz w:val="24"/>
          <w:szCs w:val="24"/>
          <w:lang w:val="en-GB"/>
        </w:rPr>
        <w:t xml:space="preserve"> (</w:t>
      </w:r>
      <w:r w:rsidR="00C7665B" w:rsidRPr="00D20F01">
        <w:rPr>
          <w:rFonts w:ascii="Arial" w:hAnsi="Arial" w:cs="Arial"/>
          <w:color w:val="000000" w:themeColor="text1"/>
          <w:sz w:val="24"/>
          <w:szCs w:val="24"/>
          <w:shd w:val="clear" w:color="auto" w:fill="FFFFFF"/>
          <w:lang w:val="en-GB"/>
        </w:rPr>
        <w:t>Acker and Lanier, 2020</w:t>
      </w:r>
      <w:r w:rsidR="00C7665B"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The prosecution must determine beyond a reasonable doubt both the actus reus (the actual act of killing) and the mens rea (the specific purpose to kill). Direct intent, where the</w:t>
      </w:r>
      <w:r w:rsidR="00C522AB" w:rsidRPr="00D20F01">
        <w:rPr>
          <w:rFonts w:ascii="Arial" w:hAnsi="Arial" w:cs="Arial"/>
          <w:color w:val="000000" w:themeColor="text1"/>
          <w:sz w:val="24"/>
          <w:szCs w:val="24"/>
          <w:lang w:val="en-GB"/>
        </w:rPr>
        <w:t xml:space="preserve"> offender means to c</w:t>
      </w:r>
      <w:r w:rsidR="00E44B82" w:rsidRPr="00D20F01">
        <w:rPr>
          <w:rFonts w:ascii="Arial" w:hAnsi="Arial" w:cs="Arial"/>
          <w:color w:val="000000" w:themeColor="text1"/>
          <w:sz w:val="24"/>
          <w:szCs w:val="24"/>
          <w:lang w:val="en-GB"/>
        </w:rPr>
        <w:t>ause death and oblique intent</w:t>
      </w:r>
      <w:r w:rsidR="00C7665B" w:rsidRPr="00D20F01">
        <w:rPr>
          <w:rFonts w:ascii="Arial" w:hAnsi="Arial" w:cs="Arial"/>
          <w:color w:val="000000" w:themeColor="text1"/>
          <w:sz w:val="24"/>
          <w:szCs w:val="24"/>
          <w:lang w:val="en-GB"/>
        </w:rPr>
        <w:t xml:space="preserve"> (</w:t>
      </w:r>
      <w:r w:rsidR="00C7665B" w:rsidRPr="00D20F01">
        <w:rPr>
          <w:rFonts w:ascii="Arial" w:hAnsi="Arial" w:cs="Arial"/>
          <w:color w:val="000000" w:themeColor="text1"/>
          <w:sz w:val="24"/>
          <w:szCs w:val="24"/>
          <w:shd w:val="clear" w:color="auto" w:fill="FFFFFF"/>
          <w:lang w:val="en-GB"/>
        </w:rPr>
        <w:t>Kugler, 2017</w:t>
      </w:r>
      <w:r w:rsidR="00C7665B" w:rsidRPr="00D20F01">
        <w:rPr>
          <w:rFonts w:ascii="Arial" w:hAnsi="Arial" w:cs="Arial"/>
          <w:color w:val="000000" w:themeColor="text1"/>
          <w:sz w:val="24"/>
          <w:szCs w:val="24"/>
          <w:lang w:val="en-GB"/>
        </w:rPr>
        <w:t>)</w:t>
      </w:r>
      <w:r w:rsidR="00E44B82" w:rsidRPr="00D20F01">
        <w:rPr>
          <w:rFonts w:ascii="Arial" w:hAnsi="Arial" w:cs="Arial"/>
          <w:color w:val="000000" w:themeColor="text1"/>
          <w:sz w:val="24"/>
          <w:szCs w:val="24"/>
          <w:lang w:val="en-GB"/>
        </w:rPr>
        <w:t>.</w:t>
      </w:r>
    </w:p>
    <w:p w:rsidR="00DC7E6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Manslaughter refers to wrongful deaths committed by the accused without the requisite murderous intent. There are two types of manslaughter: th</w:t>
      </w:r>
      <w:r w:rsidR="00865F88" w:rsidRPr="00D20F01">
        <w:rPr>
          <w:rFonts w:ascii="Arial" w:hAnsi="Arial" w:cs="Arial"/>
          <w:color w:val="000000" w:themeColor="text1"/>
          <w:sz w:val="24"/>
          <w:szCs w:val="24"/>
          <w:lang w:val="en-GB"/>
        </w:rPr>
        <w:t>ey include voluntarily and</w:t>
      </w:r>
      <w:r w:rsidRPr="00D20F01">
        <w:rPr>
          <w:rFonts w:ascii="Arial" w:hAnsi="Arial" w:cs="Arial"/>
          <w:color w:val="000000" w:themeColor="text1"/>
          <w:sz w:val="24"/>
          <w:szCs w:val="24"/>
          <w:lang w:val="en-GB"/>
        </w:rPr>
        <w:t xml:space="preserve"> involuntarily</w:t>
      </w:r>
      <w:r w:rsidR="00C7665B" w:rsidRPr="00D20F01">
        <w:rPr>
          <w:rFonts w:ascii="Arial" w:hAnsi="Arial" w:cs="Arial"/>
          <w:color w:val="000000" w:themeColor="text1"/>
          <w:sz w:val="24"/>
          <w:szCs w:val="24"/>
          <w:lang w:val="en-GB"/>
        </w:rPr>
        <w:t xml:space="preserve"> (</w:t>
      </w:r>
      <w:r w:rsidR="00C7665B" w:rsidRPr="00D20F01">
        <w:rPr>
          <w:rFonts w:ascii="Arial" w:hAnsi="Arial" w:cs="Arial"/>
          <w:color w:val="000000" w:themeColor="text1"/>
          <w:sz w:val="24"/>
          <w:szCs w:val="24"/>
          <w:shd w:val="clear" w:color="auto" w:fill="FFFFFF"/>
          <w:lang w:val="en-GB"/>
        </w:rPr>
        <w:t>Hamilton, 2011</w:t>
      </w:r>
      <w:r w:rsidR="00C7665B"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In volunta</w:t>
      </w:r>
      <w:r w:rsidR="00865F88" w:rsidRPr="00D20F01">
        <w:rPr>
          <w:rFonts w:ascii="Arial" w:hAnsi="Arial" w:cs="Arial"/>
          <w:color w:val="000000" w:themeColor="text1"/>
          <w:sz w:val="24"/>
          <w:szCs w:val="24"/>
          <w:lang w:val="en-GB"/>
        </w:rPr>
        <w:t xml:space="preserve">rily manslaughter, </w:t>
      </w:r>
      <w:r w:rsidRPr="00D20F01">
        <w:rPr>
          <w:rFonts w:ascii="Arial" w:hAnsi="Arial" w:cs="Arial"/>
          <w:color w:val="000000" w:themeColor="text1"/>
          <w:sz w:val="24"/>
          <w:szCs w:val="24"/>
          <w:lang w:val="en-GB"/>
        </w:rPr>
        <w:t>the defendant will</w:t>
      </w:r>
      <w:r w:rsidR="00865F88" w:rsidRPr="00D20F01">
        <w:rPr>
          <w:rFonts w:ascii="Arial" w:hAnsi="Arial" w:cs="Arial"/>
          <w:color w:val="000000" w:themeColor="text1"/>
          <w:sz w:val="24"/>
          <w:szCs w:val="24"/>
          <w:lang w:val="en-GB"/>
        </w:rPr>
        <w:t>ingly</w:t>
      </w:r>
      <w:r w:rsidRPr="00D20F01">
        <w:rPr>
          <w:rFonts w:ascii="Arial" w:hAnsi="Arial" w:cs="Arial"/>
          <w:color w:val="000000" w:themeColor="text1"/>
          <w:sz w:val="24"/>
          <w:szCs w:val="24"/>
          <w:lang w:val="en-GB"/>
        </w:rPr>
        <w:t xml:space="preserve"> </w:t>
      </w:r>
      <w:r w:rsidR="00865F88" w:rsidRPr="00D20F01">
        <w:rPr>
          <w:rFonts w:ascii="Arial" w:hAnsi="Arial" w:cs="Arial"/>
          <w:color w:val="000000" w:themeColor="text1"/>
          <w:sz w:val="24"/>
          <w:szCs w:val="24"/>
          <w:lang w:val="en-GB"/>
        </w:rPr>
        <w:t>murders</w:t>
      </w:r>
      <w:r w:rsidRPr="00D20F01">
        <w:rPr>
          <w:rFonts w:ascii="Arial" w:hAnsi="Arial" w:cs="Arial"/>
          <w:color w:val="000000" w:themeColor="text1"/>
          <w:sz w:val="24"/>
          <w:szCs w:val="24"/>
          <w:lang w:val="en-GB"/>
        </w:rPr>
        <w:t xml:space="preserve"> another person, but the death is justified by extenuati</w:t>
      </w:r>
      <w:r w:rsidR="00865F88" w:rsidRPr="00D20F01">
        <w:rPr>
          <w:rFonts w:ascii="Arial" w:hAnsi="Arial" w:cs="Arial"/>
          <w:color w:val="000000" w:themeColor="text1"/>
          <w:sz w:val="24"/>
          <w:szCs w:val="24"/>
          <w:lang w:val="en-GB"/>
        </w:rPr>
        <w:t>ng circumstances</w:t>
      </w:r>
      <w:r w:rsidRPr="00D20F01">
        <w:rPr>
          <w:rFonts w:ascii="Arial" w:hAnsi="Arial" w:cs="Arial"/>
          <w:color w:val="000000" w:themeColor="text1"/>
          <w:sz w:val="24"/>
          <w:szCs w:val="24"/>
          <w:lang w:val="en-GB"/>
        </w:rPr>
        <w:t>. Murder charge may be reduced to manslaughter under specific conditions, including diminished responsibility and lack of control</w:t>
      </w:r>
      <w:r w:rsidR="00C7665B" w:rsidRPr="00D20F01">
        <w:rPr>
          <w:rFonts w:ascii="Arial" w:hAnsi="Arial" w:cs="Arial"/>
          <w:color w:val="000000" w:themeColor="text1"/>
          <w:sz w:val="24"/>
          <w:szCs w:val="24"/>
          <w:lang w:val="en-GB"/>
        </w:rPr>
        <w:t xml:space="preserve"> (</w:t>
      </w:r>
      <w:r w:rsidR="004B4FD9" w:rsidRPr="00D20F01">
        <w:rPr>
          <w:rFonts w:ascii="Arial" w:hAnsi="Arial" w:cs="Arial"/>
          <w:color w:val="000000" w:themeColor="text1"/>
          <w:sz w:val="24"/>
          <w:szCs w:val="24"/>
          <w:shd w:val="clear" w:color="auto" w:fill="FFFFFF"/>
          <w:lang w:val="en-GB"/>
        </w:rPr>
        <w:t>Elliott,</w:t>
      </w:r>
      <w:r w:rsidR="0068083A" w:rsidRPr="00D20F01">
        <w:rPr>
          <w:rFonts w:ascii="Arial" w:hAnsi="Arial" w:cs="Arial"/>
          <w:color w:val="000000" w:themeColor="text1"/>
          <w:sz w:val="24"/>
          <w:szCs w:val="24"/>
          <w:shd w:val="clear" w:color="auto" w:fill="FFFFFF"/>
          <w:lang w:val="en-GB"/>
        </w:rPr>
        <w:t xml:space="preserve"> 2011</w:t>
      </w:r>
      <w:r w:rsidR="00C7665B"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xml:space="preserve">. </w:t>
      </w:r>
    </w:p>
    <w:p w:rsidR="006D48C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On the other hand, involuntarily manslaughter can be explained as a circumstance where an individual causes death unintentionally or without malice aforethought. In scenarios of gross negligence manslaughter, the defendant's carelessness dire</w:t>
      </w:r>
      <w:r w:rsidR="004B4FD9" w:rsidRPr="00D20F01">
        <w:rPr>
          <w:rFonts w:ascii="Arial" w:hAnsi="Arial" w:cs="Arial"/>
          <w:color w:val="000000" w:themeColor="text1"/>
          <w:sz w:val="24"/>
          <w:szCs w:val="24"/>
          <w:lang w:val="en-GB"/>
        </w:rPr>
        <w:t>ctly causes the victim's death (</w:t>
      </w:r>
      <w:r w:rsidR="004B4FD9" w:rsidRPr="00D20F01">
        <w:rPr>
          <w:rFonts w:ascii="Arial" w:hAnsi="Arial" w:cs="Arial"/>
          <w:color w:val="000000" w:themeColor="text1"/>
          <w:sz w:val="24"/>
          <w:szCs w:val="24"/>
          <w:shd w:val="clear" w:color="auto" w:fill="FFFFFF"/>
          <w:lang w:val="en-GB"/>
        </w:rPr>
        <w:t>Solaiman, 2021</w:t>
      </w:r>
      <w:r w:rsidR="004B4FD9" w:rsidRPr="00D20F01">
        <w:rPr>
          <w:rFonts w:ascii="Arial" w:hAnsi="Arial" w:cs="Arial"/>
          <w:color w:val="000000" w:themeColor="text1"/>
          <w:sz w:val="24"/>
          <w:szCs w:val="24"/>
          <w:lang w:val="en-GB"/>
        </w:rPr>
        <w:t>). I</w:t>
      </w:r>
      <w:r w:rsidRPr="00D20F01">
        <w:rPr>
          <w:rFonts w:ascii="Arial" w:hAnsi="Arial" w:cs="Arial"/>
          <w:color w:val="000000" w:themeColor="text1"/>
          <w:sz w:val="24"/>
          <w:szCs w:val="24"/>
          <w:lang w:val="en-GB"/>
        </w:rPr>
        <w:t>n cases of unlawful act manslaughter, the defendant's illegal activity directly causes the v</w:t>
      </w:r>
      <w:r w:rsidR="00865F88" w:rsidRPr="00D20F01">
        <w:rPr>
          <w:rFonts w:ascii="Arial" w:hAnsi="Arial" w:cs="Arial"/>
          <w:color w:val="000000" w:themeColor="text1"/>
          <w:sz w:val="24"/>
          <w:szCs w:val="24"/>
          <w:lang w:val="en-GB"/>
        </w:rPr>
        <w:t xml:space="preserve">ictim's death, even if there was </w:t>
      </w:r>
      <w:r w:rsidRPr="00D20F01">
        <w:rPr>
          <w:rFonts w:ascii="Arial" w:hAnsi="Arial" w:cs="Arial"/>
          <w:color w:val="000000" w:themeColor="text1"/>
          <w:sz w:val="24"/>
          <w:szCs w:val="24"/>
          <w:lang w:val="en-GB"/>
        </w:rPr>
        <w:t>no malicious intent.</w:t>
      </w:r>
    </w:p>
    <w:p w:rsidR="00494CDF"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 xml:space="preserve">Another homicide crime is </w:t>
      </w:r>
      <w:r w:rsidR="00F408B5" w:rsidRPr="00D20F01">
        <w:rPr>
          <w:rFonts w:ascii="Arial" w:hAnsi="Arial" w:cs="Arial"/>
          <w:color w:val="000000" w:themeColor="text1"/>
          <w:sz w:val="24"/>
          <w:szCs w:val="24"/>
          <w:lang w:val="en-GB"/>
        </w:rPr>
        <w:t>infanticide</w:t>
      </w:r>
      <w:r w:rsidR="00A8691B" w:rsidRPr="00D20F01">
        <w:rPr>
          <w:rFonts w:ascii="Arial" w:hAnsi="Arial" w:cs="Arial"/>
          <w:color w:val="000000" w:themeColor="text1"/>
          <w:sz w:val="24"/>
          <w:szCs w:val="24"/>
          <w:lang w:val="en-GB"/>
        </w:rPr>
        <w:t>, it</w:t>
      </w:r>
      <w:r w:rsidRPr="00D20F01">
        <w:rPr>
          <w:rFonts w:ascii="Arial" w:hAnsi="Arial" w:cs="Arial"/>
          <w:color w:val="000000" w:themeColor="text1"/>
          <w:sz w:val="24"/>
          <w:szCs w:val="24"/>
          <w:lang w:val="en-GB"/>
        </w:rPr>
        <w:t xml:space="preserve"> refers to the specific crime of murdering an infant below the age of 12 </w:t>
      </w:r>
      <w:r w:rsidR="00A8691B" w:rsidRPr="00D20F01">
        <w:rPr>
          <w:rFonts w:ascii="Arial" w:hAnsi="Arial" w:cs="Arial"/>
          <w:color w:val="000000" w:themeColor="text1"/>
          <w:sz w:val="24"/>
          <w:szCs w:val="24"/>
          <w:lang w:val="en-GB"/>
        </w:rPr>
        <w:t>months by their mother. An interesting part of this case is that</w:t>
      </w:r>
      <w:r w:rsidRPr="00D20F01">
        <w:rPr>
          <w:rFonts w:ascii="Arial" w:hAnsi="Arial" w:cs="Arial"/>
          <w:color w:val="000000" w:themeColor="text1"/>
          <w:sz w:val="24"/>
          <w:szCs w:val="24"/>
          <w:lang w:val="en-GB"/>
        </w:rPr>
        <w:t xml:space="preserve"> the </w:t>
      </w:r>
      <w:r w:rsidRPr="00D20F01">
        <w:rPr>
          <w:rFonts w:ascii="Arial" w:hAnsi="Arial" w:cs="Arial"/>
          <w:color w:val="000000" w:themeColor="text1"/>
          <w:sz w:val="24"/>
          <w:szCs w:val="24"/>
          <w:lang w:val="en-GB"/>
        </w:rPr>
        <w:lastRenderedPageBreak/>
        <w:t>potential sentence for this type of homicide is life in prison, this crime is viewed as less serious than murder</w:t>
      </w:r>
      <w:r w:rsidR="008F3733" w:rsidRPr="00D20F01">
        <w:rPr>
          <w:rFonts w:ascii="Arial" w:hAnsi="Arial" w:cs="Arial"/>
          <w:color w:val="000000" w:themeColor="text1"/>
          <w:sz w:val="24"/>
          <w:szCs w:val="24"/>
          <w:lang w:val="en-GB"/>
        </w:rPr>
        <w:t xml:space="preserve"> (</w:t>
      </w:r>
      <w:r w:rsidR="008F3733" w:rsidRPr="00D20F01">
        <w:rPr>
          <w:rFonts w:ascii="Arial" w:hAnsi="Arial" w:cs="Arial"/>
          <w:color w:val="000000" w:themeColor="text1"/>
          <w:sz w:val="24"/>
          <w:szCs w:val="24"/>
          <w:shd w:val="clear" w:color="auto" w:fill="FFFFFF"/>
          <w:lang w:val="en-GB"/>
        </w:rPr>
        <w:t>Van Den Brink and Lynch, 2021</w:t>
      </w:r>
      <w:r w:rsidR="008F3733"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w:t>
      </w:r>
    </w:p>
    <w:p w:rsidR="00494CDF"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Lastly, we have corporate manslaughter,</w:t>
      </w:r>
      <w:r w:rsidR="005263E9" w:rsidRPr="00D20F01">
        <w:rPr>
          <w:rFonts w:ascii="Arial" w:hAnsi="Arial" w:cs="Arial"/>
          <w:color w:val="000000" w:themeColor="text1"/>
          <w:sz w:val="24"/>
          <w:szCs w:val="24"/>
          <w:lang w:val="en-GB"/>
        </w:rPr>
        <w:t xml:space="preserve"> </w:t>
      </w:r>
      <w:r w:rsidRPr="00D20F01">
        <w:rPr>
          <w:rFonts w:ascii="Arial" w:hAnsi="Arial" w:cs="Arial"/>
          <w:color w:val="000000" w:themeColor="text1"/>
          <w:sz w:val="24"/>
          <w:szCs w:val="24"/>
          <w:lang w:val="en-GB"/>
        </w:rPr>
        <w:t>this is used to describe the legal responsibility of a business or organization for the death of an individual caused by reckless or careless decisions taken by higher-ups</w:t>
      </w:r>
      <w:r w:rsidR="004B4FD9" w:rsidRPr="00D20F01">
        <w:rPr>
          <w:rFonts w:ascii="Arial" w:hAnsi="Arial" w:cs="Arial"/>
          <w:color w:val="000000" w:themeColor="text1"/>
          <w:sz w:val="24"/>
          <w:szCs w:val="24"/>
          <w:lang w:val="en-GB"/>
        </w:rPr>
        <w:t xml:space="preserve"> (</w:t>
      </w:r>
      <w:r w:rsidR="00C10B32" w:rsidRPr="00D20F01">
        <w:rPr>
          <w:rFonts w:ascii="Arial" w:hAnsi="Arial" w:cs="Arial"/>
          <w:color w:val="000000" w:themeColor="text1"/>
          <w:sz w:val="24"/>
          <w:szCs w:val="24"/>
          <w:shd w:val="clear" w:color="auto" w:fill="FFFFFF"/>
          <w:lang w:val="en-GB"/>
        </w:rPr>
        <w:t>Burgason et al., 2021</w:t>
      </w:r>
      <w:r w:rsidR="004B4FD9"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In such kind of crime, the company must answer, not just t</w:t>
      </w:r>
      <w:r w:rsidR="00865F88" w:rsidRPr="00D20F01">
        <w:rPr>
          <w:rFonts w:ascii="Arial" w:hAnsi="Arial" w:cs="Arial"/>
          <w:color w:val="000000" w:themeColor="text1"/>
          <w:sz w:val="24"/>
          <w:szCs w:val="24"/>
          <w:lang w:val="en-GB"/>
        </w:rPr>
        <w:t>he individuals that committed the act</w:t>
      </w:r>
      <w:r w:rsidRPr="00D20F01">
        <w:rPr>
          <w:rFonts w:ascii="Arial" w:hAnsi="Arial" w:cs="Arial"/>
          <w:color w:val="000000" w:themeColor="text1"/>
          <w:sz w:val="24"/>
          <w:szCs w:val="24"/>
          <w:lang w:val="en-GB"/>
        </w:rPr>
        <w:t>.</w:t>
      </w:r>
    </w:p>
    <w:p w:rsidR="00D7126C" w:rsidRPr="00D20F01" w:rsidRDefault="00865F88"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w:t>
      </w:r>
      <w:r w:rsidR="00E33820" w:rsidRPr="00D20F01">
        <w:rPr>
          <w:rFonts w:ascii="Arial" w:hAnsi="Arial" w:cs="Arial"/>
          <w:color w:val="000000" w:themeColor="text1"/>
          <w:sz w:val="24"/>
          <w:szCs w:val="24"/>
          <w:lang w:val="en-GB"/>
        </w:rPr>
        <w:t>nteresting</w:t>
      </w:r>
      <w:r w:rsidRPr="00D20F01">
        <w:rPr>
          <w:rFonts w:ascii="Arial" w:hAnsi="Arial" w:cs="Arial"/>
          <w:color w:val="000000" w:themeColor="text1"/>
          <w:sz w:val="24"/>
          <w:szCs w:val="24"/>
          <w:lang w:val="en-GB"/>
        </w:rPr>
        <w:t>ly,</w:t>
      </w:r>
      <w:r w:rsidR="00E33820" w:rsidRPr="00D20F01">
        <w:rPr>
          <w:rFonts w:ascii="Arial" w:hAnsi="Arial" w:cs="Arial"/>
          <w:color w:val="000000" w:themeColor="text1"/>
          <w:sz w:val="24"/>
          <w:szCs w:val="24"/>
          <w:lang w:val="en-GB"/>
        </w:rPr>
        <w:t xml:space="preserve"> Parliament has not revisited the law of murder since it passed the Homicide Act, and the current statute does not reflect the initial thought that was in place. According to</w:t>
      </w:r>
      <w:r w:rsidR="00C10B32" w:rsidRPr="00D20F01">
        <w:rPr>
          <w:rFonts w:ascii="Arial" w:hAnsi="Arial" w:cs="Arial"/>
          <w:color w:val="000000" w:themeColor="text1"/>
          <w:sz w:val="24"/>
          <w:szCs w:val="24"/>
          <w:lang w:val="en-GB"/>
        </w:rPr>
        <w:t xml:space="preserve"> </w:t>
      </w:r>
      <w:r w:rsidR="00C10B32" w:rsidRPr="00D20F01">
        <w:rPr>
          <w:rFonts w:ascii="Arial" w:hAnsi="Arial" w:cs="Arial"/>
          <w:color w:val="000000" w:themeColor="text1"/>
          <w:sz w:val="24"/>
          <w:szCs w:val="24"/>
          <w:shd w:val="clear" w:color="auto" w:fill="FFFFFF"/>
          <w:lang w:val="en-GB"/>
        </w:rPr>
        <w:t>Robins, 2018</w:t>
      </w:r>
      <w:r w:rsidR="00E33820" w:rsidRPr="00D20F01">
        <w:rPr>
          <w:rFonts w:ascii="Arial" w:hAnsi="Arial" w:cs="Arial"/>
          <w:color w:val="000000" w:themeColor="text1"/>
          <w:sz w:val="24"/>
          <w:szCs w:val="24"/>
          <w:lang w:val="en-GB"/>
        </w:rPr>
        <w:t xml:space="preserve"> the Lord Chief Justice's testimony before the Royal Commission, </w:t>
      </w:r>
      <w:r w:rsidRPr="00D20F01">
        <w:rPr>
          <w:rFonts w:ascii="Arial" w:hAnsi="Arial" w:cs="Arial"/>
          <w:color w:val="000000" w:themeColor="text1"/>
          <w:sz w:val="24"/>
          <w:szCs w:val="24"/>
          <w:lang w:val="en-GB"/>
        </w:rPr>
        <w:t xml:space="preserve">stated that </w:t>
      </w:r>
      <w:r w:rsidR="00E33820" w:rsidRPr="00D20F01">
        <w:rPr>
          <w:rFonts w:ascii="Arial" w:hAnsi="Arial" w:cs="Arial"/>
          <w:color w:val="000000" w:themeColor="text1"/>
          <w:sz w:val="24"/>
          <w:szCs w:val="24"/>
          <w:lang w:val="en-GB"/>
        </w:rPr>
        <w:t>the law does not consider individuals guilty of murder simply because they intend t</w:t>
      </w:r>
      <w:r w:rsidR="00C94B17" w:rsidRPr="00D20F01">
        <w:rPr>
          <w:rFonts w:ascii="Arial" w:hAnsi="Arial" w:cs="Arial"/>
          <w:color w:val="000000" w:themeColor="text1"/>
          <w:sz w:val="24"/>
          <w:szCs w:val="24"/>
          <w:lang w:val="en-GB"/>
        </w:rPr>
        <w:t>o</w:t>
      </w:r>
      <w:r w:rsidR="00334873" w:rsidRPr="00D20F01">
        <w:rPr>
          <w:rFonts w:ascii="Arial" w:hAnsi="Arial" w:cs="Arial"/>
          <w:color w:val="000000" w:themeColor="text1"/>
          <w:sz w:val="24"/>
          <w:szCs w:val="24"/>
          <w:lang w:val="en-GB"/>
        </w:rPr>
        <w:t xml:space="preserve"> inflict severe harm.</w:t>
      </w:r>
    </w:p>
    <w:p w:rsidR="00092EBA" w:rsidRPr="00D20F01" w:rsidRDefault="00334873"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In the submission to</w:t>
      </w:r>
      <w:r w:rsidR="00E33820" w:rsidRPr="00D20F01">
        <w:rPr>
          <w:rFonts w:ascii="Arial" w:hAnsi="Arial" w:cs="Arial"/>
          <w:color w:val="000000" w:themeColor="text1"/>
          <w:sz w:val="24"/>
          <w:szCs w:val="24"/>
          <w:lang w:val="en-GB"/>
        </w:rPr>
        <w:t xml:space="preserve"> the Royal </w:t>
      </w:r>
      <w:r w:rsidR="00DC7E6A" w:rsidRPr="00D20F01">
        <w:rPr>
          <w:rFonts w:ascii="Arial" w:hAnsi="Arial" w:cs="Arial"/>
          <w:color w:val="000000" w:themeColor="text1"/>
          <w:sz w:val="24"/>
          <w:szCs w:val="24"/>
          <w:lang w:val="en-GB"/>
        </w:rPr>
        <w:t>Commission</w:t>
      </w:r>
      <w:r w:rsidR="00E33820" w:rsidRPr="00D20F01">
        <w:rPr>
          <w:rFonts w:ascii="Arial" w:hAnsi="Arial" w:cs="Arial"/>
          <w:color w:val="000000" w:themeColor="text1"/>
          <w:sz w:val="24"/>
          <w:szCs w:val="24"/>
          <w:lang w:val="en-GB"/>
        </w:rPr>
        <w:t xml:space="preserve">, a very disheartening part is that </w:t>
      </w:r>
      <w:r w:rsidR="00322660" w:rsidRPr="00D20F01">
        <w:rPr>
          <w:rFonts w:ascii="Arial" w:hAnsi="Arial" w:cs="Arial"/>
          <w:color w:val="000000" w:themeColor="text1"/>
          <w:sz w:val="24"/>
          <w:szCs w:val="24"/>
          <w:lang w:val="en-GB"/>
        </w:rPr>
        <w:t>he declined to change the idea of mental wellness as a condition during the trial. The lord chief justice found certain clauses satisfactory, and without further scrutiny or proper discussion, Parliament approved the law and adopted it into the 1957 Act.</w:t>
      </w:r>
      <w:r w:rsidR="00E33820" w:rsidRPr="00D20F01">
        <w:rPr>
          <w:rFonts w:ascii="Arial" w:hAnsi="Arial" w:cs="Arial"/>
          <w:color w:val="000000" w:themeColor="text1"/>
          <w:sz w:val="24"/>
          <w:szCs w:val="24"/>
          <w:lang w:val="en-GB"/>
        </w:rPr>
        <w:t xml:space="preserve"> </w:t>
      </w:r>
    </w:p>
    <w:p w:rsidR="00AD302C" w:rsidRPr="00D20F01" w:rsidRDefault="00542AD5"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 xml:space="preserve">In </w:t>
      </w:r>
      <w:r w:rsidR="00E33820" w:rsidRPr="00D20F01">
        <w:rPr>
          <w:rFonts w:ascii="Arial" w:hAnsi="Arial" w:cs="Arial"/>
          <w:color w:val="000000" w:themeColor="text1"/>
          <w:sz w:val="24"/>
          <w:szCs w:val="24"/>
          <w:lang w:val="en-GB"/>
        </w:rPr>
        <w:t xml:space="preserve">context of UK </w:t>
      </w:r>
      <w:r w:rsidR="006E2CAA" w:rsidRPr="00D20F01">
        <w:rPr>
          <w:rFonts w:ascii="Arial" w:hAnsi="Arial" w:cs="Arial"/>
          <w:color w:val="000000" w:themeColor="text1"/>
          <w:sz w:val="24"/>
          <w:szCs w:val="24"/>
          <w:lang w:val="en-GB"/>
        </w:rPr>
        <w:t>and Wales law, there are possible</w:t>
      </w:r>
      <w:r w:rsidR="00E33820" w:rsidRPr="00D20F01">
        <w:rPr>
          <w:rFonts w:ascii="Arial" w:hAnsi="Arial" w:cs="Arial"/>
          <w:color w:val="000000" w:themeColor="text1"/>
          <w:sz w:val="24"/>
          <w:szCs w:val="24"/>
          <w:lang w:val="en-GB"/>
        </w:rPr>
        <w:t xml:space="preserve"> key issues surrounding partial </w:t>
      </w:r>
      <w:r w:rsidR="009803D4" w:rsidRPr="00D20F01">
        <w:rPr>
          <w:rFonts w:ascii="Arial" w:hAnsi="Arial" w:cs="Arial"/>
          <w:color w:val="000000" w:themeColor="text1"/>
          <w:sz w:val="24"/>
          <w:szCs w:val="24"/>
          <w:lang w:val="en-GB"/>
        </w:rPr>
        <w:t>defenc</w:t>
      </w:r>
      <w:r w:rsidR="00F408B5" w:rsidRPr="00D20F01">
        <w:rPr>
          <w:rFonts w:ascii="Arial" w:hAnsi="Arial" w:cs="Arial"/>
          <w:color w:val="000000" w:themeColor="text1"/>
          <w:sz w:val="24"/>
          <w:szCs w:val="24"/>
          <w:lang w:val="en-GB"/>
        </w:rPr>
        <w:t>es</w:t>
      </w:r>
      <w:r w:rsidR="00E33820" w:rsidRPr="00D20F01">
        <w:rPr>
          <w:rFonts w:ascii="Arial" w:hAnsi="Arial" w:cs="Arial"/>
          <w:color w:val="000000" w:themeColor="text1"/>
          <w:sz w:val="24"/>
          <w:szCs w:val="24"/>
          <w:lang w:val="en-GB"/>
        </w:rPr>
        <w:t xml:space="preserve"> to mur</w:t>
      </w:r>
      <w:r w:rsidR="006E2CAA" w:rsidRPr="00D20F01">
        <w:rPr>
          <w:rFonts w:ascii="Arial" w:hAnsi="Arial" w:cs="Arial"/>
          <w:color w:val="000000" w:themeColor="text1"/>
          <w:sz w:val="24"/>
          <w:szCs w:val="24"/>
          <w:lang w:val="en-GB"/>
        </w:rPr>
        <w:t>der, the controversy associated with</w:t>
      </w:r>
      <w:r w:rsidR="00E33820" w:rsidRPr="00D20F01">
        <w:rPr>
          <w:rFonts w:ascii="Arial" w:hAnsi="Arial" w:cs="Arial"/>
          <w:color w:val="000000" w:themeColor="text1"/>
          <w:sz w:val="24"/>
          <w:szCs w:val="24"/>
          <w:lang w:val="en-GB"/>
        </w:rPr>
        <w:t xml:space="preserve"> the intent required for murder, and the breadth</w:t>
      </w:r>
      <w:r w:rsidR="006E2CAA" w:rsidRPr="00D20F01">
        <w:rPr>
          <w:rFonts w:ascii="Arial" w:hAnsi="Arial" w:cs="Arial"/>
          <w:color w:val="000000" w:themeColor="text1"/>
          <w:sz w:val="24"/>
          <w:szCs w:val="24"/>
          <w:lang w:val="en-GB"/>
        </w:rPr>
        <w:t xml:space="preserve"> of manslaughter. We discuss each issue and bring out the clarity of the hidden factor.</w:t>
      </w:r>
    </w:p>
    <w:p w:rsidR="002E21B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Partial defences to murder are legal provisions that enable defendants to argue that their culpability for murder should be reduced to a bit lenient offense such as voluntary manslaughter.</w:t>
      </w:r>
      <w:r w:rsidR="00C10B32" w:rsidRPr="00D20F01">
        <w:rPr>
          <w:rFonts w:ascii="Arial" w:hAnsi="Arial" w:cs="Arial"/>
          <w:color w:val="000000" w:themeColor="text1"/>
          <w:sz w:val="24"/>
          <w:szCs w:val="24"/>
          <w:lang w:val="en-GB"/>
        </w:rPr>
        <w:t xml:space="preserve"> </w:t>
      </w:r>
      <w:r w:rsidRPr="00D20F01">
        <w:rPr>
          <w:rFonts w:ascii="Arial" w:hAnsi="Arial" w:cs="Arial"/>
          <w:color w:val="000000" w:themeColor="text1"/>
          <w:sz w:val="24"/>
          <w:szCs w:val="24"/>
          <w:lang w:val="en-GB"/>
        </w:rPr>
        <w:t>Such defenses acknowledge that even though the defendant caused the victim's death, there are circumstances that might have triggered their moral blam</w:t>
      </w:r>
      <w:r w:rsidR="009803D4" w:rsidRPr="00D20F01">
        <w:rPr>
          <w:rFonts w:ascii="Arial" w:hAnsi="Arial" w:cs="Arial"/>
          <w:color w:val="000000" w:themeColor="text1"/>
          <w:sz w:val="24"/>
          <w:szCs w:val="24"/>
          <w:lang w:val="en-GB"/>
        </w:rPr>
        <w:t>eworthiness</w:t>
      </w:r>
      <w:r w:rsidR="00C10B32" w:rsidRPr="00D20F01">
        <w:rPr>
          <w:rFonts w:ascii="Arial" w:hAnsi="Arial" w:cs="Arial"/>
          <w:color w:val="000000" w:themeColor="text1"/>
          <w:sz w:val="24"/>
          <w:szCs w:val="24"/>
          <w:lang w:val="en-GB"/>
        </w:rPr>
        <w:t xml:space="preserve"> (</w:t>
      </w:r>
      <w:r w:rsidR="00C10B32" w:rsidRPr="00D20F01">
        <w:rPr>
          <w:rFonts w:ascii="Arial" w:hAnsi="Arial" w:cs="Arial"/>
          <w:color w:val="000000" w:themeColor="text1"/>
          <w:sz w:val="24"/>
          <w:szCs w:val="24"/>
          <w:shd w:val="clear" w:color="auto" w:fill="FFFFFF"/>
          <w:lang w:val="en-GB"/>
        </w:rPr>
        <w:t xml:space="preserve">Long, </w:t>
      </w:r>
      <w:r w:rsidR="0068083A" w:rsidRPr="00D20F01">
        <w:rPr>
          <w:rFonts w:ascii="Arial" w:hAnsi="Arial" w:cs="Arial"/>
          <w:color w:val="000000" w:themeColor="text1"/>
          <w:sz w:val="24"/>
          <w:szCs w:val="24"/>
          <w:shd w:val="clear" w:color="auto" w:fill="FFFFFF"/>
          <w:lang w:val="en-GB"/>
        </w:rPr>
        <w:t>2018</w:t>
      </w:r>
      <w:r w:rsidR="00C10B32" w:rsidRPr="00D20F01">
        <w:rPr>
          <w:rFonts w:ascii="Arial" w:hAnsi="Arial" w:cs="Arial"/>
          <w:color w:val="000000" w:themeColor="text1"/>
          <w:sz w:val="24"/>
          <w:szCs w:val="24"/>
          <w:lang w:val="en-GB"/>
        </w:rPr>
        <w:t>)</w:t>
      </w:r>
      <w:r w:rsidR="009803D4" w:rsidRPr="00D20F01">
        <w:rPr>
          <w:rFonts w:ascii="Arial" w:hAnsi="Arial" w:cs="Arial"/>
          <w:color w:val="000000" w:themeColor="text1"/>
          <w:sz w:val="24"/>
          <w:szCs w:val="24"/>
          <w:lang w:val="en-GB"/>
        </w:rPr>
        <w:t>. According to the UK</w:t>
      </w:r>
      <w:r w:rsidRPr="00D20F01">
        <w:rPr>
          <w:rFonts w:ascii="Arial" w:hAnsi="Arial" w:cs="Arial"/>
          <w:color w:val="000000" w:themeColor="text1"/>
          <w:sz w:val="24"/>
          <w:szCs w:val="24"/>
          <w:lang w:val="en-GB"/>
        </w:rPr>
        <w:t xml:space="preserve"> and Wales law, there are three significant partial defenses. They include loss of control, suicide pact, and diminished responsibility.</w:t>
      </w:r>
    </w:p>
    <w:p w:rsidR="001311F7"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For instance, the defendant might argue that they caused the crime due to diminished responsibility. As provided in the law, a p</w:t>
      </w:r>
      <w:r w:rsidR="00C94B17" w:rsidRPr="00D20F01">
        <w:rPr>
          <w:rFonts w:ascii="Arial" w:hAnsi="Arial" w:cs="Arial"/>
          <w:color w:val="000000" w:themeColor="text1"/>
          <w:sz w:val="24"/>
          <w:szCs w:val="24"/>
          <w:lang w:val="en-GB"/>
        </w:rPr>
        <w:t xml:space="preserve">arty is not to be convicted, if </w:t>
      </w:r>
      <w:r w:rsidRPr="00D20F01">
        <w:rPr>
          <w:rFonts w:ascii="Arial" w:hAnsi="Arial" w:cs="Arial"/>
          <w:color w:val="000000" w:themeColor="text1"/>
          <w:sz w:val="24"/>
          <w:szCs w:val="24"/>
          <w:lang w:val="en-GB"/>
        </w:rPr>
        <w:t xml:space="preserve">during the time of </w:t>
      </w:r>
      <w:r w:rsidR="009803D4" w:rsidRPr="00D20F01">
        <w:rPr>
          <w:rFonts w:ascii="Arial" w:hAnsi="Arial" w:cs="Arial"/>
          <w:color w:val="000000" w:themeColor="text1"/>
          <w:sz w:val="24"/>
          <w:szCs w:val="24"/>
          <w:lang w:val="en-GB"/>
        </w:rPr>
        <w:t>committing</w:t>
      </w:r>
      <w:r w:rsidR="00542AD5" w:rsidRPr="00D20F01">
        <w:rPr>
          <w:rFonts w:ascii="Arial" w:hAnsi="Arial" w:cs="Arial"/>
          <w:color w:val="000000" w:themeColor="text1"/>
          <w:sz w:val="24"/>
          <w:szCs w:val="24"/>
          <w:lang w:val="en-GB"/>
        </w:rPr>
        <w:t xml:space="preserve"> the incident</w:t>
      </w:r>
      <w:r w:rsidRPr="00D20F01">
        <w:rPr>
          <w:rFonts w:ascii="Arial" w:hAnsi="Arial" w:cs="Arial"/>
          <w:color w:val="000000" w:themeColor="text1"/>
          <w:sz w:val="24"/>
          <w:szCs w:val="24"/>
          <w:lang w:val="en-GB"/>
        </w:rPr>
        <w:t>, he was suffering from an a</w:t>
      </w:r>
      <w:r w:rsidR="00542AD5" w:rsidRPr="00D20F01">
        <w:rPr>
          <w:rFonts w:ascii="Arial" w:hAnsi="Arial" w:cs="Arial"/>
          <w:color w:val="000000" w:themeColor="text1"/>
          <w:sz w:val="24"/>
          <w:szCs w:val="24"/>
          <w:lang w:val="en-GB"/>
        </w:rPr>
        <w:t>bnormality of mental unwellness</w:t>
      </w:r>
      <w:r w:rsidRPr="00D20F01">
        <w:rPr>
          <w:rFonts w:ascii="Arial" w:hAnsi="Arial" w:cs="Arial"/>
          <w:color w:val="000000" w:themeColor="text1"/>
          <w:sz w:val="24"/>
          <w:szCs w:val="24"/>
          <w:lang w:val="en-GB"/>
        </w:rPr>
        <w:t xml:space="preserve">. This </w:t>
      </w:r>
      <w:r w:rsidRPr="00D20F01">
        <w:rPr>
          <w:rFonts w:ascii="Arial" w:hAnsi="Arial" w:cs="Arial"/>
          <w:color w:val="000000" w:themeColor="text1"/>
          <w:sz w:val="24"/>
          <w:szCs w:val="24"/>
          <w:lang w:val="en-GB"/>
        </w:rPr>
        <w:lastRenderedPageBreak/>
        <w:t xml:space="preserve">might include but not limited to a recognized medical condition, a substantial impairment and providing an explanation of doing such acts and </w:t>
      </w:r>
      <w:r w:rsidR="009803D4" w:rsidRPr="00D20F01">
        <w:rPr>
          <w:rFonts w:ascii="Arial" w:hAnsi="Arial" w:cs="Arial"/>
          <w:color w:val="000000" w:themeColor="text1"/>
          <w:sz w:val="24"/>
          <w:szCs w:val="24"/>
          <w:lang w:val="en-GB"/>
        </w:rPr>
        <w:t>omissions</w:t>
      </w:r>
      <w:r w:rsidRPr="00D20F01">
        <w:rPr>
          <w:rFonts w:ascii="Arial" w:hAnsi="Arial" w:cs="Arial"/>
          <w:color w:val="000000" w:themeColor="text1"/>
          <w:sz w:val="24"/>
          <w:szCs w:val="24"/>
          <w:lang w:val="en-GB"/>
        </w:rPr>
        <w:t xml:space="preserve"> in doing or being partly to the killing</w:t>
      </w:r>
      <w:r w:rsidR="00C10B32" w:rsidRPr="00D20F01">
        <w:rPr>
          <w:rFonts w:ascii="Arial" w:hAnsi="Arial" w:cs="Arial"/>
          <w:color w:val="000000" w:themeColor="text1"/>
          <w:sz w:val="24"/>
          <w:szCs w:val="24"/>
          <w:lang w:val="en-GB"/>
        </w:rPr>
        <w:t xml:space="preserve"> (</w:t>
      </w:r>
      <w:r w:rsidR="00C10B32" w:rsidRPr="00D20F01">
        <w:rPr>
          <w:rFonts w:ascii="Arial" w:hAnsi="Arial" w:cs="Arial"/>
          <w:color w:val="000000" w:themeColor="text1"/>
          <w:sz w:val="24"/>
          <w:szCs w:val="24"/>
          <w:shd w:val="clear" w:color="auto" w:fill="FFFFFF"/>
          <w:lang w:val="en-GB"/>
        </w:rPr>
        <w:t xml:space="preserve">Bonicalzi and Haggard, </w:t>
      </w:r>
      <w:r w:rsidR="00C94B17" w:rsidRPr="00D20F01">
        <w:rPr>
          <w:rFonts w:ascii="Arial" w:hAnsi="Arial" w:cs="Arial"/>
          <w:color w:val="000000" w:themeColor="text1"/>
          <w:sz w:val="24"/>
          <w:szCs w:val="24"/>
          <w:shd w:val="clear" w:color="auto" w:fill="FFFFFF"/>
          <w:lang w:val="en-GB"/>
        </w:rPr>
        <w:t>2019</w:t>
      </w:r>
      <w:r w:rsidR="00C10B32" w:rsidRPr="00D20F01">
        <w:rPr>
          <w:rFonts w:ascii="Arial" w:hAnsi="Arial" w:cs="Arial"/>
          <w:color w:val="000000" w:themeColor="text1"/>
          <w:sz w:val="24"/>
          <w:szCs w:val="24"/>
          <w:lang w:val="en-GB"/>
        </w:rPr>
        <w:t>)</w:t>
      </w:r>
      <w:r w:rsidR="00AD302C" w:rsidRPr="00D20F01">
        <w:rPr>
          <w:rFonts w:ascii="Arial" w:hAnsi="Arial" w:cs="Arial"/>
          <w:color w:val="000000" w:themeColor="text1"/>
          <w:sz w:val="24"/>
          <w:szCs w:val="24"/>
          <w:lang w:val="en-GB"/>
        </w:rPr>
        <w:t>.</w:t>
      </w:r>
    </w:p>
    <w:p w:rsidR="009253E5" w:rsidRPr="00D20F01" w:rsidRDefault="00542AD5"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Under</w:t>
      </w:r>
      <w:r w:rsidR="00C94B17" w:rsidRPr="00D20F01">
        <w:rPr>
          <w:rFonts w:ascii="Arial" w:hAnsi="Arial" w:cs="Arial"/>
          <w:color w:val="000000" w:themeColor="text1"/>
          <w:sz w:val="24"/>
          <w:szCs w:val="24"/>
          <w:lang w:val="en-GB"/>
        </w:rPr>
        <w:t xml:space="preserve"> loss of contr</w:t>
      </w:r>
      <w:r w:rsidR="00334873" w:rsidRPr="00D20F01">
        <w:rPr>
          <w:rFonts w:ascii="Arial" w:hAnsi="Arial" w:cs="Arial"/>
          <w:color w:val="000000" w:themeColor="text1"/>
          <w:sz w:val="24"/>
          <w:szCs w:val="24"/>
          <w:lang w:val="en-GB"/>
        </w:rPr>
        <w:t xml:space="preserve">ol, the defendant might suggest that his/her </w:t>
      </w:r>
      <w:r w:rsidR="00E33820" w:rsidRPr="00D20F01">
        <w:rPr>
          <w:rFonts w:ascii="Arial" w:hAnsi="Arial" w:cs="Arial"/>
          <w:color w:val="000000" w:themeColor="text1"/>
          <w:sz w:val="24"/>
          <w:szCs w:val="24"/>
          <w:lang w:val="en-GB"/>
        </w:rPr>
        <w:t xml:space="preserve">actions resulted from a lack of </w:t>
      </w:r>
      <w:r w:rsidR="009803D4" w:rsidRPr="00D20F01">
        <w:rPr>
          <w:rFonts w:ascii="Arial" w:hAnsi="Arial" w:cs="Arial"/>
          <w:color w:val="000000" w:themeColor="text1"/>
          <w:sz w:val="24"/>
          <w:szCs w:val="24"/>
          <w:lang w:val="en-GB"/>
        </w:rPr>
        <w:t>self-control</w:t>
      </w:r>
      <w:r w:rsidR="00E33820" w:rsidRPr="00D20F01">
        <w:rPr>
          <w:rFonts w:ascii="Arial" w:hAnsi="Arial" w:cs="Arial"/>
          <w:color w:val="000000" w:themeColor="text1"/>
          <w:sz w:val="24"/>
          <w:szCs w:val="24"/>
          <w:lang w:val="en-GB"/>
        </w:rPr>
        <w:t xml:space="preserve"> that had a qualifying trigger. The law provides instances that prove an action was a qualifying trigger. It includes the justifiable cause of being seriously wronged or constituted circumstances of an extremely grave character</w:t>
      </w:r>
      <w:r w:rsidR="00C10B32" w:rsidRPr="00D20F01">
        <w:rPr>
          <w:rFonts w:ascii="Arial" w:hAnsi="Arial" w:cs="Arial"/>
          <w:color w:val="000000" w:themeColor="text1"/>
          <w:sz w:val="24"/>
          <w:szCs w:val="24"/>
          <w:lang w:val="en-GB"/>
        </w:rPr>
        <w:t xml:space="preserve"> (</w:t>
      </w:r>
      <w:r w:rsidR="00C10B32" w:rsidRPr="00D20F01">
        <w:rPr>
          <w:rFonts w:ascii="Arial" w:hAnsi="Arial" w:cs="Arial"/>
          <w:color w:val="000000" w:themeColor="text1"/>
          <w:sz w:val="24"/>
          <w:szCs w:val="24"/>
          <w:shd w:val="clear" w:color="auto" w:fill="FFFFFF"/>
          <w:lang w:val="en-GB"/>
        </w:rPr>
        <w:t>Ellison, 2019</w:t>
      </w:r>
      <w:r w:rsidR="00C10B32" w:rsidRPr="00D20F01">
        <w:rPr>
          <w:rFonts w:ascii="Arial" w:hAnsi="Arial" w:cs="Arial"/>
          <w:color w:val="000000" w:themeColor="text1"/>
          <w:sz w:val="24"/>
          <w:szCs w:val="24"/>
          <w:lang w:val="en-GB"/>
        </w:rPr>
        <w:t>)</w:t>
      </w:r>
      <w:r w:rsidR="00E33820" w:rsidRPr="00D20F01">
        <w:rPr>
          <w:rFonts w:ascii="Arial" w:hAnsi="Arial" w:cs="Arial"/>
          <w:color w:val="000000" w:themeColor="text1"/>
          <w:sz w:val="24"/>
          <w:szCs w:val="24"/>
          <w:lang w:val="en-GB"/>
        </w:rPr>
        <w:t>. If two or more people come to an agreement to commit suicide</w:t>
      </w:r>
      <w:r w:rsidR="005E3EED" w:rsidRPr="00D20F01">
        <w:rPr>
          <w:rFonts w:ascii="Arial" w:hAnsi="Arial" w:cs="Arial"/>
          <w:color w:val="000000" w:themeColor="text1"/>
          <w:sz w:val="24"/>
          <w:szCs w:val="24"/>
          <w:lang w:val="en-GB"/>
        </w:rPr>
        <w:t>, and one of them survives, use of</w:t>
      </w:r>
      <w:r w:rsidR="00E33820" w:rsidRPr="00D20F01">
        <w:rPr>
          <w:rFonts w:ascii="Arial" w:hAnsi="Arial" w:cs="Arial"/>
          <w:color w:val="000000" w:themeColor="text1"/>
          <w:sz w:val="24"/>
          <w:szCs w:val="24"/>
          <w:lang w:val="en-GB"/>
        </w:rPr>
        <w:t xml:space="preserve"> Suicide Pact as a legal defense</w:t>
      </w:r>
      <w:r w:rsidR="005E3EED" w:rsidRPr="00D20F01">
        <w:rPr>
          <w:rFonts w:ascii="Arial" w:hAnsi="Arial" w:cs="Arial"/>
          <w:color w:val="000000" w:themeColor="text1"/>
          <w:sz w:val="24"/>
          <w:szCs w:val="24"/>
          <w:lang w:val="en-GB"/>
        </w:rPr>
        <w:t xml:space="preserve"> will be efficient in such scenario</w:t>
      </w:r>
      <w:r w:rsidR="00E33820" w:rsidRPr="00D20F01">
        <w:rPr>
          <w:rFonts w:ascii="Arial" w:hAnsi="Arial" w:cs="Arial"/>
          <w:color w:val="000000" w:themeColor="text1"/>
          <w:sz w:val="24"/>
          <w:szCs w:val="24"/>
          <w:lang w:val="en-GB"/>
        </w:rPr>
        <w:t>. The defendant may avoid a murder conviction by arguing that the victim approved of the killing.</w:t>
      </w:r>
    </w:p>
    <w:p w:rsidR="00BD5720"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 element of murder that requires premeditation is crucial in criminal law. Murder is the premeditated and deliberate killing of an</w:t>
      </w:r>
      <w:r w:rsidR="00A8691B" w:rsidRPr="00D20F01">
        <w:rPr>
          <w:rFonts w:ascii="Arial" w:hAnsi="Arial" w:cs="Arial"/>
          <w:color w:val="000000" w:themeColor="text1"/>
          <w:sz w:val="24"/>
          <w:szCs w:val="24"/>
          <w:lang w:val="en-GB"/>
        </w:rPr>
        <w:t xml:space="preserve">other individual in England and Wales. </w:t>
      </w:r>
      <w:r w:rsidR="0068083A" w:rsidRPr="00D20F01">
        <w:rPr>
          <w:rFonts w:ascii="Arial" w:hAnsi="Arial" w:cs="Arial"/>
          <w:color w:val="000000" w:themeColor="text1"/>
          <w:sz w:val="24"/>
          <w:szCs w:val="24"/>
          <w:lang w:val="en-GB"/>
        </w:rPr>
        <w:t>To commit</w:t>
      </w:r>
      <w:r w:rsidRPr="00D20F01">
        <w:rPr>
          <w:rFonts w:ascii="Arial" w:hAnsi="Arial" w:cs="Arial"/>
          <w:color w:val="000000" w:themeColor="text1"/>
          <w:sz w:val="24"/>
          <w:szCs w:val="24"/>
          <w:lang w:val="en-GB"/>
        </w:rPr>
        <w:t xml:space="preserve"> an offense wi</w:t>
      </w:r>
      <w:r w:rsidR="00A8691B" w:rsidRPr="00D20F01">
        <w:rPr>
          <w:rFonts w:ascii="Arial" w:hAnsi="Arial" w:cs="Arial"/>
          <w:color w:val="000000" w:themeColor="text1"/>
          <w:sz w:val="24"/>
          <w:szCs w:val="24"/>
          <w:lang w:val="en-GB"/>
        </w:rPr>
        <w:t>th "malice aforethought" implies</w:t>
      </w:r>
      <w:r w:rsidRPr="00D20F01">
        <w:rPr>
          <w:rFonts w:ascii="Arial" w:hAnsi="Arial" w:cs="Arial"/>
          <w:color w:val="000000" w:themeColor="text1"/>
          <w:sz w:val="24"/>
          <w:szCs w:val="24"/>
          <w:lang w:val="en-GB"/>
        </w:rPr>
        <w:t xml:space="preserve"> that the offe</w:t>
      </w:r>
      <w:r w:rsidR="003B129D" w:rsidRPr="00D20F01">
        <w:rPr>
          <w:rFonts w:ascii="Arial" w:hAnsi="Arial" w:cs="Arial"/>
          <w:color w:val="000000" w:themeColor="text1"/>
          <w:sz w:val="24"/>
          <w:szCs w:val="24"/>
          <w:lang w:val="en-GB"/>
        </w:rPr>
        <w:t>nder intended to do severe damage</w:t>
      </w:r>
      <w:r w:rsidRPr="00D20F01">
        <w:rPr>
          <w:rFonts w:ascii="Arial" w:hAnsi="Arial" w:cs="Arial"/>
          <w:color w:val="000000" w:themeColor="text1"/>
          <w:sz w:val="24"/>
          <w:szCs w:val="24"/>
          <w:lang w:val="en-GB"/>
        </w:rPr>
        <w:t xml:space="preserve"> or murder</w:t>
      </w:r>
      <w:r w:rsidR="005E3EED" w:rsidRPr="00D20F01">
        <w:rPr>
          <w:rFonts w:ascii="Arial" w:hAnsi="Arial" w:cs="Arial"/>
          <w:color w:val="000000" w:themeColor="text1"/>
          <w:sz w:val="24"/>
          <w:szCs w:val="24"/>
          <w:lang w:val="en-GB"/>
        </w:rPr>
        <w:t xml:space="preserve"> to</w:t>
      </w:r>
      <w:r w:rsidRPr="00D20F01">
        <w:rPr>
          <w:rFonts w:ascii="Arial" w:hAnsi="Arial" w:cs="Arial"/>
          <w:color w:val="000000" w:themeColor="text1"/>
          <w:sz w:val="24"/>
          <w:szCs w:val="24"/>
          <w:lang w:val="en-GB"/>
        </w:rPr>
        <w:t xml:space="preserve"> the victim</w:t>
      </w:r>
      <w:r w:rsidR="00C10B32" w:rsidRPr="00D20F01">
        <w:rPr>
          <w:rFonts w:ascii="Arial" w:hAnsi="Arial" w:cs="Arial"/>
          <w:color w:val="000000" w:themeColor="text1"/>
          <w:sz w:val="24"/>
          <w:szCs w:val="24"/>
          <w:lang w:val="en-GB"/>
        </w:rPr>
        <w:t xml:space="preserve"> (</w:t>
      </w:r>
      <w:r w:rsidR="00C10B32" w:rsidRPr="00D20F01">
        <w:rPr>
          <w:rFonts w:ascii="Arial" w:hAnsi="Arial" w:cs="Arial"/>
          <w:color w:val="000000" w:themeColor="text1"/>
          <w:sz w:val="24"/>
          <w:szCs w:val="24"/>
          <w:shd w:val="clear" w:color="auto" w:fill="FFFFFF"/>
          <w:lang w:val="en-GB"/>
        </w:rPr>
        <w:t>Baker, 2021</w:t>
      </w:r>
      <w:r w:rsidR="00C10B32"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w:t>
      </w:r>
    </w:p>
    <w:p w:rsidR="00BD5720"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The subjective assessment</w:t>
      </w:r>
      <w:r w:rsidR="00542AD5" w:rsidRPr="00D20F01">
        <w:rPr>
          <w:rFonts w:ascii="Arial" w:hAnsi="Arial" w:cs="Arial"/>
          <w:color w:val="000000" w:themeColor="text1"/>
          <w:sz w:val="24"/>
          <w:szCs w:val="24"/>
          <w:lang w:val="en-GB"/>
        </w:rPr>
        <w:t xml:space="preserve"> of the defendant’s mental wellness</w:t>
      </w:r>
      <w:r w:rsidRPr="00D20F01">
        <w:rPr>
          <w:rFonts w:ascii="Arial" w:hAnsi="Arial" w:cs="Arial"/>
          <w:color w:val="000000" w:themeColor="text1"/>
          <w:sz w:val="24"/>
          <w:szCs w:val="24"/>
          <w:lang w:val="en-GB"/>
        </w:rPr>
        <w:t xml:space="preserve"> during the offense is at the heart of the debate regarding intent for murder. The existing law has been criticized for its focus on the defendant's intent, which some say blurs the line b</w:t>
      </w:r>
      <w:r w:rsidR="00F408B5" w:rsidRPr="00D20F01">
        <w:rPr>
          <w:rFonts w:ascii="Arial" w:hAnsi="Arial" w:cs="Arial"/>
          <w:color w:val="000000" w:themeColor="text1"/>
          <w:sz w:val="24"/>
          <w:szCs w:val="24"/>
          <w:lang w:val="en-GB"/>
        </w:rPr>
        <w:t>etween murder and manslaughter.</w:t>
      </w:r>
    </w:p>
    <w:p w:rsidR="00BD5720"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Unlike murder, the primary goal in manslaughter cases is not to kill or seriously injure</w:t>
      </w:r>
      <w:r w:rsidR="008F4379" w:rsidRPr="00D20F01">
        <w:rPr>
          <w:rFonts w:ascii="Arial" w:hAnsi="Arial" w:cs="Arial"/>
          <w:color w:val="000000" w:themeColor="text1"/>
          <w:sz w:val="24"/>
          <w:szCs w:val="24"/>
          <w:lang w:val="en-GB"/>
        </w:rPr>
        <w:t xml:space="preserve"> the victim. However, many</w:t>
      </w:r>
      <w:r w:rsidRPr="00D20F01">
        <w:rPr>
          <w:rFonts w:ascii="Arial" w:hAnsi="Arial" w:cs="Arial"/>
          <w:color w:val="000000" w:themeColor="text1"/>
          <w:sz w:val="24"/>
          <w:szCs w:val="24"/>
          <w:lang w:val="en-GB"/>
        </w:rPr>
        <w:t xml:space="preserve"> believe the current rule on manslaughter is far too inclusive</w:t>
      </w:r>
      <w:r w:rsidR="008F4379" w:rsidRPr="00D20F01">
        <w:rPr>
          <w:rFonts w:ascii="Arial" w:hAnsi="Arial" w:cs="Arial"/>
          <w:color w:val="000000" w:themeColor="text1"/>
          <w:sz w:val="24"/>
          <w:szCs w:val="24"/>
          <w:lang w:val="en-GB"/>
        </w:rPr>
        <w:t xml:space="preserve"> or lenient</w:t>
      </w:r>
      <w:r w:rsidR="00C94B17" w:rsidRPr="00D20F01">
        <w:rPr>
          <w:rFonts w:ascii="Arial" w:hAnsi="Arial" w:cs="Arial"/>
          <w:color w:val="000000" w:themeColor="text1"/>
          <w:sz w:val="24"/>
          <w:szCs w:val="24"/>
          <w:lang w:val="en-GB"/>
        </w:rPr>
        <w:t>. Therefore</w:t>
      </w:r>
      <w:r w:rsidRPr="00D20F01">
        <w:rPr>
          <w:rFonts w:ascii="Arial" w:hAnsi="Arial" w:cs="Arial"/>
          <w:color w:val="000000" w:themeColor="text1"/>
          <w:sz w:val="24"/>
          <w:szCs w:val="24"/>
          <w:lang w:val="en-GB"/>
        </w:rPr>
        <w:t xml:space="preserve"> covering a wide variety of situations that are best dealt with by other crimes or classifications.</w:t>
      </w:r>
    </w:p>
    <w:p w:rsidR="005E3EED"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Some people think the present manslaughter laws aren't strict enough since they don't differentiate between cases of simple negligence and recklessness or other elements that lead to someone's death</w:t>
      </w:r>
      <w:r w:rsidR="00C10B32" w:rsidRPr="00D20F01">
        <w:rPr>
          <w:rFonts w:ascii="Arial" w:hAnsi="Arial" w:cs="Arial"/>
          <w:color w:val="000000" w:themeColor="text1"/>
          <w:sz w:val="24"/>
          <w:szCs w:val="24"/>
          <w:lang w:val="en-GB"/>
        </w:rPr>
        <w:t xml:space="preserve"> (</w:t>
      </w:r>
      <w:r w:rsidR="00C423E9" w:rsidRPr="00D20F01">
        <w:rPr>
          <w:rFonts w:ascii="Arial" w:hAnsi="Arial" w:cs="Arial"/>
          <w:color w:val="000000" w:themeColor="text1"/>
          <w:sz w:val="24"/>
          <w:szCs w:val="24"/>
          <w:shd w:val="clear" w:color="auto" w:fill="FFFFFF"/>
          <w:lang w:val="en-GB"/>
        </w:rPr>
        <w:t>Simester, 2021</w:t>
      </w:r>
      <w:r w:rsidR="00C10B32"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Inconsistencies in the handling of individual cases can give the impression that justice is being meted out unevenly or not at all.</w:t>
      </w:r>
    </w:p>
    <w:p w:rsidR="006D0EB0" w:rsidRPr="00D20F01" w:rsidRDefault="003459F4"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Several proposals have been made by the Law Commission</w:t>
      </w:r>
      <w:r w:rsidR="00C94B17"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xml:space="preserve"> an independent body in the UK and WALES</w:t>
      </w:r>
      <w:r w:rsidR="00C94B17" w:rsidRPr="00D20F01">
        <w:rPr>
          <w:rFonts w:ascii="Arial" w:hAnsi="Arial" w:cs="Arial"/>
          <w:color w:val="000000" w:themeColor="text1"/>
          <w:sz w:val="24"/>
          <w:szCs w:val="24"/>
          <w:lang w:val="en-GB"/>
        </w:rPr>
        <w:t>. T</w:t>
      </w:r>
      <w:r w:rsidR="00E33820" w:rsidRPr="00D20F01">
        <w:rPr>
          <w:rFonts w:ascii="Arial" w:hAnsi="Arial" w:cs="Arial"/>
          <w:color w:val="000000" w:themeColor="text1"/>
          <w:sz w:val="24"/>
          <w:szCs w:val="24"/>
          <w:lang w:val="en-GB"/>
        </w:rPr>
        <w:t xml:space="preserve">he </w:t>
      </w:r>
      <w:r w:rsidR="00C94B17" w:rsidRPr="00D20F01">
        <w:rPr>
          <w:rFonts w:ascii="Arial" w:hAnsi="Arial" w:cs="Arial"/>
          <w:color w:val="000000" w:themeColor="text1"/>
          <w:sz w:val="24"/>
          <w:szCs w:val="24"/>
          <w:lang w:val="en-GB"/>
        </w:rPr>
        <w:t xml:space="preserve">main aim is to </w:t>
      </w:r>
      <w:r w:rsidR="00E33820" w:rsidRPr="00D20F01">
        <w:rPr>
          <w:rFonts w:ascii="Arial" w:hAnsi="Arial" w:cs="Arial"/>
          <w:color w:val="000000" w:themeColor="text1"/>
          <w:sz w:val="24"/>
          <w:szCs w:val="24"/>
          <w:lang w:val="en-GB"/>
        </w:rPr>
        <w:t>ad</w:t>
      </w:r>
      <w:r w:rsidR="00C94B17" w:rsidRPr="00D20F01">
        <w:rPr>
          <w:rFonts w:ascii="Arial" w:hAnsi="Arial" w:cs="Arial"/>
          <w:color w:val="000000" w:themeColor="text1"/>
          <w:sz w:val="24"/>
          <w:szCs w:val="24"/>
          <w:lang w:val="en-GB"/>
        </w:rPr>
        <w:t>dress</w:t>
      </w:r>
      <w:r w:rsidR="00E33820" w:rsidRPr="00D20F01">
        <w:rPr>
          <w:rFonts w:ascii="Arial" w:hAnsi="Arial" w:cs="Arial"/>
          <w:color w:val="000000" w:themeColor="text1"/>
          <w:sz w:val="24"/>
          <w:szCs w:val="24"/>
          <w:lang w:val="en-GB"/>
        </w:rPr>
        <w:t xml:space="preserve"> issues that have arisen </w:t>
      </w:r>
      <w:r w:rsidR="00785E98" w:rsidRPr="00D20F01">
        <w:rPr>
          <w:rFonts w:ascii="Arial" w:hAnsi="Arial" w:cs="Arial"/>
          <w:color w:val="000000" w:themeColor="text1"/>
          <w:sz w:val="24"/>
          <w:szCs w:val="24"/>
          <w:lang w:val="en-GB"/>
        </w:rPr>
        <w:t>concerning</w:t>
      </w:r>
      <w:r w:rsidR="00E33820" w:rsidRPr="00D20F01">
        <w:rPr>
          <w:rFonts w:ascii="Arial" w:hAnsi="Arial" w:cs="Arial"/>
          <w:color w:val="000000" w:themeColor="text1"/>
          <w:sz w:val="24"/>
          <w:szCs w:val="24"/>
          <w:lang w:val="en-GB"/>
        </w:rPr>
        <w:t xml:space="preserve"> the current</w:t>
      </w:r>
      <w:r w:rsidRPr="00D20F01">
        <w:rPr>
          <w:rFonts w:ascii="Arial" w:hAnsi="Arial" w:cs="Arial"/>
          <w:color w:val="000000" w:themeColor="text1"/>
          <w:sz w:val="24"/>
          <w:szCs w:val="24"/>
          <w:lang w:val="en-GB"/>
        </w:rPr>
        <w:t xml:space="preserve"> law in place</w:t>
      </w:r>
      <w:r w:rsidR="00E33820" w:rsidRPr="00D20F01">
        <w:rPr>
          <w:rFonts w:ascii="Arial" w:hAnsi="Arial" w:cs="Arial"/>
          <w:color w:val="000000" w:themeColor="text1"/>
          <w:sz w:val="24"/>
          <w:szCs w:val="24"/>
          <w:lang w:val="en-GB"/>
        </w:rPr>
        <w:t>.</w:t>
      </w:r>
    </w:p>
    <w:p w:rsidR="00231A5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lastRenderedPageBreak/>
        <w:t xml:space="preserve">For instance in the current partial </w:t>
      </w:r>
      <w:r w:rsidR="00412824" w:rsidRPr="00D20F01">
        <w:rPr>
          <w:rFonts w:ascii="Arial" w:hAnsi="Arial" w:cs="Arial"/>
          <w:color w:val="000000" w:themeColor="text1"/>
          <w:sz w:val="24"/>
          <w:szCs w:val="24"/>
          <w:lang w:val="en-GB"/>
        </w:rPr>
        <w:t>defences</w:t>
      </w:r>
      <w:r w:rsidRPr="00D20F01">
        <w:rPr>
          <w:rFonts w:ascii="Arial" w:hAnsi="Arial" w:cs="Arial"/>
          <w:color w:val="000000" w:themeColor="text1"/>
          <w:sz w:val="24"/>
          <w:szCs w:val="24"/>
          <w:lang w:val="en-GB"/>
        </w:rPr>
        <w:t xml:space="preserve"> of lessened responsibility and loss of control. The Law Commission has put forward a new partial </w:t>
      </w:r>
      <w:r w:rsidR="00412824" w:rsidRPr="00D20F01">
        <w:rPr>
          <w:rFonts w:ascii="Arial" w:hAnsi="Arial" w:cs="Arial"/>
          <w:color w:val="000000" w:themeColor="text1"/>
          <w:sz w:val="24"/>
          <w:szCs w:val="24"/>
          <w:lang w:val="en-GB"/>
        </w:rPr>
        <w:t>defence</w:t>
      </w:r>
      <w:r w:rsidRPr="00D20F01">
        <w:rPr>
          <w:rFonts w:ascii="Arial" w:hAnsi="Arial" w:cs="Arial"/>
          <w:color w:val="000000" w:themeColor="text1"/>
          <w:sz w:val="24"/>
          <w:szCs w:val="24"/>
          <w:lang w:val="en-GB"/>
        </w:rPr>
        <w:t xml:space="preserve"> simply titled "loss of control." The purpose of this proposal change is to ensure the legislation</w:t>
      </w:r>
      <w:r w:rsidR="00C423E9" w:rsidRPr="00D20F01">
        <w:rPr>
          <w:rFonts w:ascii="Arial" w:hAnsi="Arial" w:cs="Arial"/>
          <w:color w:val="000000" w:themeColor="text1"/>
          <w:sz w:val="24"/>
          <w:szCs w:val="24"/>
          <w:lang w:val="en-GB"/>
        </w:rPr>
        <w:t xml:space="preserve"> is</w:t>
      </w:r>
      <w:r w:rsidRPr="00D20F01">
        <w:rPr>
          <w:rFonts w:ascii="Arial" w:hAnsi="Arial" w:cs="Arial"/>
          <w:color w:val="000000" w:themeColor="text1"/>
          <w:sz w:val="24"/>
          <w:szCs w:val="24"/>
          <w:lang w:val="en-GB"/>
        </w:rPr>
        <w:t xml:space="preserve"> easier to understand and apply uniformly</w:t>
      </w:r>
      <w:r w:rsidR="00C423E9" w:rsidRPr="00D20F01">
        <w:rPr>
          <w:rFonts w:ascii="Arial" w:hAnsi="Arial" w:cs="Arial"/>
          <w:color w:val="000000" w:themeColor="text1"/>
          <w:sz w:val="24"/>
          <w:szCs w:val="24"/>
          <w:lang w:val="en-GB"/>
        </w:rPr>
        <w:t xml:space="preserve"> (</w:t>
      </w:r>
      <w:r w:rsidR="00C423E9" w:rsidRPr="00D20F01">
        <w:rPr>
          <w:rFonts w:ascii="Arial" w:hAnsi="Arial" w:cs="Arial"/>
          <w:color w:val="000000" w:themeColor="text1"/>
          <w:sz w:val="24"/>
          <w:szCs w:val="24"/>
          <w:shd w:val="clear" w:color="auto" w:fill="FFFFFF"/>
          <w:lang w:val="en-GB"/>
        </w:rPr>
        <w:t>Atkins</w:t>
      </w:r>
      <w:r w:rsidR="00A8691B" w:rsidRPr="00D20F01">
        <w:rPr>
          <w:rFonts w:ascii="Arial" w:hAnsi="Arial" w:cs="Arial"/>
          <w:color w:val="000000" w:themeColor="text1"/>
          <w:sz w:val="24"/>
          <w:szCs w:val="24"/>
          <w:shd w:val="clear" w:color="auto" w:fill="FFFFFF"/>
          <w:lang w:val="en-GB"/>
        </w:rPr>
        <w:t xml:space="preserve"> and Brenda, 2018</w:t>
      </w:r>
      <w:r w:rsidR="00C423E9"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w:t>
      </w:r>
    </w:p>
    <w:p w:rsidR="00231A5A"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In recent years the Intentional homicide law has been called for clarification and updating the law on intention</w:t>
      </w:r>
      <w:r w:rsidR="00C423E9" w:rsidRPr="00D20F01">
        <w:rPr>
          <w:rFonts w:ascii="Arial" w:hAnsi="Arial" w:cs="Arial"/>
          <w:color w:val="000000" w:themeColor="text1"/>
          <w:sz w:val="24"/>
          <w:szCs w:val="24"/>
          <w:lang w:val="en-GB"/>
        </w:rPr>
        <w:t xml:space="preserve"> (</w:t>
      </w:r>
      <w:r w:rsidR="00C423E9" w:rsidRPr="00D20F01">
        <w:rPr>
          <w:rFonts w:ascii="Arial" w:hAnsi="Arial" w:cs="Arial"/>
          <w:color w:val="000000" w:themeColor="text1"/>
          <w:sz w:val="24"/>
          <w:szCs w:val="24"/>
          <w:shd w:val="clear" w:color="auto" w:fill="FFFFFF"/>
          <w:lang w:val="en-GB"/>
        </w:rPr>
        <w:t>Kaplan et al., 2021</w:t>
      </w:r>
      <w:r w:rsidR="00C423E9"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The complexity surrounding the whole idea of oblique intent has prompted the Law Commission to suggest amendments to offer a clear definition of intention.</w:t>
      </w:r>
    </w:p>
    <w:p w:rsidR="00027058"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Proposals to amend the law on different degrees of murder. Some of the proposals include different degrees of murder ranging from first degree to second degree.</w:t>
      </w:r>
      <w:r w:rsidR="005E3EED" w:rsidRPr="00D20F01">
        <w:rPr>
          <w:rFonts w:ascii="Arial" w:hAnsi="Arial" w:cs="Arial"/>
          <w:color w:val="000000" w:themeColor="text1"/>
          <w:sz w:val="24"/>
          <w:szCs w:val="24"/>
          <w:lang w:val="en-GB"/>
        </w:rPr>
        <w:t xml:space="preserve"> This would ensure</w:t>
      </w:r>
      <w:r w:rsidR="00C423E9" w:rsidRPr="00D20F01">
        <w:rPr>
          <w:rFonts w:ascii="Arial" w:hAnsi="Arial" w:cs="Arial"/>
          <w:color w:val="000000" w:themeColor="text1"/>
          <w:sz w:val="24"/>
          <w:szCs w:val="24"/>
          <w:lang w:val="en-GB"/>
        </w:rPr>
        <w:t xml:space="preserve"> different cases on murder have different charge sheets.</w:t>
      </w:r>
      <w:r w:rsidR="002C1520" w:rsidRPr="00D20F01">
        <w:rPr>
          <w:rFonts w:ascii="Arial" w:hAnsi="Arial" w:cs="Arial"/>
          <w:color w:val="000000" w:themeColor="text1"/>
          <w:sz w:val="24"/>
          <w:szCs w:val="24"/>
          <w:lang w:val="en-GB"/>
        </w:rPr>
        <w:t xml:space="preserve"> Lastly, as part of updating the homicide statutes, a new statutory offense should be created. The imposition of homicide liability could be facilitated if this charge had a narrower mens rea and fewer prerequisites for causation than the current manslaughter offences (</w:t>
      </w:r>
      <w:r w:rsidR="002C1520" w:rsidRPr="00D20F01">
        <w:rPr>
          <w:rFonts w:ascii="Arial" w:hAnsi="Arial" w:cs="Arial"/>
          <w:color w:val="000000" w:themeColor="text1"/>
          <w:sz w:val="24"/>
          <w:szCs w:val="24"/>
          <w:shd w:val="clear" w:color="auto" w:fill="FFFFFF"/>
          <w:lang w:val="en-GB"/>
        </w:rPr>
        <w:t>Beavers, 2023</w:t>
      </w:r>
      <w:r w:rsidR="002C1520" w:rsidRPr="00D20F01">
        <w:rPr>
          <w:rFonts w:ascii="Arial" w:hAnsi="Arial" w:cs="Arial"/>
          <w:color w:val="000000" w:themeColor="text1"/>
          <w:sz w:val="24"/>
          <w:szCs w:val="24"/>
          <w:lang w:val="en-GB"/>
        </w:rPr>
        <w:t>)</w:t>
      </w:r>
    </w:p>
    <w:p w:rsidR="00350312" w:rsidRPr="00D20F01" w:rsidRDefault="00A117BD"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Several factors such as Political</w:t>
      </w:r>
      <w:r w:rsidR="00E33820" w:rsidRPr="00D20F01">
        <w:rPr>
          <w:rFonts w:ascii="Arial" w:hAnsi="Arial" w:cs="Arial"/>
          <w:color w:val="000000" w:themeColor="text1"/>
          <w:sz w:val="24"/>
          <w:szCs w:val="24"/>
          <w:lang w:val="en-GB"/>
        </w:rPr>
        <w:t>, public opinion, and the feasibility of executing the reforms al</w:t>
      </w:r>
      <w:r w:rsidRPr="00D20F01">
        <w:rPr>
          <w:rFonts w:ascii="Arial" w:hAnsi="Arial" w:cs="Arial"/>
          <w:color w:val="000000" w:themeColor="text1"/>
          <w:sz w:val="24"/>
          <w:szCs w:val="24"/>
          <w:lang w:val="en-GB"/>
        </w:rPr>
        <w:t xml:space="preserve">l play a role in whether </w:t>
      </w:r>
      <w:r w:rsidR="00E33820" w:rsidRPr="00D20F01">
        <w:rPr>
          <w:rFonts w:ascii="Arial" w:hAnsi="Arial" w:cs="Arial"/>
          <w:color w:val="000000" w:themeColor="text1"/>
          <w:sz w:val="24"/>
          <w:szCs w:val="24"/>
          <w:lang w:val="en-GB"/>
        </w:rPr>
        <w:t>these suggestions are accepted</w:t>
      </w:r>
      <w:r w:rsidRPr="00D20F01">
        <w:rPr>
          <w:rFonts w:ascii="Arial" w:hAnsi="Arial" w:cs="Arial"/>
          <w:color w:val="000000" w:themeColor="text1"/>
          <w:sz w:val="24"/>
          <w:szCs w:val="24"/>
          <w:lang w:val="en-GB"/>
        </w:rPr>
        <w:t xml:space="preserve"> or denied</w:t>
      </w:r>
      <w:r w:rsidR="00E33820" w:rsidRPr="00D20F01">
        <w:rPr>
          <w:rFonts w:ascii="Arial" w:hAnsi="Arial" w:cs="Arial"/>
          <w:color w:val="000000" w:themeColor="text1"/>
          <w:sz w:val="24"/>
          <w:szCs w:val="24"/>
          <w:lang w:val="en-GB"/>
        </w:rPr>
        <w:t xml:space="preserve"> by the government. Some</w:t>
      </w:r>
      <w:r w:rsidR="00A67C4B" w:rsidRPr="00D20F01">
        <w:rPr>
          <w:rFonts w:ascii="Arial" w:hAnsi="Arial" w:cs="Arial"/>
          <w:color w:val="000000" w:themeColor="text1"/>
          <w:sz w:val="24"/>
          <w:szCs w:val="24"/>
          <w:lang w:val="en-GB"/>
        </w:rPr>
        <w:t xml:space="preserve"> of the</w:t>
      </w:r>
      <w:r w:rsidR="00E33820" w:rsidRPr="00D20F01">
        <w:rPr>
          <w:rFonts w:ascii="Arial" w:hAnsi="Arial" w:cs="Arial"/>
          <w:color w:val="000000" w:themeColor="text1"/>
          <w:sz w:val="24"/>
          <w:szCs w:val="24"/>
          <w:lang w:val="en-GB"/>
        </w:rPr>
        <w:t xml:space="preserve"> proposals ma</w:t>
      </w:r>
      <w:r w:rsidRPr="00D20F01">
        <w:rPr>
          <w:rFonts w:ascii="Arial" w:hAnsi="Arial" w:cs="Arial"/>
          <w:color w:val="000000" w:themeColor="text1"/>
          <w:sz w:val="24"/>
          <w:szCs w:val="24"/>
          <w:lang w:val="en-GB"/>
        </w:rPr>
        <w:t xml:space="preserve">y be accepted by the government, </w:t>
      </w:r>
      <w:r w:rsidR="00E33820" w:rsidRPr="00D20F01">
        <w:rPr>
          <w:rFonts w:ascii="Arial" w:hAnsi="Arial" w:cs="Arial"/>
          <w:color w:val="000000" w:themeColor="text1"/>
          <w:sz w:val="24"/>
          <w:szCs w:val="24"/>
          <w:lang w:val="en-GB"/>
        </w:rPr>
        <w:t>if they meet t</w:t>
      </w:r>
      <w:r w:rsidR="00A67C4B" w:rsidRPr="00D20F01">
        <w:rPr>
          <w:rFonts w:ascii="Arial" w:hAnsi="Arial" w:cs="Arial"/>
          <w:color w:val="000000" w:themeColor="text1"/>
          <w:sz w:val="24"/>
          <w:szCs w:val="24"/>
          <w:lang w:val="en-GB"/>
        </w:rPr>
        <w:t>he government's policy agenda as well as</w:t>
      </w:r>
      <w:r w:rsidRPr="00D20F01">
        <w:rPr>
          <w:rFonts w:ascii="Arial" w:hAnsi="Arial" w:cs="Arial"/>
          <w:color w:val="000000" w:themeColor="text1"/>
          <w:sz w:val="24"/>
          <w:szCs w:val="24"/>
          <w:lang w:val="en-GB"/>
        </w:rPr>
        <w:t xml:space="preserve"> receive a huge</w:t>
      </w:r>
      <w:r w:rsidR="00E33820" w:rsidRPr="00D20F01">
        <w:rPr>
          <w:rFonts w:ascii="Arial" w:hAnsi="Arial" w:cs="Arial"/>
          <w:color w:val="000000" w:themeColor="text1"/>
          <w:sz w:val="24"/>
          <w:szCs w:val="24"/>
          <w:lang w:val="en-GB"/>
        </w:rPr>
        <w:t xml:space="preserve"> backing fr</w:t>
      </w:r>
      <w:r w:rsidR="00A67C4B" w:rsidRPr="00D20F01">
        <w:rPr>
          <w:rFonts w:ascii="Arial" w:hAnsi="Arial" w:cs="Arial"/>
          <w:color w:val="000000" w:themeColor="text1"/>
          <w:sz w:val="24"/>
          <w:szCs w:val="24"/>
          <w:lang w:val="en-GB"/>
        </w:rPr>
        <w:t xml:space="preserve">om legal </w:t>
      </w:r>
      <w:r w:rsidRPr="00D20F01">
        <w:rPr>
          <w:rFonts w:ascii="Arial" w:hAnsi="Arial" w:cs="Arial"/>
          <w:color w:val="000000" w:themeColor="text1"/>
          <w:sz w:val="24"/>
          <w:szCs w:val="24"/>
          <w:lang w:val="en-GB"/>
        </w:rPr>
        <w:t>experts and the public. T</w:t>
      </w:r>
      <w:r w:rsidR="00A67C4B" w:rsidRPr="00D20F01">
        <w:rPr>
          <w:rFonts w:ascii="Arial" w:hAnsi="Arial" w:cs="Arial"/>
          <w:color w:val="000000" w:themeColor="text1"/>
          <w:sz w:val="24"/>
          <w:szCs w:val="24"/>
          <w:lang w:val="en-GB"/>
        </w:rPr>
        <w:t>he implementation</w:t>
      </w:r>
      <w:r w:rsidR="00E33820" w:rsidRPr="00D20F01">
        <w:rPr>
          <w:rFonts w:ascii="Arial" w:hAnsi="Arial" w:cs="Arial"/>
          <w:color w:val="000000" w:themeColor="text1"/>
          <w:sz w:val="24"/>
          <w:szCs w:val="24"/>
          <w:lang w:val="en-GB"/>
        </w:rPr>
        <w:t xml:space="preserve"> framework of the</w:t>
      </w:r>
      <w:r w:rsidR="00A67C4B" w:rsidRPr="00D20F01">
        <w:rPr>
          <w:rFonts w:ascii="Arial" w:hAnsi="Arial" w:cs="Arial"/>
          <w:color w:val="000000" w:themeColor="text1"/>
          <w:sz w:val="24"/>
          <w:szCs w:val="24"/>
          <w:lang w:val="en-GB"/>
        </w:rPr>
        <w:t xml:space="preserve"> proposals in the</w:t>
      </w:r>
      <w:r w:rsidR="00E33820" w:rsidRPr="00D20F01">
        <w:rPr>
          <w:rFonts w:ascii="Arial" w:hAnsi="Arial" w:cs="Arial"/>
          <w:color w:val="000000" w:themeColor="text1"/>
          <w:sz w:val="24"/>
          <w:szCs w:val="24"/>
          <w:lang w:val="en-GB"/>
        </w:rPr>
        <w:t xml:space="preserve"> current legal system</w:t>
      </w:r>
      <w:r w:rsidR="00A67C4B" w:rsidRPr="00D20F01">
        <w:rPr>
          <w:rFonts w:ascii="Arial" w:hAnsi="Arial" w:cs="Arial"/>
          <w:color w:val="000000" w:themeColor="text1"/>
          <w:sz w:val="24"/>
          <w:szCs w:val="24"/>
          <w:lang w:val="en-GB"/>
        </w:rPr>
        <w:t xml:space="preserve"> as well play an integral role</w:t>
      </w:r>
      <w:r w:rsidR="00AF1313" w:rsidRPr="00D20F01">
        <w:rPr>
          <w:rFonts w:ascii="Arial" w:hAnsi="Arial" w:cs="Arial"/>
          <w:color w:val="000000" w:themeColor="text1"/>
          <w:sz w:val="24"/>
          <w:szCs w:val="24"/>
          <w:lang w:val="en-GB"/>
        </w:rPr>
        <w:t xml:space="preserve"> (</w:t>
      </w:r>
      <w:r w:rsidR="00AF1313" w:rsidRPr="00D20F01">
        <w:rPr>
          <w:rFonts w:ascii="Arial" w:hAnsi="Arial" w:cs="Arial"/>
          <w:color w:val="000000" w:themeColor="text1"/>
          <w:sz w:val="24"/>
          <w:szCs w:val="24"/>
          <w:shd w:val="clear" w:color="auto" w:fill="FFFFFF"/>
          <w:lang w:val="en-GB"/>
        </w:rPr>
        <w:t>Rosenbloom et al., 2022</w:t>
      </w:r>
      <w:r w:rsidR="00AF1313" w:rsidRPr="00D20F01">
        <w:rPr>
          <w:rFonts w:ascii="Arial" w:hAnsi="Arial" w:cs="Arial"/>
          <w:color w:val="000000" w:themeColor="text1"/>
          <w:sz w:val="24"/>
          <w:szCs w:val="24"/>
          <w:lang w:val="en-GB"/>
        </w:rPr>
        <w:t>)</w:t>
      </w:r>
      <w:r w:rsidR="005E3EED" w:rsidRPr="00D20F01">
        <w:rPr>
          <w:rFonts w:ascii="Arial" w:hAnsi="Arial" w:cs="Arial"/>
          <w:color w:val="000000" w:themeColor="text1"/>
          <w:sz w:val="24"/>
          <w:szCs w:val="24"/>
          <w:lang w:val="en-GB"/>
        </w:rPr>
        <w:t>. If a proposal</w:t>
      </w:r>
      <w:r w:rsidR="00E33820" w:rsidRPr="00D20F01">
        <w:rPr>
          <w:rFonts w:ascii="Arial" w:hAnsi="Arial" w:cs="Arial"/>
          <w:color w:val="000000" w:themeColor="text1"/>
          <w:sz w:val="24"/>
          <w:szCs w:val="24"/>
          <w:lang w:val="en-GB"/>
        </w:rPr>
        <w:t xml:space="preserve"> is deemed impra</w:t>
      </w:r>
      <w:r w:rsidR="00A67C4B" w:rsidRPr="00D20F01">
        <w:rPr>
          <w:rFonts w:ascii="Arial" w:hAnsi="Arial" w:cs="Arial"/>
          <w:color w:val="000000" w:themeColor="text1"/>
          <w:sz w:val="24"/>
          <w:szCs w:val="24"/>
          <w:lang w:val="en-GB"/>
        </w:rPr>
        <w:t xml:space="preserve">cticable or too expensive, possible strong </w:t>
      </w:r>
      <w:r w:rsidR="00E33820" w:rsidRPr="00D20F01">
        <w:rPr>
          <w:rFonts w:ascii="Arial" w:hAnsi="Arial" w:cs="Arial"/>
          <w:color w:val="000000" w:themeColor="text1"/>
          <w:sz w:val="24"/>
          <w:szCs w:val="24"/>
          <w:lang w:val="en-GB"/>
        </w:rPr>
        <w:t>resistance or a lack of consensus on its necessity or usefulness, it may be rejected.</w:t>
      </w:r>
      <w:r w:rsidR="00785E98" w:rsidRPr="00D20F01">
        <w:rPr>
          <w:rFonts w:ascii="Arial" w:hAnsi="Arial" w:cs="Arial"/>
          <w:b/>
          <w:color w:val="000000" w:themeColor="text1"/>
          <w:sz w:val="24"/>
          <w:szCs w:val="24"/>
          <w:lang w:val="en-GB"/>
        </w:rPr>
        <w:tab/>
      </w:r>
    </w:p>
    <w:p w:rsidR="00A67C4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Critics of reform may raise questions about how feasible it is to carry out the changes being proposed. They fear that adding new laws or changing current ones will cause extra duties for government bureaucrats, higher costs, and more trouble enforcing the law. It's possible they'll argue that homicide law reform isn't the best use of limited criminal justice resources</w:t>
      </w:r>
      <w:r w:rsidR="00C423E9" w:rsidRPr="00D20F01">
        <w:rPr>
          <w:rFonts w:ascii="Arial" w:hAnsi="Arial" w:cs="Arial"/>
          <w:color w:val="000000" w:themeColor="text1"/>
          <w:sz w:val="24"/>
          <w:szCs w:val="24"/>
          <w:lang w:val="en-GB"/>
        </w:rPr>
        <w:t xml:space="preserve"> (</w:t>
      </w:r>
      <w:r w:rsidR="00C423E9" w:rsidRPr="00D20F01">
        <w:rPr>
          <w:rFonts w:ascii="Arial" w:hAnsi="Arial" w:cs="Arial"/>
          <w:color w:val="000000" w:themeColor="text1"/>
          <w:sz w:val="24"/>
          <w:szCs w:val="24"/>
          <w:shd w:val="clear" w:color="auto" w:fill="FFFFFF"/>
          <w:lang w:val="en-GB"/>
        </w:rPr>
        <w:t>Brookman et al., 2019</w:t>
      </w:r>
      <w:r w:rsidR="00C423E9"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w:t>
      </w:r>
    </w:p>
    <w:p w:rsidR="001F5B21"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 xml:space="preserve">Some opponents of reform maintain that consistency in the interpretation and application of homicide offenses is based on centuries of legal tradition and precedents. They worry </w:t>
      </w:r>
      <w:r w:rsidRPr="00D20F01">
        <w:rPr>
          <w:rFonts w:ascii="Arial" w:hAnsi="Arial" w:cs="Arial"/>
          <w:color w:val="000000" w:themeColor="text1"/>
          <w:sz w:val="24"/>
          <w:szCs w:val="24"/>
          <w:lang w:val="en-GB"/>
        </w:rPr>
        <w:lastRenderedPageBreak/>
        <w:t>that if precedent isn't strictly adhered to, it could lead to inconsistent judicial rulings and a breakdown in public trust in the judicial system.</w:t>
      </w:r>
    </w:p>
    <w:p w:rsidR="00A67C4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Some may worry that changing the legislation surrounding murder could have unexpecte</w:t>
      </w:r>
      <w:r w:rsidR="002C1C35" w:rsidRPr="00D20F01">
        <w:rPr>
          <w:rFonts w:ascii="Arial" w:hAnsi="Arial" w:cs="Arial"/>
          <w:color w:val="000000" w:themeColor="text1"/>
          <w:sz w:val="24"/>
          <w:szCs w:val="24"/>
          <w:lang w:val="en-GB"/>
        </w:rPr>
        <w:t>d repercussions. The great concern is</w:t>
      </w:r>
      <w:r w:rsidRPr="00D20F01">
        <w:rPr>
          <w:rFonts w:ascii="Arial" w:hAnsi="Arial" w:cs="Arial"/>
          <w:color w:val="000000" w:themeColor="text1"/>
          <w:sz w:val="24"/>
          <w:szCs w:val="24"/>
          <w:lang w:val="en-GB"/>
        </w:rPr>
        <w:t xml:space="preserve"> that if the legislation is changed, it could lead to unintended consequences. Some may argue that the existing legal framework finds an appropriate balance between safeguarding individual liberties and advancing th</w:t>
      </w:r>
      <w:r w:rsidR="002C1C35" w:rsidRPr="00D20F01">
        <w:rPr>
          <w:rFonts w:ascii="Arial" w:hAnsi="Arial" w:cs="Arial"/>
          <w:color w:val="000000" w:themeColor="text1"/>
          <w:sz w:val="24"/>
          <w:szCs w:val="24"/>
          <w:lang w:val="en-GB"/>
        </w:rPr>
        <w:t>e cause of justice, hence such</w:t>
      </w:r>
      <w:r w:rsidRPr="00D20F01">
        <w:rPr>
          <w:rFonts w:ascii="Arial" w:hAnsi="Arial" w:cs="Arial"/>
          <w:color w:val="000000" w:themeColor="text1"/>
          <w:sz w:val="24"/>
          <w:szCs w:val="24"/>
          <w:lang w:val="en-GB"/>
        </w:rPr>
        <w:t xml:space="preserve"> proposed changes</w:t>
      </w:r>
      <w:r w:rsidR="00F408B5" w:rsidRPr="00D20F01">
        <w:rPr>
          <w:rFonts w:ascii="Arial" w:hAnsi="Arial" w:cs="Arial"/>
          <w:color w:val="000000" w:themeColor="text1"/>
          <w:sz w:val="24"/>
          <w:szCs w:val="24"/>
          <w:lang w:val="en-GB"/>
        </w:rPr>
        <w:t xml:space="preserve"> would threaten this stability</w:t>
      </w:r>
      <w:r w:rsidR="00C423E9" w:rsidRPr="00D20F01">
        <w:rPr>
          <w:rFonts w:ascii="Arial" w:hAnsi="Arial" w:cs="Arial"/>
          <w:color w:val="000000" w:themeColor="text1"/>
          <w:sz w:val="24"/>
          <w:szCs w:val="24"/>
          <w:lang w:val="en-GB"/>
        </w:rPr>
        <w:t xml:space="preserve"> (</w:t>
      </w:r>
      <w:r w:rsidR="00AF1313" w:rsidRPr="00D20F01">
        <w:rPr>
          <w:rFonts w:ascii="Arial" w:hAnsi="Arial" w:cs="Arial"/>
          <w:color w:val="000000" w:themeColor="text1"/>
          <w:sz w:val="24"/>
          <w:szCs w:val="24"/>
          <w:shd w:val="clear" w:color="auto" w:fill="FFFFFF"/>
          <w:lang w:val="en-GB"/>
        </w:rPr>
        <w:t xml:space="preserve">Juss, </w:t>
      </w:r>
      <w:r w:rsidR="00AB4C5C" w:rsidRPr="00D20F01">
        <w:rPr>
          <w:rFonts w:ascii="Arial" w:hAnsi="Arial" w:cs="Arial"/>
          <w:color w:val="000000" w:themeColor="text1"/>
          <w:sz w:val="24"/>
          <w:szCs w:val="24"/>
          <w:shd w:val="clear" w:color="auto" w:fill="FFFFFF"/>
          <w:lang w:val="en-GB"/>
        </w:rPr>
        <w:t>2016</w:t>
      </w:r>
      <w:r w:rsidR="005E3EED" w:rsidRPr="00D20F01">
        <w:rPr>
          <w:rFonts w:ascii="Arial" w:hAnsi="Arial" w:cs="Arial"/>
          <w:color w:val="000000" w:themeColor="text1"/>
          <w:sz w:val="24"/>
          <w:szCs w:val="24"/>
          <w:lang w:val="en-GB"/>
        </w:rPr>
        <w:t>).</w:t>
      </w:r>
      <w:r w:rsidR="00785E98" w:rsidRPr="00D20F01">
        <w:rPr>
          <w:rFonts w:ascii="Arial" w:hAnsi="Arial" w:cs="Arial"/>
          <w:b/>
          <w:color w:val="000000" w:themeColor="text1"/>
          <w:sz w:val="24"/>
          <w:szCs w:val="24"/>
          <w:lang w:val="en-GB"/>
        </w:rPr>
        <w:tab/>
      </w:r>
    </w:p>
    <w:p w:rsidR="00A67C4B" w:rsidRPr="00D20F01" w:rsidRDefault="00E33820" w:rsidP="00AD302C">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In conclusion the Homicide law of UK and WALES looks lenient to some extent, although the lord chief justice and the Royal Commission can defend their stands in accordance to the law. In future more strict penalties as provided by the proposals made should be pronounced law .This will ensure that such crimes will not have space in society as well as reduce court appearance. It will be great boost since government will save on expenditure that would be used in court</w:t>
      </w:r>
      <w:r w:rsidR="002C1C35" w:rsidRPr="00D20F01">
        <w:rPr>
          <w:rFonts w:ascii="Arial" w:hAnsi="Arial" w:cs="Arial"/>
          <w:color w:val="000000" w:themeColor="text1"/>
          <w:sz w:val="24"/>
          <w:szCs w:val="24"/>
          <w:lang w:val="en-GB"/>
        </w:rPr>
        <w:t xml:space="preserve">. Each and every proposal brings about </w:t>
      </w:r>
      <w:r w:rsidRPr="00D20F01">
        <w:rPr>
          <w:rFonts w:ascii="Arial" w:hAnsi="Arial" w:cs="Arial"/>
          <w:color w:val="000000" w:themeColor="text1"/>
          <w:sz w:val="24"/>
          <w:szCs w:val="24"/>
          <w:lang w:val="en-GB"/>
        </w:rPr>
        <w:t>its</w:t>
      </w:r>
      <w:r w:rsidR="00C522AB" w:rsidRPr="00D20F01">
        <w:rPr>
          <w:rFonts w:ascii="Arial" w:hAnsi="Arial" w:cs="Arial"/>
          <w:color w:val="000000" w:themeColor="text1"/>
          <w:sz w:val="24"/>
          <w:szCs w:val="24"/>
          <w:lang w:val="en-GB"/>
        </w:rPr>
        <w:t xml:space="preserve"> challenges</w:t>
      </w:r>
      <w:r w:rsidR="002C1C35" w:rsidRPr="00D20F01">
        <w:rPr>
          <w:rFonts w:ascii="Arial" w:hAnsi="Arial" w:cs="Arial"/>
          <w:color w:val="000000" w:themeColor="text1"/>
          <w:sz w:val="24"/>
          <w:szCs w:val="24"/>
          <w:lang w:val="en-GB"/>
        </w:rPr>
        <w:t>,</w:t>
      </w:r>
      <w:r w:rsidR="00C522AB" w:rsidRPr="00D20F01">
        <w:rPr>
          <w:rFonts w:ascii="Arial" w:hAnsi="Arial" w:cs="Arial"/>
          <w:color w:val="000000" w:themeColor="text1"/>
          <w:sz w:val="24"/>
          <w:szCs w:val="24"/>
          <w:lang w:val="en-GB"/>
        </w:rPr>
        <w:t xml:space="preserve"> </w:t>
      </w:r>
      <w:r w:rsidR="002C1C35" w:rsidRPr="00D20F01">
        <w:rPr>
          <w:rFonts w:ascii="Arial" w:hAnsi="Arial" w:cs="Arial"/>
          <w:color w:val="000000" w:themeColor="text1"/>
          <w:sz w:val="24"/>
          <w:szCs w:val="24"/>
          <w:lang w:val="en-GB"/>
        </w:rPr>
        <w:t xml:space="preserve">since it arises satisfaction and dissatisfaction </w:t>
      </w:r>
      <w:r w:rsidRPr="00D20F01">
        <w:rPr>
          <w:rFonts w:ascii="Arial" w:hAnsi="Arial" w:cs="Arial"/>
          <w:color w:val="000000" w:themeColor="text1"/>
          <w:sz w:val="24"/>
          <w:szCs w:val="24"/>
          <w:lang w:val="en-GB"/>
        </w:rPr>
        <w:t>in equal measure</w:t>
      </w:r>
      <w:r w:rsidR="002C1C35" w:rsidRPr="00D20F01">
        <w:rPr>
          <w:rFonts w:ascii="Arial" w:hAnsi="Arial" w:cs="Arial"/>
          <w:color w:val="000000" w:themeColor="text1"/>
          <w:sz w:val="24"/>
          <w:szCs w:val="24"/>
          <w:lang w:val="en-GB"/>
        </w:rPr>
        <w:t>.</w:t>
      </w:r>
      <w:r w:rsidRPr="00D20F01">
        <w:rPr>
          <w:rFonts w:ascii="Arial" w:hAnsi="Arial" w:cs="Arial"/>
          <w:color w:val="000000" w:themeColor="text1"/>
          <w:sz w:val="24"/>
          <w:szCs w:val="24"/>
          <w:lang w:val="en-GB"/>
        </w:rPr>
        <w:t xml:space="preserve"> </w:t>
      </w:r>
    </w:p>
    <w:p w:rsidR="00027058" w:rsidRPr="00D20F01" w:rsidRDefault="00AD302C" w:rsidP="00AD302C">
      <w:pPr>
        <w:tabs>
          <w:tab w:val="left" w:pos="8610"/>
        </w:tabs>
        <w:spacing w:after="0"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lang w:val="en-GB"/>
        </w:rPr>
        <w:tab/>
      </w:r>
    </w:p>
    <w:p w:rsidR="00C7665B" w:rsidRPr="00D20F01" w:rsidRDefault="00C7665B" w:rsidP="00085A0C">
      <w:pPr>
        <w:spacing w:after="0" w:line="360" w:lineRule="auto"/>
        <w:rPr>
          <w:rFonts w:ascii="Arial" w:hAnsi="Arial" w:cs="Arial"/>
          <w:color w:val="000000" w:themeColor="text1"/>
          <w:sz w:val="24"/>
          <w:szCs w:val="24"/>
          <w:lang w:val="en-GB"/>
        </w:rPr>
      </w:pPr>
    </w:p>
    <w:p w:rsidR="003B129D" w:rsidRPr="00D20F01" w:rsidRDefault="003B129D" w:rsidP="00085A0C">
      <w:pPr>
        <w:spacing w:after="0" w:line="360" w:lineRule="auto"/>
        <w:rPr>
          <w:rFonts w:ascii="Arial" w:hAnsi="Arial" w:cs="Arial"/>
          <w:color w:val="000000" w:themeColor="text1"/>
          <w:sz w:val="24"/>
          <w:szCs w:val="24"/>
          <w:lang w:val="en-GB"/>
        </w:rPr>
      </w:pPr>
    </w:p>
    <w:p w:rsidR="00C7665B" w:rsidRPr="00D20F01" w:rsidRDefault="00C7665B"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68083A" w:rsidRPr="00D20F01" w:rsidRDefault="0068083A" w:rsidP="00085A0C">
      <w:pPr>
        <w:spacing w:after="0" w:line="360" w:lineRule="auto"/>
        <w:rPr>
          <w:rFonts w:ascii="Arial" w:hAnsi="Arial" w:cs="Arial"/>
          <w:color w:val="000000" w:themeColor="text1"/>
          <w:sz w:val="24"/>
          <w:szCs w:val="24"/>
          <w:lang w:val="en-GB"/>
        </w:rPr>
      </w:pPr>
    </w:p>
    <w:p w:rsidR="00C7665B" w:rsidRPr="00D20F01" w:rsidRDefault="00C7665B" w:rsidP="00085A0C">
      <w:pPr>
        <w:spacing w:after="0" w:line="360" w:lineRule="auto"/>
        <w:rPr>
          <w:rFonts w:ascii="Arial" w:hAnsi="Arial" w:cs="Arial"/>
          <w:b/>
          <w:color w:val="000000" w:themeColor="text1"/>
          <w:sz w:val="24"/>
          <w:szCs w:val="24"/>
          <w:lang w:val="en-GB"/>
        </w:rPr>
      </w:pPr>
      <w:r w:rsidRPr="00D20F01">
        <w:rPr>
          <w:rFonts w:ascii="Arial" w:hAnsi="Arial" w:cs="Arial"/>
          <w:b/>
          <w:color w:val="000000" w:themeColor="text1"/>
          <w:sz w:val="24"/>
          <w:szCs w:val="24"/>
          <w:lang w:val="en-GB"/>
        </w:rPr>
        <w:t>References</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Acker, J.R. and Lanier, C.S., 2020. The dimensions of capital murder. In </w:t>
      </w:r>
      <w:r w:rsidRPr="00D20F01">
        <w:rPr>
          <w:rFonts w:ascii="Arial" w:hAnsi="Arial" w:cs="Arial"/>
          <w:iCs/>
          <w:color w:val="000000" w:themeColor="text1"/>
          <w:sz w:val="24"/>
          <w:szCs w:val="24"/>
          <w:shd w:val="clear" w:color="auto" w:fill="FFFFFF"/>
          <w:lang w:val="en-GB"/>
        </w:rPr>
        <w:t>The American Court System</w:t>
      </w:r>
      <w:r w:rsidRPr="00D20F01">
        <w:rPr>
          <w:rFonts w:ascii="Arial" w:hAnsi="Arial" w:cs="Arial"/>
          <w:color w:val="000000" w:themeColor="text1"/>
          <w:sz w:val="24"/>
          <w:szCs w:val="24"/>
          <w:shd w:val="clear" w:color="auto" w:fill="FFFFFF"/>
          <w:lang w:val="en-GB"/>
        </w:rPr>
        <w:t> (pp. 1-39). Routledge.</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Atkins, S. and Brenda Hale, B., 2018. </w:t>
      </w:r>
      <w:r w:rsidRPr="00D20F01">
        <w:rPr>
          <w:rFonts w:ascii="Arial" w:hAnsi="Arial" w:cs="Arial"/>
          <w:iCs/>
          <w:color w:val="000000" w:themeColor="text1"/>
          <w:sz w:val="24"/>
          <w:szCs w:val="24"/>
          <w:shd w:val="clear" w:color="auto" w:fill="FFFFFF"/>
          <w:lang w:val="en-GB"/>
        </w:rPr>
        <w:t>Women and the Law</w:t>
      </w:r>
      <w:r w:rsidRPr="00D20F01">
        <w:rPr>
          <w:rFonts w:ascii="Arial" w:hAnsi="Arial" w:cs="Arial"/>
          <w:color w:val="000000" w:themeColor="text1"/>
          <w:sz w:val="24"/>
          <w:szCs w:val="24"/>
          <w:shd w:val="clear" w:color="auto" w:fill="FFFFFF"/>
          <w:lang w:val="en-GB"/>
        </w:rPr>
        <w:t> (p. 284). University of London.</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lastRenderedPageBreak/>
        <w:t>Baker, D.J., 2021. Rethinking the Mental Element in Involuntary Manslaughter. </w:t>
      </w:r>
      <w:r w:rsidRPr="00D20F01">
        <w:rPr>
          <w:rFonts w:ascii="Arial" w:hAnsi="Arial" w:cs="Arial"/>
          <w:iCs/>
          <w:color w:val="000000" w:themeColor="text1"/>
          <w:sz w:val="24"/>
          <w:szCs w:val="24"/>
          <w:shd w:val="clear" w:color="auto" w:fill="FFFFFF"/>
          <w:lang w:val="en-GB"/>
        </w:rPr>
        <w:t>The Journal of Criminal Law</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85</w:t>
      </w:r>
      <w:r w:rsidRPr="00D20F01">
        <w:rPr>
          <w:rFonts w:ascii="Arial" w:hAnsi="Arial" w:cs="Arial"/>
          <w:color w:val="000000" w:themeColor="text1"/>
          <w:sz w:val="24"/>
          <w:szCs w:val="24"/>
          <w:shd w:val="clear" w:color="auto" w:fill="FFFFFF"/>
          <w:lang w:val="en-GB"/>
        </w:rPr>
        <w:t>(4), pp.280-301.</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Beavers, A., 2023. Drug-Induced Homicide: A Comprehensive Statutory Proposal. </w:t>
      </w:r>
      <w:r w:rsidRPr="00D20F01">
        <w:rPr>
          <w:rFonts w:ascii="Arial" w:hAnsi="Arial" w:cs="Arial"/>
          <w:iCs/>
          <w:color w:val="000000" w:themeColor="text1"/>
          <w:sz w:val="24"/>
          <w:szCs w:val="24"/>
          <w:shd w:val="clear" w:color="auto" w:fill="FFFFFF"/>
          <w:lang w:val="en-GB"/>
        </w:rPr>
        <w:t>Available at SSRN 4358388</w:t>
      </w:r>
      <w:r w:rsidRPr="00D20F01">
        <w:rPr>
          <w:rFonts w:ascii="Arial" w:hAnsi="Arial" w:cs="Arial"/>
          <w:color w:val="000000" w:themeColor="text1"/>
          <w:sz w:val="24"/>
          <w:szCs w:val="24"/>
          <w:shd w:val="clear" w:color="auto" w:fill="FFFFFF"/>
          <w:lang w:val="en-GB"/>
        </w:rPr>
        <w:t>.</w:t>
      </w:r>
    </w:p>
    <w:p w:rsidR="00865F88" w:rsidRPr="00D20F01" w:rsidRDefault="00865F88" w:rsidP="00444881">
      <w:pPr>
        <w:spacing w:line="360" w:lineRule="auto"/>
        <w:jc w:val="both"/>
        <w:rPr>
          <w:rFonts w:ascii="Arial" w:hAnsi="Arial" w:cs="Arial"/>
          <w:b/>
          <w:color w:val="000000" w:themeColor="text1"/>
          <w:sz w:val="24"/>
          <w:szCs w:val="24"/>
          <w:lang w:val="en-GB"/>
        </w:rPr>
      </w:pPr>
      <w:r w:rsidRPr="00D20F01">
        <w:rPr>
          <w:rFonts w:ascii="Arial" w:hAnsi="Arial" w:cs="Arial"/>
          <w:color w:val="000000" w:themeColor="text1"/>
          <w:sz w:val="24"/>
          <w:szCs w:val="24"/>
          <w:shd w:val="clear" w:color="auto" w:fill="FFFFFF"/>
          <w:lang w:val="en-GB"/>
        </w:rPr>
        <w:t>Bell, D. ed., 2017. </w:t>
      </w:r>
      <w:r w:rsidRPr="00D20F01">
        <w:rPr>
          <w:rFonts w:ascii="Arial" w:hAnsi="Arial" w:cs="Arial"/>
          <w:iCs/>
          <w:color w:val="000000" w:themeColor="text1"/>
          <w:sz w:val="24"/>
          <w:szCs w:val="24"/>
          <w:shd w:val="clear" w:color="auto" w:fill="FFFFFF"/>
          <w:lang w:val="en-GB"/>
        </w:rPr>
        <w:t>The radical right</w:t>
      </w:r>
      <w:r w:rsidRPr="00D20F01">
        <w:rPr>
          <w:rFonts w:ascii="Arial" w:hAnsi="Arial" w:cs="Arial"/>
          <w:color w:val="000000" w:themeColor="text1"/>
          <w:sz w:val="24"/>
          <w:szCs w:val="24"/>
          <w:shd w:val="clear" w:color="auto" w:fill="FFFFFF"/>
          <w:lang w:val="en-GB"/>
        </w:rPr>
        <w:t>. Routledge.</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Bonicalzi, S. and Haggard, P., 2019. Responsibility Between Neuroscience and Criminal Law. The Control Component of Criminal Liability. </w:t>
      </w:r>
      <w:r w:rsidRPr="00D20F01">
        <w:rPr>
          <w:rFonts w:ascii="Arial" w:hAnsi="Arial" w:cs="Arial"/>
          <w:iCs/>
          <w:color w:val="000000" w:themeColor="text1"/>
          <w:sz w:val="24"/>
          <w:szCs w:val="24"/>
          <w:shd w:val="clear" w:color="auto" w:fill="FFFFFF"/>
          <w:lang w:val="en-GB"/>
        </w:rPr>
        <w:t>Rivista internazionale di Filosofia e Psicologia</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10</w:t>
      </w:r>
      <w:r w:rsidRPr="00D20F01">
        <w:rPr>
          <w:rFonts w:ascii="Arial" w:hAnsi="Arial" w:cs="Arial"/>
          <w:color w:val="000000" w:themeColor="text1"/>
          <w:sz w:val="24"/>
          <w:szCs w:val="24"/>
          <w:shd w:val="clear" w:color="auto" w:fill="FFFFFF"/>
          <w:lang w:val="en-GB"/>
        </w:rPr>
        <w:t>(2), pp.103-119.</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Brookman, F., Pike, S. and Maguire, E., 2019. Dancing around Miranda: the effects of legal reform on. </w:t>
      </w:r>
      <w:r w:rsidRPr="00D20F01">
        <w:rPr>
          <w:rFonts w:ascii="Arial" w:hAnsi="Arial" w:cs="Arial"/>
          <w:iCs/>
          <w:color w:val="000000" w:themeColor="text1"/>
          <w:sz w:val="24"/>
          <w:szCs w:val="24"/>
          <w:shd w:val="clear" w:color="auto" w:fill="FFFFFF"/>
          <w:lang w:val="en-GB"/>
        </w:rPr>
        <w:t>Criminal Law Bulletin</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55</w:t>
      </w:r>
      <w:r w:rsidRPr="00D20F01">
        <w:rPr>
          <w:rFonts w:ascii="Arial" w:hAnsi="Arial" w:cs="Arial"/>
          <w:color w:val="000000" w:themeColor="text1"/>
          <w:sz w:val="24"/>
          <w:szCs w:val="24"/>
          <w:shd w:val="clear" w:color="auto" w:fill="FFFFFF"/>
          <w:lang w:val="en-GB"/>
        </w:rPr>
        <w:t>(5).</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Burgason, K.A., Ruelas, M. and Zawisza, T.T., 2021. </w:t>
      </w:r>
      <w:r w:rsidRPr="00D20F01">
        <w:rPr>
          <w:rFonts w:ascii="Arial" w:hAnsi="Arial" w:cs="Arial"/>
          <w:iCs/>
          <w:color w:val="000000" w:themeColor="text1"/>
          <w:sz w:val="24"/>
          <w:szCs w:val="24"/>
          <w:shd w:val="clear" w:color="auto" w:fill="FFFFFF"/>
          <w:lang w:val="en-GB"/>
        </w:rPr>
        <w:t>Homicide Case Studies: Real World Assessment and Decision-making</w:t>
      </w:r>
      <w:r w:rsidRPr="00D20F01">
        <w:rPr>
          <w:rFonts w:ascii="Arial" w:hAnsi="Arial" w:cs="Arial"/>
          <w:color w:val="000000" w:themeColor="text1"/>
          <w:sz w:val="24"/>
          <w:szCs w:val="24"/>
          <w:shd w:val="clear" w:color="auto" w:fill="FFFFFF"/>
          <w:lang w:val="en-GB"/>
        </w:rPr>
        <w:t>. Routledge.</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Elliott, C., 2011. A comparative analysis of English and French defences to demonstrate the limitations of the concept of loss of control.</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Ellison, L., 2019. Coercive and controlling men and the women who kill them. </w:t>
      </w:r>
      <w:r w:rsidRPr="00D20F01">
        <w:rPr>
          <w:rFonts w:ascii="Arial" w:hAnsi="Arial" w:cs="Arial"/>
          <w:iCs/>
          <w:color w:val="000000" w:themeColor="text1"/>
          <w:sz w:val="24"/>
          <w:szCs w:val="24"/>
          <w:shd w:val="clear" w:color="auto" w:fill="FFFFFF"/>
          <w:lang w:val="en-GB"/>
        </w:rPr>
        <w:t>Wolverhampton Law Journal</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3</w:t>
      </w:r>
      <w:r w:rsidRPr="00D20F01">
        <w:rPr>
          <w:rFonts w:ascii="Arial" w:hAnsi="Arial" w:cs="Arial"/>
          <w:color w:val="000000" w:themeColor="text1"/>
          <w:sz w:val="24"/>
          <w:szCs w:val="24"/>
          <w:shd w:val="clear" w:color="auto" w:fill="FFFFFF"/>
          <w:lang w:val="en-GB"/>
        </w:rPr>
        <w:t>.</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Hamilton, M., 2011. Reinvigorating actus reus: the case for involuntary actions by veterans with post-traumatic stress disorder. </w:t>
      </w:r>
      <w:r w:rsidRPr="00D20F01">
        <w:rPr>
          <w:rFonts w:ascii="Arial" w:hAnsi="Arial" w:cs="Arial"/>
          <w:iCs/>
          <w:color w:val="000000" w:themeColor="text1"/>
          <w:sz w:val="24"/>
          <w:szCs w:val="24"/>
          <w:shd w:val="clear" w:color="auto" w:fill="FFFFFF"/>
          <w:lang w:val="en-GB"/>
        </w:rPr>
        <w:t>Berkeley J. Crim. L.</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16</w:t>
      </w:r>
      <w:r w:rsidRPr="00D20F01">
        <w:rPr>
          <w:rFonts w:ascii="Arial" w:hAnsi="Arial" w:cs="Arial"/>
          <w:color w:val="000000" w:themeColor="text1"/>
          <w:sz w:val="24"/>
          <w:szCs w:val="24"/>
          <w:shd w:val="clear" w:color="auto" w:fill="FFFFFF"/>
          <w:lang w:val="en-GB"/>
        </w:rPr>
        <w:t>, p.340.</w:t>
      </w:r>
    </w:p>
    <w:p w:rsidR="00865F88" w:rsidRPr="00D20F01" w:rsidRDefault="00865F88" w:rsidP="003B129D">
      <w:pPr>
        <w:tabs>
          <w:tab w:val="left" w:pos="8170"/>
        </w:tabs>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Juss, S., 2016. </w:t>
      </w:r>
      <w:r w:rsidRPr="00D20F01">
        <w:rPr>
          <w:rFonts w:ascii="Arial" w:hAnsi="Arial" w:cs="Arial"/>
          <w:iCs/>
          <w:color w:val="000000" w:themeColor="text1"/>
          <w:sz w:val="24"/>
          <w:szCs w:val="24"/>
          <w:shd w:val="clear" w:color="auto" w:fill="FFFFFF"/>
          <w:lang w:val="en-GB"/>
        </w:rPr>
        <w:t>International migration and global justice</w:t>
      </w:r>
      <w:r w:rsidRPr="00D20F01">
        <w:rPr>
          <w:rFonts w:ascii="Arial" w:hAnsi="Arial" w:cs="Arial"/>
          <w:color w:val="000000" w:themeColor="text1"/>
          <w:sz w:val="24"/>
          <w:szCs w:val="24"/>
          <w:shd w:val="clear" w:color="auto" w:fill="FFFFFF"/>
          <w:lang w:val="en-GB"/>
        </w:rPr>
        <w:t>. Routledge.</w:t>
      </w:r>
      <w:r w:rsidRPr="00D20F01">
        <w:rPr>
          <w:rFonts w:ascii="Arial" w:hAnsi="Arial" w:cs="Arial"/>
          <w:color w:val="000000" w:themeColor="text1"/>
          <w:sz w:val="24"/>
          <w:szCs w:val="24"/>
          <w:shd w:val="clear" w:color="auto" w:fill="FFFFFF"/>
          <w:lang w:val="en-GB"/>
        </w:rPr>
        <w:tab/>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Kaplan, J., Weisberg, R. and Binder, G., 2021. </w:t>
      </w:r>
      <w:r w:rsidRPr="00D20F01">
        <w:rPr>
          <w:rFonts w:ascii="Arial" w:hAnsi="Arial" w:cs="Arial"/>
          <w:iCs/>
          <w:color w:val="000000" w:themeColor="text1"/>
          <w:sz w:val="24"/>
          <w:szCs w:val="24"/>
          <w:shd w:val="clear" w:color="auto" w:fill="FFFFFF"/>
          <w:lang w:val="en-GB"/>
        </w:rPr>
        <w:t>Criminal law: Cases and materials</w:t>
      </w:r>
      <w:r w:rsidRPr="00D20F01">
        <w:rPr>
          <w:rFonts w:ascii="Arial" w:hAnsi="Arial" w:cs="Arial"/>
          <w:color w:val="000000" w:themeColor="text1"/>
          <w:sz w:val="24"/>
          <w:szCs w:val="24"/>
          <w:shd w:val="clear" w:color="auto" w:fill="FFFFFF"/>
          <w:lang w:val="en-GB"/>
        </w:rPr>
        <w:t>. Aspen Publishing.</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Kugler, I., 2017. </w:t>
      </w:r>
      <w:r w:rsidRPr="00D20F01">
        <w:rPr>
          <w:rFonts w:ascii="Arial" w:hAnsi="Arial" w:cs="Arial"/>
          <w:iCs/>
          <w:color w:val="000000" w:themeColor="text1"/>
          <w:sz w:val="24"/>
          <w:szCs w:val="24"/>
          <w:shd w:val="clear" w:color="auto" w:fill="FFFFFF"/>
          <w:lang w:val="en-GB"/>
        </w:rPr>
        <w:t>Direct and oblique intention in the criminal law: An inquiry into degrees of blameworthiness</w:t>
      </w:r>
      <w:r w:rsidRPr="00D20F01">
        <w:rPr>
          <w:rFonts w:ascii="Arial" w:hAnsi="Arial" w:cs="Arial"/>
          <w:color w:val="000000" w:themeColor="text1"/>
          <w:sz w:val="24"/>
          <w:szCs w:val="24"/>
          <w:shd w:val="clear" w:color="auto" w:fill="FFFFFF"/>
          <w:lang w:val="en-GB"/>
        </w:rPr>
        <w:t>. Routledge.</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Long, A.B., 2018. Abolishing the Suicide Rule. </w:t>
      </w:r>
      <w:r w:rsidRPr="00D20F01">
        <w:rPr>
          <w:rFonts w:ascii="Arial" w:hAnsi="Arial" w:cs="Arial"/>
          <w:iCs/>
          <w:color w:val="000000" w:themeColor="text1"/>
          <w:sz w:val="24"/>
          <w:szCs w:val="24"/>
          <w:shd w:val="clear" w:color="auto" w:fill="FFFFFF"/>
          <w:lang w:val="en-GB"/>
        </w:rPr>
        <w:t>Nw. UL Rev.</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113</w:t>
      </w:r>
      <w:r w:rsidRPr="00D20F01">
        <w:rPr>
          <w:rFonts w:ascii="Arial" w:hAnsi="Arial" w:cs="Arial"/>
          <w:color w:val="000000" w:themeColor="text1"/>
          <w:sz w:val="24"/>
          <w:szCs w:val="24"/>
          <w:shd w:val="clear" w:color="auto" w:fill="FFFFFF"/>
          <w:lang w:val="en-GB"/>
        </w:rPr>
        <w:t>, p.767.</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Robins, J., 2018. </w:t>
      </w:r>
      <w:r w:rsidRPr="00D20F01">
        <w:rPr>
          <w:rFonts w:ascii="Arial" w:hAnsi="Arial" w:cs="Arial"/>
          <w:iCs/>
          <w:color w:val="000000" w:themeColor="text1"/>
          <w:sz w:val="24"/>
          <w:szCs w:val="24"/>
          <w:shd w:val="clear" w:color="auto" w:fill="FFFFFF"/>
          <w:lang w:val="en-GB"/>
        </w:rPr>
        <w:t>Guilty until proven innocent: the crisis in our justice system</w:t>
      </w:r>
      <w:r w:rsidRPr="00D20F01">
        <w:rPr>
          <w:rFonts w:ascii="Arial" w:hAnsi="Arial" w:cs="Arial"/>
          <w:color w:val="000000" w:themeColor="text1"/>
          <w:sz w:val="24"/>
          <w:szCs w:val="24"/>
          <w:shd w:val="clear" w:color="auto" w:fill="FFFFFF"/>
          <w:lang w:val="en-GB"/>
        </w:rPr>
        <w:t>. Biteback Publishing.</w:t>
      </w:r>
    </w:p>
    <w:p w:rsidR="00865F88" w:rsidRPr="00D20F01" w:rsidRDefault="00865F88" w:rsidP="00444881">
      <w:pPr>
        <w:spacing w:line="360" w:lineRule="auto"/>
        <w:jc w:val="both"/>
        <w:rPr>
          <w:rFonts w:ascii="Arial" w:hAnsi="Arial" w:cs="Arial"/>
          <w:color w:val="000000" w:themeColor="text1"/>
          <w:sz w:val="24"/>
          <w:szCs w:val="24"/>
          <w:lang w:val="en-GB"/>
        </w:rPr>
      </w:pPr>
      <w:r w:rsidRPr="00D20F01">
        <w:rPr>
          <w:rFonts w:ascii="Arial" w:hAnsi="Arial" w:cs="Arial"/>
          <w:color w:val="000000" w:themeColor="text1"/>
          <w:sz w:val="24"/>
          <w:szCs w:val="24"/>
          <w:shd w:val="clear" w:color="auto" w:fill="FFFFFF"/>
          <w:lang w:val="en-GB"/>
        </w:rPr>
        <w:lastRenderedPageBreak/>
        <w:t>Rosenbloom, D.H., Kravchuk, R.S. and Clerkin, R.M., 2022. </w:t>
      </w:r>
      <w:r w:rsidRPr="00D20F01">
        <w:rPr>
          <w:rFonts w:ascii="Arial" w:hAnsi="Arial" w:cs="Arial"/>
          <w:iCs/>
          <w:color w:val="000000" w:themeColor="text1"/>
          <w:sz w:val="24"/>
          <w:szCs w:val="24"/>
          <w:shd w:val="clear" w:color="auto" w:fill="FFFFFF"/>
          <w:lang w:val="en-GB"/>
        </w:rPr>
        <w:t>Public administration: Understanding management, politics, and law in the public sector</w:t>
      </w:r>
      <w:r w:rsidRPr="00D20F01">
        <w:rPr>
          <w:rFonts w:ascii="Arial" w:hAnsi="Arial" w:cs="Arial"/>
          <w:color w:val="000000" w:themeColor="text1"/>
          <w:sz w:val="24"/>
          <w:szCs w:val="24"/>
          <w:shd w:val="clear" w:color="auto" w:fill="FFFFFF"/>
          <w:lang w:val="en-GB"/>
        </w:rPr>
        <w:t>. Routledge.</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Simester, A., 2021. </w:t>
      </w:r>
      <w:r w:rsidRPr="00D20F01">
        <w:rPr>
          <w:rFonts w:ascii="Arial" w:hAnsi="Arial" w:cs="Arial"/>
          <w:iCs/>
          <w:color w:val="000000" w:themeColor="text1"/>
          <w:sz w:val="24"/>
          <w:szCs w:val="24"/>
          <w:shd w:val="clear" w:color="auto" w:fill="FFFFFF"/>
          <w:lang w:val="en-GB"/>
        </w:rPr>
        <w:t>Fundamentals of criminal law: responsibility, culpability, and wrongdoing</w:t>
      </w:r>
      <w:r w:rsidRPr="00D20F01">
        <w:rPr>
          <w:rFonts w:ascii="Arial" w:hAnsi="Arial" w:cs="Arial"/>
          <w:color w:val="000000" w:themeColor="text1"/>
          <w:sz w:val="24"/>
          <w:szCs w:val="24"/>
          <w:shd w:val="clear" w:color="auto" w:fill="FFFFFF"/>
          <w:lang w:val="en-GB"/>
        </w:rPr>
        <w:t>. Oxford University Press, USA.</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Solaiman, S.M., 2021. Laws Governing Manslaughter by Food Safety Crimes in the United Kingdom, Australia, Bangladesh and India: A Critical Review. </w:t>
      </w:r>
      <w:r w:rsidRPr="00D20F01">
        <w:rPr>
          <w:rFonts w:ascii="Arial" w:hAnsi="Arial" w:cs="Arial"/>
          <w:iCs/>
          <w:color w:val="000000" w:themeColor="text1"/>
          <w:sz w:val="24"/>
          <w:szCs w:val="24"/>
          <w:shd w:val="clear" w:color="auto" w:fill="FFFFFF"/>
          <w:lang w:val="en-GB"/>
        </w:rPr>
        <w:t>NCJ Int'l L.</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47</w:t>
      </w:r>
      <w:r w:rsidRPr="00D20F01">
        <w:rPr>
          <w:rFonts w:ascii="Arial" w:hAnsi="Arial" w:cs="Arial"/>
          <w:color w:val="000000" w:themeColor="text1"/>
          <w:sz w:val="24"/>
          <w:szCs w:val="24"/>
          <w:shd w:val="clear" w:color="auto" w:fill="FFFFFF"/>
          <w:lang w:val="en-GB"/>
        </w:rPr>
        <w:t>, p.75.</w:t>
      </w:r>
    </w:p>
    <w:p w:rsidR="00865F88" w:rsidRPr="00D20F01" w:rsidRDefault="00865F88" w:rsidP="00444881">
      <w:pPr>
        <w:spacing w:line="360" w:lineRule="auto"/>
        <w:jc w:val="both"/>
        <w:rPr>
          <w:rFonts w:ascii="Arial" w:hAnsi="Arial" w:cs="Arial"/>
          <w:color w:val="000000" w:themeColor="text1"/>
          <w:sz w:val="24"/>
          <w:szCs w:val="24"/>
          <w:shd w:val="clear" w:color="auto" w:fill="FFFFFF"/>
          <w:lang w:val="en-GB"/>
        </w:rPr>
      </w:pPr>
      <w:r w:rsidRPr="00D20F01">
        <w:rPr>
          <w:rFonts w:ascii="Arial" w:hAnsi="Arial" w:cs="Arial"/>
          <w:color w:val="000000" w:themeColor="text1"/>
          <w:sz w:val="24"/>
          <w:szCs w:val="24"/>
          <w:shd w:val="clear" w:color="auto" w:fill="FFFFFF"/>
          <w:lang w:val="en-GB"/>
        </w:rPr>
        <w:t>Van Den Brink, Y. and Lynch, N., 2021. Beyond the life sentence–A children’s rights lens on sentencing for murder. </w:t>
      </w:r>
      <w:r w:rsidRPr="00D20F01">
        <w:rPr>
          <w:rFonts w:ascii="Arial" w:hAnsi="Arial" w:cs="Arial"/>
          <w:iCs/>
          <w:color w:val="000000" w:themeColor="text1"/>
          <w:sz w:val="24"/>
          <w:szCs w:val="24"/>
          <w:shd w:val="clear" w:color="auto" w:fill="FFFFFF"/>
          <w:lang w:val="en-GB"/>
        </w:rPr>
        <w:t>The International Journal of Children's Rights</w:t>
      </w:r>
      <w:r w:rsidRPr="00D20F01">
        <w:rPr>
          <w:rFonts w:ascii="Arial" w:hAnsi="Arial" w:cs="Arial"/>
          <w:color w:val="000000" w:themeColor="text1"/>
          <w:sz w:val="24"/>
          <w:szCs w:val="24"/>
          <w:shd w:val="clear" w:color="auto" w:fill="FFFFFF"/>
          <w:lang w:val="en-GB"/>
        </w:rPr>
        <w:t>, </w:t>
      </w:r>
      <w:r w:rsidRPr="00D20F01">
        <w:rPr>
          <w:rFonts w:ascii="Arial" w:hAnsi="Arial" w:cs="Arial"/>
          <w:iCs/>
          <w:color w:val="000000" w:themeColor="text1"/>
          <w:sz w:val="24"/>
          <w:szCs w:val="24"/>
          <w:shd w:val="clear" w:color="auto" w:fill="FFFFFF"/>
          <w:lang w:val="en-GB"/>
        </w:rPr>
        <w:t>29</w:t>
      </w:r>
      <w:r w:rsidRPr="00D20F01">
        <w:rPr>
          <w:rFonts w:ascii="Arial" w:hAnsi="Arial" w:cs="Arial"/>
          <w:color w:val="000000" w:themeColor="text1"/>
          <w:sz w:val="24"/>
          <w:szCs w:val="24"/>
          <w:shd w:val="clear" w:color="auto" w:fill="FFFFFF"/>
          <w:lang w:val="en-GB"/>
        </w:rPr>
        <w:t>(4), pp.972-1005.</w:t>
      </w:r>
    </w:p>
    <w:sectPr w:rsidR="00865F88" w:rsidRPr="00D20F0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6F7" w:rsidRDefault="003F66F7" w:rsidP="00E92B3B">
      <w:pPr>
        <w:spacing w:after="0" w:line="240" w:lineRule="auto"/>
      </w:pPr>
      <w:r>
        <w:separator/>
      </w:r>
    </w:p>
  </w:endnote>
  <w:endnote w:type="continuationSeparator" w:id="0">
    <w:p w:rsidR="003F66F7" w:rsidRDefault="003F66F7" w:rsidP="00E92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6901228"/>
      <w:docPartObj>
        <w:docPartGallery w:val="Page Numbers (Bottom of Page)"/>
        <w:docPartUnique/>
      </w:docPartObj>
    </w:sdtPr>
    <w:sdtEndPr>
      <w:rPr>
        <w:color w:val="7F7F7F" w:themeColor="background1" w:themeShade="7F"/>
        <w:spacing w:val="60"/>
      </w:rPr>
    </w:sdtEndPr>
    <w:sdtContent>
      <w:p w:rsidR="008374A1" w:rsidRDefault="008374A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27A78" w:rsidRPr="00B27A78">
          <w:rPr>
            <w:b/>
            <w:bCs/>
            <w:noProof/>
          </w:rPr>
          <w:t>2</w:t>
        </w:r>
        <w:r>
          <w:rPr>
            <w:b/>
            <w:bCs/>
            <w:noProof/>
          </w:rPr>
          <w:fldChar w:fldCharType="end"/>
        </w:r>
        <w:r>
          <w:rPr>
            <w:b/>
            <w:bCs/>
          </w:rPr>
          <w:t xml:space="preserve"> | </w:t>
        </w:r>
        <w:r>
          <w:rPr>
            <w:color w:val="7F7F7F" w:themeColor="background1" w:themeShade="7F"/>
            <w:spacing w:val="60"/>
          </w:rPr>
          <w:t>Page</w:t>
        </w:r>
      </w:p>
    </w:sdtContent>
  </w:sdt>
  <w:p w:rsidR="00E92B3B" w:rsidRDefault="00E92B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6F7" w:rsidRDefault="003F66F7" w:rsidP="00E92B3B">
      <w:pPr>
        <w:spacing w:after="0" w:line="240" w:lineRule="auto"/>
      </w:pPr>
      <w:r>
        <w:separator/>
      </w:r>
    </w:p>
  </w:footnote>
  <w:footnote w:type="continuationSeparator" w:id="0">
    <w:p w:rsidR="003F66F7" w:rsidRDefault="003F66F7" w:rsidP="00E92B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870DDD"/>
    <w:multiLevelType w:val="hybridMultilevel"/>
    <w:tmpl w:val="F9B8CC18"/>
    <w:lvl w:ilvl="0" w:tplc="EBB6529C">
      <w:start w:val="1"/>
      <w:numFmt w:val="bullet"/>
      <w:lvlText w:val=""/>
      <w:lvlJc w:val="left"/>
      <w:pPr>
        <w:tabs>
          <w:tab w:val="num" w:pos="720"/>
        </w:tabs>
        <w:ind w:left="720" w:hanging="360"/>
      </w:pPr>
      <w:rPr>
        <w:rFonts w:ascii="Wingdings" w:hAnsi="Wingdings" w:hint="default"/>
      </w:rPr>
    </w:lvl>
    <w:lvl w:ilvl="1" w:tplc="868040F0" w:tentative="1">
      <w:start w:val="1"/>
      <w:numFmt w:val="bullet"/>
      <w:lvlText w:val=""/>
      <w:lvlJc w:val="left"/>
      <w:pPr>
        <w:tabs>
          <w:tab w:val="num" w:pos="1440"/>
        </w:tabs>
        <w:ind w:left="1440" w:hanging="360"/>
      </w:pPr>
      <w:rPr>
        <w:rFonts w:ascii="Wingdings" w:hAnsi="Wingdings" w:hint="default"/>
      </w:rPr>
    </w:lvl>
    <w:lvl w:ilvl="2" w:tplc="A5FC3DD2" w:tentative="1">
      <w:start w:val="1"/>
      <w:numFmt w:val="bullet"/>
      <w:lvlText w:val=""/>
      <w:lvlJc w:val="left"/>
      <w:pPr>
        <w:tabs>
          <w:tab w:val="num" w:pos="2160"/>
        </w:tabs>
        <w:ind w:left="2160" w:hanging="360"/>
      </w:pPr>
      <w:rPr>
        <w:rFonts w:ascii="Wingdings" w:hAnsi="Wingdings" w:hint="default"/>
      </w:rPr>
    </w:lvl>
    <w:lvl w:ilvl="3" w:tplc="1FCC2AE2" w:tentative="1">
      <w:start w:val="1"/>
      <w:numFmt w:val="bullet"/>
      <w:lvlText w:val=""/>
      <w:lvlJc w:val="left"/>
      <w:pPr>
        <w:tabs>
          <w:tab w:val="num" w:pos="2880"/>
        </w:tabs>
        <w:ind w:left="2880" w:hanging="360"/>
      </w:pPr>
      <w:rPr>
        <w:rFonts w:ascii="Wingdings" w:hAnsi="Wingdings" w:hint="default"/>
      </w:rPr>
    </w:lvl>
    <w:lvl w:ilvl="4" w:tplc="9962CA9A" w:tentative="1">
      <w:start w:val="1"/>
      <w:numFmt w:val="bullet"/>
      <w:lvlText w:val=""/>
      <w:lvlJc w:val="left"/>
      <w:pPr>
        <w:tabs>
          <w:tab w:val="num" w:pos="3600"/>
        </w:tabs>
        <w:ind w:left="3600" w:hanging="360"/>
      </w:pPr>
      <w:rPr>
        <w:rFonts w:ascii="Wingdings" w:hAnsi="Wingdings" w:hint="default"/>
      </w:rPr>
    </w:lvl>
    <w:lvl w:ilvl="5" w:tplc="0A8AB4E0" w:tentative="1">
      <w:start w:val="1"/>
      <w:numFmt w:val="bullet"/>
      <w:lvlText w:val=""/>
      <w:lvlJc w:val="left"/>
      <w:pPr>
        <w:tabs>
          <w:tab w:val="num" w:pos="4320"/>
        </w:tabs>
        <w:ind w:left="4320" w:hanging="360"/>
      </w:pPr>
      <w:rPr>
        <w:rFonts w:ascii="Wingdings" w:hAnsi="Wingdings" w:hint="default"/>
      </w:rPr>
    </w:lvl>
    <w:lvl w:ilvl="6" w:tplc="AA12068C" w:tentative="1">
      <w:start w:val="1"/>
      <w:numFmt w:val="bullet"/>
      <w:lvlText w:val=""/>
      <w:lvlJc w:val="left"/>
      <w:pPr>
        <w:tabs>
          <w:tab w:val="num" w:pos="5040"/>
        </w:tabs>
        <w:ind w:left="5040" w:hanging="360"/>
      </w:pPr>
      <w:rPr>
        <w:rFonts w:ascii="Wingdings" w:hAnsi="Wingdings" w:hint="default"/>
      </w:rPr>
    </w:lvl>
    <w:lvl w:ilvl="7" w:tplc="7376F25E" w:tentative="1">
      <w:start w:val="1"/>
      <w:numFmt w:val="bullet"/>
      <w:lvlText w:val=""/>
      <w:lvlJc w:val="left"/>
      <w:pPr>
        <w:tabs>
          <w:tab w:val="num" w:pos="5760"/>
        </w:tabs>
        <w:ind w:left="5760" w:hanging="360"/>
      </w:pPr>
      <w:rPr>
        <w:rFonts w:ascii="Wingdings" w:hAnsi="Wingdings" w:hint="default"/>
      </w:rPr>
    </w:lvl>
    <w:lvl w:ilvl="8" w:tplc="AAA88632" w:tentative="1">
      <w:start w:val="1"/>
      <w:numFmt w:val="bullet"/>
      <w:lvlText w:val=""/>
      <w:lvlJc w:val="left"/>
      <w:pPr>
        <w:tabs>
          <w:tab w:val="num" w:pos="6480"/>
        </w:tabs>
        <w:ind w:left="6480" w:hanging="360"/>
      </w:pPr>
      <w:rPr>
        <w:rFonts w:ascii="Wingdings" w:hAnsi="Wingdings" w:hint="default"/>
      </w:rPr>
    </w:lvl>
  </w:abstractNum>
  <w:abstractNum w:abstractNumId="1">
    <w:nsid w:val="41715358"/>
    <w:multiLevelType w:val="hybridMultilevel"/>
    <w:tmpl w:val="18969CF8"/>
    <w:lvl w:ilvl="0" w:tplc="D046BC94">
      <w:start w:val="1"/>
      <w:numFmt w:val="bullet"/>
      <w:lvlText w:val=""/>
      <w:lvlJc w:val="left"/>
      <w:pPr>
        <w:tabs>
          <w:tab w:val="num" w:pos="720"/>
        </w:tabs>
        <w:ind w:left="720" w:hanging="360"/>
      </w:pPr>
      <w:rPr>
        <w:rFonts w:ascii="Wingdings" w:hAnsi="Wingdings" w:hint="default"/>
      </w:rPr>
    </w:lvl>
    <w:lvl w:ilvl="1" w:tplc="0A6E7ABC" w:tentative="1">
      <w:start w:val="1"/>
      <w:numFmt w:val="bullet"/>
      <w:lvlText w:val=""/>
      <w:lvlJc w:val="left"/>
      <w:pPr>
        <w:tabs>
          <w:tab w:val="num" w:pos="1440"/>
        </w:tabs>
        <w:ind w:left="1440" w:hanging="360"/>
      </w:pPr>
      <w:rPr>
        <w:rFonts w:ascii="Wingdings" w:hAnsi="Wingdings" w:hint="default"/>
      </w:rPr>
    </w:lvl>
    <w:lvl w:ilvl="2" w:tplc="0B1A2C9E" w:tentative="1">
      <w:start w:val="1"/>
      <w:numFmt w:val="bullet"/>
      <w:lvlText w:val=""/>
      <w:lvlJc w:val="left"/>
      <w:pPr>
        <w:tabs>
          <w:tab w:val="num" w:pos="2160"/>
        </w:tabs>
        <w:ind w:left="2160" w:hanging="360"/>
      </w:pPr>
      <w:rPr>
        <w:rFonts w:ascii="Wingdings" w:hAnsi="Wingdings" w:hint="default"/>
      </w:rPr>
    </w:lvl>
    <w:lvl w:ilvl="3" w:tplc="2B1655AA" w:tentative="1">
      <w:start w:val="1"/>
      <w:numFmt w:val="bullet"/>
      <w:lvlText w:val=""/>
      <w:lvlJc w:val="left"/>
      <w:pPr>
        <w:tabs>
          <w:tab w:val="num" w:pos="2880"/>
        </w:tabs>
        <w:ind w:left="2880" w:hanging="360"/>
      </w:pPr>
      <w:rPr>
        <w:rFonts w:ascii="Wingdings" w:hAnsi="Wingdings" w:hint="default"/>
      </w:rPr>
    </w:lvl>
    <w:lvl w:ilvl="4" w:tplc="E1726E5A" w:tentative="1">
      <w:start w:val="1"/>
      <w:numFmt w:val="bullet"/>
      <w:lvlText w:val=""/>
      <w:lvlJc w:val="left"/>
      <w:pPr>
        <w:tabs>
          <w:tab w:val="num" w:pos="3600"/>
        </w:tabs>
        <w:ind w:left="3600" w:hanging="360"/>
      </w:pPr>
      <w:rPr>
        <w:rFonts w:ascii="Wingdings" w:hAnsi="Wingdings" w:hint="default"/>
      </w:rPr>
    </w:lvl>
    <w:lvl w:ilvl="5" w:tplc="F9BEB932" w:tentative="1">
      <w:start w:val="1"/>
      <w:numFmt w:val="bullet"/>
      <w:lvlText w:val=""/>
      <w:lvlJc w:val="left"/>
      <w:pPr>
        <w:tabs>
          <w:tab w:val="num" w:pos="4320"/>
        </w:tabs>
        <w:ind w:left="4320" w:hanging="360"/>
      </w:pPr>
      <w:rPr>
        <w:rFonts w:ascii="Wingdings" w:hAnsi="Wingdings" w:hint="default"/>
      </w:rPr>
    </w:lvl>
    <w:lvl w:ilvl="6" w:tplc="47026D82" w:tentative="1">
      <w:start w:val="1"/>
      <w:numFmt w:val="bullet"/>
      <w:lvlText w:val=""/>
      <w:lvlJc w:val="left"/>
      <w:pPr>
        <w:tabs>
          <w:tab w:val="num" w:pos="5040"/>
        </w:tabs>
        <w:ind w:left="5040" w:hanging="360"/>
      </w:pPr>
      <w:rPr>
        <w:rFonts w:ascii="Wingdings" w:hAnsi="Wingdings" w:hint="default"/>
      </w:rPr>
    </w:lvl>
    <w:lvl w:ilvl="7" w:tplc="A5089656" w:tentative="1">
      <w:start w:val="1"/>
      <w:numFmt w:val="bullet"/>
      <w:lvlText w:val=""/>
      <w:lvlJc w:val="left"/>
      <w:pPr>
        <w:tabs>
          <w:tab w:val="num" w:pos="5760"/>
        </w:tabs>
        <w:ind w:left="5760" w:hanging="360"/>
      </w:pPr>
      <w:rPr>
        <w:rFonts w:ascii="Wingdings" w:hAnsi="Wingdings" w:hint="default"/>
      </w:rPr>
    </w:lvl>
    <w:lvl w:ilvl="8" w:tplc="CD0CD336" w:tentative="1">
      <w:start w:val="1"/>
      <w:numFmt w:val="bullet"/>
      <w:lvlText w:val=""/>
      <w:lvlJc w:val="left"/>
      <w:pPr>
        <w:tabs>
          <w:tab w:val="num" w:pos="6480"/>
        </w:tabs>
        <w:ind w:left="6480" w:hanging="360"/>
      </w:pPr>
      <w:rPr>
        <w:rFonts w:ascii="Wingdings" w:hAnsi="Wingdings" w:hint="default"/>
      </w:rPr>
    </w:lvl>
  </w:abstractNum>
  <w:abstractNum w:abstractNumId="2">
    <w:nsid w:val="6FDB785C"/>
    <w:multiLevelType w:val="hybridMultilevel"/>
    <w:tmpl w:val="63AC3CA4"/>
    <w:lvl w:ilvl="0" w:tplc="6F1ACF8A">
      <w:start w:val="1"/>
      <w:numFmt w:val="bullet"/>
      <w:lvlText w:val=""/>
      <w:lvlJc w:val="left"/>
      <w:pPr>
        <w:tabs>
          <w:tab w:val="num" w:pos="720"/>
        </w:tabs>
        <w:ind w:left="720" w:hanging="360"/>
      </w:pPr>
      <w:rPr>
        <w:rFonts w:ascii="Wingdings" w:hAnsi="Wingdings" w:hint="default"/>
      </w:rPr>
    </w:lvl>
    <w:lvl w:ilvl="1" w:tplc="934AEADA" w:tentative="1">
      <w:start w:val="1"/>
      <w:numFmt w:val="bullet"/>
      <w:lvlText w:val=""/>
      <w:lvlJc w:val="left"/>
      <w:pPr>
        <w:tabs>
          <w:tab w:val="num" w:pos="1440"/>
        </w:tabs>
        <w:ind w:left="1440" w:hanging="360"/>
      </w:pPr>
      <w:rPr>
        <w:rFonts w:ascii="Wingdings" w:hAnsi="Wingdings" w:hint="default"/>
      </w:rPr>
    </w:lvl>
    <w:lvl w:ilvl="2" w:tplc="5A1EBF34" w:tentative="1">
      <w:start w:val="1"/>
      <w:numFmt w:val="bullet"/>
      <w:lvlText w:val=""/>
      <w:lvlJc w:val="left"/>
      <w:pPr>
        <w:tabs>
          <w:tab w:val="num" w:pos="2160"/>
        </w:tabs>
        <w:ind w:left="2160" w:hanging="360"/>
      </w:pPr>
      <w:rPr>
        <w:rFonts w:ascii="Wingdings" w:hAnsi="Wingdings" w:hint="default"/>
      </w:rPr>
    </w:lvl>
    <w:lvl w:ilvl="3" w:tplc="AE1CE7CA" w:tentative="1">
      <w:start w:val="1"/>
      <w:numFmt w:val="bullet"/>
      <w:lvlText w:val=""/>
      <w:lvlJc w:val="left"/>
      <w:pPr>
        <w:tabs>
          <w:tab w:val="num" w:pos="2880"/>
        </w:tabs>
        <w:ind w:left="2880" w:hanging="360"/>
      </w:pPr>
      <w:rPr>
        <w:rFonts w:ascii="Wingdings" w:hAnsi="Wingdings" w:hint="default"/>
      </w:rPr>
    </w:lvl>
    <w:lvl w:ilvl="4" w:tplc="DEA632D6" w:tentative="1">
      <w:start w:val="1"/>
      <w:numFmt w:val="bullet"/>
      <w:lvlText w:val=""/>
      <w:lvlJc w:val="left"/>
      <w:pPr>
        <w:tabs>
          <w:tab w:val="num" w:pos="3600"/>
        </w:tabs>
        <w:ind w:left="3600" w:hanging="360"/>
      </w:pPr>
      <w:rPr>
        <w:rFonts w:ascii="Wingdings" w:hAnsi="Wingdings" w:hint="default"/>
      </w:rPr>
    </w:lvl>
    <w:lvl w:ilvl="5" w:tplc="88128A2E" w:tentative="1">
      <w:start w:val="1"/>
      <w:numFmt w:val="bullet"/>
      <w:lvlText w:val=""/>
      <w:lvlJc w:val="left"/>
      <w:pPr>
        <w:tabs>
          <w:tab w:val="num" w:pos="4320"/>
        </w:tabs>
        <w:ind w:left="4320" w:hanging="360"/>
      </w:pPr>
      <w:rPr>
        <w:rFonts w:ascii="Wingdings" w:hAnsi="Wingdings" w:hint="default"/>
      </w:rPr>
    </w:lvl>
    <w:lvl w:ilvl="6" w:tplc="A546126C" w:tentative="1">
      <w:start w:val="1"/>
      <w:numFmt w:val="bullet"/>
      <w:lvlText w:val=""/>
      <w:lvlJc w:val="left"/>
      <w:pPr>
        <w:tabs>
          <w:tab w:val="num" w:pos="5040"/>
        </w:tabs>
        <w:ind w:left="5040" w:hanging="360"/>
      </w:pPr>
      <w:rPr>
        <w:rFonts w:ascii="Wingdings" w:hAnsi="Wingdings" w:hint="default"/>
      </w:rPr>
    </w:lvl>
    <w:lvl w:ilvl="7" w:tplc="F7924190" w:tentative="1">
      <w:start w:val="1"/>
      <w:numFmt w:val="bullet"/>
      <w:lvlText w:val=""/>
      <w:lvlJc w:val="left"/>
      <w:pPr>
        <w:tabs>
          <w:tab w:val="num" w:pos="5760"/>
        </w:tabs>
        <w:ind w:left="5760" w:hanging="360"/>
      </w:pPr>
      <w:rPr>
        <w:rFonts w:ascii="Wingdings" w:hAnsi="Wingdings" w:hint="default"/>
      </w:rPr>
    </w:lvl>
    <w:lvl w:ilvl="8" w:tplc="AD02D104" w:tentative="1">
      <w:start w:val="1"/>
      <w:numFmt w:val="bullet"/>
      <w:lvlText w:val=""/>
      <w:lvlJc w:val="left"/>
      <w:pPr>
        <w:tabs>
          <w:tab w:val="num" w:pos="6480"/>
        </w:tabs>
        <w:ind w:left="6480" w:hanging="360"/>
      </w:pPr>
      <w:rPr>
        <w:rFonts w:ascii="Wingdings" w:hAnsi="Wingdings" w:hint="default"/>
      </w:rPr>
    </w:lvl>
  </w:abstractNum>
  <w:abstractNum w:abstractNumId="3">
    <w:nsid w:val="7A9337AD"/>
    <w:multiLevelType w:val="hybridMultilevel"/>
    <w:tmpl w:val="473677B4"/>
    <w:lvl w:ilvl="0" w:tplc="C8645C32">
      <w:start w:val="1"/>
      <w:numFmt w:val="bullet"/>
      <w:lvlText w:val=""/>
      <w:lvlJc w:val="left"/>
      <w:pPr>
        <w:tabs>
          <w:tab w:val="num" w:pos="720"/>
        </w:tabs>
        <w:ind w:left="720" w:hanging="360"/>
      </w:pPr>
      <w:rPr>
        <w:rFonts w:ascii="Wingdings" w:hAnsi="Wingdings" w:hint="default"/>
      </w:rPr>
    </w:lvl>
    <w:lvl w:ilvl="1" w:tplc="4F8E4EBE" w:tentative="1">
      <w:start w:val="1"/>
      <w:numFmt w:val="bullet"/>
      <w:lvlText w:val=""/>
      <w:lvlJc w:val="left"/>
      <w:pPr>
        <w:tabs>
          <w:tab w:val="num" w:pos="1440"/>
        </w:tabs>
        <w:ind w:left="1440" w:hanging="360"/>
      </w:pPr>
      <w:rPr>
        <w:rFonts w:ascii="Wingdings" w:hAnsi="Wingdings" w:hint="default"/>
      </w:rPr>
    </w:lvl>
    <w:lvl w:ilvl="2" w:tplc="6406B916" w:tentative="1">
      <w:start w:val="1"/>
      <w:numFmt w:val="bullet"/>
      <w:lvlText w:val=""/>
      <w:lvlJc w:val="left"/>
      <w:pPr>
        <w:tabs>
          <w:tab w:val="num" w:pos="2160"/>
        </w:tabs>
        <w:ind w:left="2160" w:hanging="360"/>
      </w:pPr>
      <w:rPr>
        <w:rFonts w:ascii="Wingdings" w:hAnsi="Wingdings" w:hint="default"/>
      </w:rPr>
    </w:lvl>
    <w:lvl w:ilvl="3" w:tplc="F53824C2" w:tentative="1">
      <w:start w:val="1"/>
      <w:numFmt w:val="bullet"/>
      <w:lvlText w:val=""/>
      <w:lvlJc w:val="left"/>
      <w:pPr>
        <w:tabs>
          <w:tab w:val="num" w:pos="2880"/>
        </w:tabs>
        <w:ind w:left="2880" w:hanging="360"/>
      </w:pPr>
      <w:rPr>
        <w:rFonts w:ascii="Wingdings" w:hAnsi="Wingdings" w:hint="default"/>
      </w:rPr>
    </w:lvl>
    <w:lvl w:ilvl="4" w:tplc="8F24EE94" w:tentative="1">
      <w:start w:val="1"/>
      <w:numFmt w:val="bullet"/>
      <w:lvlText w:val=""/>
      <w:lvlJc w:val="left"/>
      <w:pPr>
        <w:tabs>
          <w:tab w:val="num" w:pos="3600"/>
        </w:tabs>
        <w:ind w:left="3600" w:hanging="360"/>
      </w:pPr>
      <w:rPr>
        <w:rFonts w:ascii="Wingdings" w:hAnsi="Wingdings" w:hint="default"/>
      </w:rPr>
    </w:lvl>
    <w:lvl w:ilvl="5" w:tplc="64268E0E" w:tentative="1">
      <w:start w:val="1"/>
      <w:numFmt w:val="bullet"/>
      <w:lvlText w:val=""/>
      <w:lvlJc w:val="left"/>
      <w:pPr>
        <w:tabs>
          <w:tab w:val="num" w:pos="4320"/>
        </w:tabs>
        <w:ind w:left="4320" w:hanging="360"/>
      </w:pPr>
      <w:rPr>
        <w:rFonts w:ascii="Wingdings" w:hAnsi="Wingdings" w:hint="default"/>
      </w:rPr>
    </w:lvl>
    <w:lvl w:ilvl="6" w:tplc="50703D8A" w:tentative="1">
      <w:start w:val="1"/>
      <w:numFmt w:val="bullet"/>
      <w:lvlText w:val=""/>
      <w:lvlJc w:val="left"/>
      <w:pPr>
        <w:tabs>
          <w:tab w:val="num" w:pos="5040"/>
        </w:tabs>
        <w:ind w:left="5040" w:hanging="360"/>
      </w:pPr>
      <w:rPr>
        <w:rFonts w:ascii="Wingdings" w:hAnsi="Wingdings" w:hint="default"/>
      </w:rPr>
    </w:lvl>
    <w:lvl w:ilvl="7" w:tplc="57D60F3C" w:tentative="1">
      <w:start w:val="1"/>
      <w:numFmt w:val="bullet"/>
      <w:lvlText w:val=""/>
      <w:lvlJc w:val="left"/>
      <w:pPr>
        <w:tabs>
          <w:tab w:val="num" w:pos="5760"/>
        </w:tabs>
        <w:ind w:left="5760" w:hanging="360"/>
      </w:pPr>
      <w:rPr>
        <w:rFonts w:ascii="Wingdings" w:hAnsi="Wingdings" w:hint="default"/>
      </w:rPr>
    </w:lvl>
    <w:lvl w:ilvl="8" w:tplc="DD5C97B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F16"/>
    <w:rsid w:val="00027058"/>
    <w:rsid w:val="0007486B"/>
    <w:rsid w:val="00085A0C"/>
    <w:rsid w:val="00092EBA"/>
    <w:rsid w:val="000A4873"/>
    <w:rsid w:val="0010368F"/>
    <w:rsid w:val="001311F7"/>
    <w:rsid w:val="0014186C"/>
    <w:rsid w:val="001F5B21"/>
    <w:rsid w:val="00231A5A"/>
    <w:rsid w:val="002C1520"/>
    <w:rsid w:val="002C1C35"/>
    <w:rsid w:val="002E21BA"/>
    <w:rsid w:val="002F20E9"/>
    <w:rsid w:val="00301580"/>
    <w:rsid w:val="00322660"/>
    <w:rsid w:val="00334873"/>
    <w:rsid w:val="003459F4"/>
    <w:rsid w:val="00347A9F"/>
    <w:rsid w:val="00350312"/>
    <w:rsid w:val="003B129D"/>
    <w:rsid w:val="003F66F7"/>
    <w:rsid w:val="00412824"/>
    <w:rsid w:val="0044329F"/>
    <w:rsid w:val="00444881"/>
    <w:rsid w:val="00460576"/>
    <w:rsid w:val="004627C1"/>
    <w:rsid w:val="00494CDF"/>
    <w:rsid w:val="004B4FD9"/>
    <w:rsid w:val="004B7F16"/>
    <w:rsid w:val="004E185E"/>
    <w:rsid w:val="005263E9"/>
    <w:rsid w:val="00542AD5"/>
    <w:rsid w:val="005E3EED"/>
    <w:rsid w:val="0068083A"/>
    <w:rsid w:val="006C0AEF"/>
    <w:rsid w:val="006D0EB0"/>
    <w:rsid w:val="006D48CB"/>
    <w:rsid w:val="006E2CAA"/>
    <w:rsid w:val="007027C1"/>
    <w:rsid w:val="0075513E"/>
    <w:rsid w:val="007858F7"/>
    <w:rsid w:val="00785E98"/>
    <w:rsid w:val="00827CDE"/>
    <w:rsid w:val="008374A1"/>
    <w:rsid w:val="00842818"/>
    <w:rsid w:val="00850036"/>
    <w:rsid w:val="00865F88"/>
    <w:rsid w:val="008D5067"/>
    <w:rsid w:val="008F3733"/>
    <w:rsid w:val="008F4379"/>
    <w:rsid w:val="009022C3"/>
    <w:rsid w:val="009253E5"/>
    <w:rsid w:val="009803D4"/>
    <w:rsid w:val="00A117BD"/>
    <w:rsid w:val="00A67C4B"/>
    <w:rsid w:val="00A8691B"/>
    <w:rsid w:val="00AB4C5C"/>
    <w:rsid w:val="00AD302C"/>
    <w:rsid w:val="00AF1313"/>
    <w:rsid w:val="00AF361D"/>
    <w:rsid w:val="00B06879"/>
    <w:rsid w:val="00B120A3"/>
    <w:rsid w:val="00B27A78"/>
    <w:rsid w:val="00B75474"/>
    <w:rsid w:val="00BD5720"/>
    <w:rsid w:val="00BE4E02"/>
    <w:rsid w:val="00C10B32"/>
    <w:rsid w:val="00C40ED7"/>
    <w:rsid w:val="00C423E9"/>
    <w:rsid w:val="00C522AB"/>
    <w:rsid w:val="00C7665B"/>
    <w:rsid w:val="00C94B17"/>
    <w:rsid w:val="00CD5118"/>
    <w:rsid w:val="00D17E0D"/>
    <w:rsid w:val="00D20F01"/>
    <w:rsid w:val="00D67812"/>
    <w:rsid w:val="00D7126C"/>
    <w:rsid w:val="00DC7E6A"/>
    <w:rsid w:val="00DE1261"/>
    <w:rsid w:val="00E33820"/>
    <w:rsid w:val="00E44B82"/>
    <w:rsid w:val="00E51D35"/>
    <w:rsid w:val="00E85B97"/>
    <w:rsid w:val="00E92B3B"/>
    <w:rsid w:val="00F40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5DD870-09E4-495D-8037-4A1C726F2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2B3B"/>
  </w:style>
  <w:style w:type="paragraph" w:styleId="Footer">
    <w:name w:val="footer"/>
    <w:basedOn w:val="Normal"/>
    <w:link w:val="FooterChar"/>
    <w:uiPriority w:val="99"/>
    <w:unhideWhenUsed/>
    <w:rsid w:val="00E92B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2023-07-06T17:18:00Z</dcterms:created>
  <dcterms:modified xsi:type="dcterms:W3CDTF">2023-07-06T17:18:00Z</dcterms:modified>
</cp:coreProperties>
</file>