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4-Accent5"/>
        <w:tblpPr w:leftFromText="180" w:rightFromText="180" w:horzAnchor="margin" w:tblpY="1290"/>
        <w:tblW w:w="0" w:type="auto"/>
        <w:tblLook w:val="04A0" w:firstRow="1" w:lastRow="0" w:firstColumn="1" w:lastColumn="0" w:noHBand="0" w:noVBand="1"/>
      </w:tblPr>
      <w:tblGrid>
        <w:gridCol w:w="4508"/>
        <w:gridCol w:w="4508"/>
      </w:tblGrid>
      <w:tr w:rsidR="00DF66AE" w:rsidRPr="00575D89" w14:paraId="01A8426E" w14:textId="77777777" w:rsidTr="00575D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D402090" w14:textId="5F22FBDF" w:rsidR="00DF66AE" w:rsidRPr="00575D89" w:rsidRDefault="00DF66AE" w:rsidP="00DF66AE">
            <w:pPr>
              <w:spacing w:line="480" w:lineRule="auto"/>
              <w:rPr>
                <w:b w:val="0"/>
                <w:bCs w:val="0"/>
                <w:sz w:val="32"/>
                <w:szCs w:val="24"/>
              </w:rPr>
            </w:pPr>
            <w:r w:rsidRPr="00575D89">
              <w:rPr>
                <w:sz w:val="32"/>
                <w:szCs w:val="24"/>
              </w:rPr>
              <w:t>Student Name</w:t>
            </w:r>
          </w:p>
        </w:tc>
        <w:tc>
          <w:tcPr>
            <w:tcW w:w="4508" w:type="dxa"/>
          </w:tcPr>
          <w:p w14:paraId="002E0CA8" w14:textId="496FA1B8" w:rsidR="00DF66AE" w:rsidRPr="00575D89" w:rsidRDefault="00DF66AE" w:rsidP="00DF66AE">
            <w:pPr>
              <w:spacing w:line="480" w:lineRule="auto"/>
              <w:cnfStyle w:val="100000000000" w:firstRow="1" w:lastRow="0" w:firstColumn="0" w:lastColumn="0" w:oddVBand="0" w:evenVBand="0" w:oddHBand="0" w:evenHBand="0" w:firstRowFirstColumn="0" w:firstRowLastColumn="0" w:lastRowFirstColumn="0" w:lastRowLastColumn="0"/>
              <w:rPr>
                <w:b w:val="0"/>
                <w:bCs w:val="0"/>
                <w:sz w:val="32"/>
                <w:szCs w:val="24"/>
              </w:rPr>
            </w:pPr>
            <w:proofErr w:type="spellStart"/>
            <w:r w:rsidRPr="00575D89">
              <w:rPr>
                <w:sz w:val="32"/>
                <w:szCs w:val="24"/>
              </w:rPr>
              <w:t>Stacilee</w:t>
            </w:r>
            <w:proofErr w:type="spellEnd"/>
            <w:r w:rsidRPr="00575D89">
              <w:rPr>
                <w:sz w:val="32"/>
                <w:szCs w:val="24"/>
              </w:rPr>
              <w:t xml:space="preserve"> Julia</w:t>
            </w:r>
          </w:p>
        </w:tc>
      </w:tr>
      <w:tr w:rsidR="00DF66AE" w:rsidRPr="00575D89" w14:paraId="4B9622D9" w14:textId="77777777" w:rsidTr="00575D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F092EAF" w14:textId="00DBCB24" w:rsidR="00DF66AE" w:rsidRPr="00575D89" w:rsidRDefault="00DF66AE" w:rsidP="00DF66AE">
            <w:pPr>
              <w:spacing w:line="480" w:lineRule="auto"/>
              <w:rPr>
                <w:b w:val="0"/>
                <w:bCs w:val="0"/>
                <w:sz w:val="32"/>
                <w:szCs w:val="24"/>
              </w:rPr>
            </w:pPr>
            <w:r w:rsidRPr="00575D89">
              <w:rPr>
                <w:sz w:val="32"/>
                <w:szCs w:val="24"/>
              </w:rPr>
              <w:t>Student ID</w:t>
            </w:r>
          </w:p>
        </w:tc>
        <w:tc>
          <w:tcPr>
            <w:tcW w:w="4508" w:type="dxa"/>
          </w:tcPr>
          <w:p w14:paraId="0E50C4AF" w14:textId="15C3493D" w:rsidR="00DF66AE" w:rsidRPr="00575D89" w:rsidRDefault="00DF66AE" w:rsidP="00DF66AE">
            <w:pPr>
              <w:spacing w:line="480" w:lineRule="auto"/>
              <w:cnfStyle w:val="000000100000" w:firstRow="0" w:lastRow="0" w:firstColumn="0" w:lastColumn="0" w:oddVBand="0" w:evenVBand="0" w:oddHBand="1" w:evenHBand="0" w:firstRowFirstColumn="0" w:firstRowLastColumn="0" w:lastRowFirstColumn="0" w:lastRowLastColumn="0"/>
              <w:rPr>
                <w:b/>
                <w:bCs/>
                <w:sz w:val="32"/>
                <w:szCs w:val="24"/>
              </w:rPr>
            </w:pPr>
            <w:r w:rsidRPr="00575D89">
              <w:rPr>
                <w:b/>
                <w:bCs/>
                <w:sz w:val="32"/>
                <w:szCs w:val="24"/>
              </w:rPr>
              <w:t>2436469</w:t>
            </w:r>
          </w:p>
        </w:tc>
      </w:tr>
      <w:tr w:rsidR="00DF66AE" w:rsidRPr="00575D89" w14:paraId="42CC8DB8" w14:textId="77777777" w:rsidTr="00575D89">
        <w:tc>
          <w:tcPr>
            <w:cnfStyle w:val="001000000000" w:firstRow="0" w:lastRow="0" w:firstColumn="1" w:lastColumn="0" w:oddVBand="0" w:evenVBand="0" w:oddHBand="0" w:evenHBand="0" w:firstRowFirstColumn="0" w:firstRowLastColumn="0" w:lastRowFirstColumn="0" w:lastRowLastColumn="0"/>
            <w:tcW w:w="4508" w:type="dxa"/>
          </w:tcPr>
          <w:p w14:paraId="59C3BE4A" w14:textId="0F9F35F8" w:rsidR="00DF66AE" w:rsidRPr="00575D89" w:rsidRDefault="00DF66AE" w:rsidP="00DF66AE">
            <w:pPr>
              <w:spacing w:line="480" w:lineRule="auto"/>
              <w:rPr>
                <w:b w:val="0"/>
                <w:bCs w:val="0"/>
                <w:sz w:val="32"/>
                <w:szCs w:val="24"/>
              </w:rPr>
            </w:pPr>
            <w:r w:rsidRPr="00575D89">
              <w:rPr>
                <w:sz w:val="32"/>
                <w:szCs w:val="24"/>
              </w:rPr>
              <w:t>Module Name</w:t>
            </w:r>
          </w:p>
        </w:tc>
        <w:tc>
          <w:tcPr>
            <w:tcW w:w="4508" w:type="dxa"/>
          </w:tcPr>
          <w:p w14:paraId="45680675" w14:textId="28AC21EE" w:rsidR="00DF66AE" w:rsidRPr="00575D89" w:rsidRDefault="00DF66AE" w:rsidP="00DF66AE">
            <w:pPr>
              <w:spacing w:line="480" w:lineRule="auto"/>
              <w:cnfStyle w:val="000000000000" w:firstRow="0" w:lastRow="0" w:firstColumn="0" w:lastColumn="0" w:oddVBand="0" w:evenVBand="0" w:oddHBand="0" w:evenHBand="0" w:firstRowFirstColumn="0" w:firstRowLastColumn="0" w:lastRowFirstColumn="0" w:lastRowLastColumn="0"/>
              <w:rPr>
                <w:b/>
                <w:bCs/>
                <w:sz w:val="32"/>
                <w:szCs w:val="24"/>
              </w:rPr>
            </w:pPr>
            <w:r w:rsidRPr="00575D89">
              <w:rPr>
                <w:b/>
                <w:bCs/>
                <w:sz w:val="32"/>
                <w:szCs w:val="24"/>
              </w:rPr>
              <w:t>Principles of Health and Social Care Practice</w:t>
            </w:r>
          </w:p>
        </w:tc>
      </w:tr>
      <w:tr w:rsidR="00DF66AE" w:rsidRPr="00575D89" w14:paraId="1A09D63A" w14:textId="77777777" w:rsidTr="00575D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C65B62B" w14:textId="0F54AB79" w:rsidR="00DF66AE" w:rsidRPr="00575D89" w:rsidRDefault="00DF66AE" w:rsidP="00DF66AE">
            <w:pPr>
              <w:spacing w:line="480" w:lineRule="auto"/>
              <w:rPr>
                <w:b w:val="0"/>
                <w:bCs w:val="0"/>
                <w:sz w:val="32"/>
                <w:szCs w:val="24"/>
              </w:rPr>
            </w:pPr>
            <w:r w:rsidRPr="00575D89">
              <w:rPr>
                <w:sz w:val="32"/>
                <w:szCs w:val="24"/>
              </w:rPr>
              <w:t>Module Code</w:t>
            </w:r>
          </w:p>
        </w:tc>
        <w:tc>
          <w:tcPr>
            <w:tcW w:w="4508" w:type="dxa"/>
          </w:tcPr>
          <w:p w14:paraId="250A5FCC" w14:textId="433864CF" w:rsidR="00DF66AE" w:rsidRPr="00575D89" w:rsidRDefault="00DF66AE" w:rsidP="00DF66AE">
            <w:pPr>
              <w:spacing w:line="480" w:lineRule="auto"/>
              <w:cnfStyle w:val="000000100000" w:firstRow="0" w:lastRow="0" w:firstColumn="0" w:lastColumn="0" w:oddVBand="0" w:evenVBand="0" w:oddHBand="1" w:evenHBand="0" w:firstRowFirstColumn="0" w:firstRowLastColumn="0" w:lastRowFirstColumn="0" w:lastRowLastColumn="0"/>
              <w:rPr>
                <w:b/>
                <w:bCs/>
                <w:sz w:val="32"/>
                <w:szCs w:val="24"/>
              </w:rPr>
            </w:pPr>
            <w:r w:rsidRPr="00575D89">
              <w:rPr>
                <w:b/>
                <w:bCs/>
                <w:sz w:val="32"/>
                <w:szCs w:val="24"/>
              </w:rPr>
              <w:t>BMHP5016</w:t>
            </w:r>
          </w:p>
        </w:tc>
      </w:tr>
      <w:tr w:rsidR="00DF66AE" w:rsidRPr="00575D89" w14:paraId="30F65B6F" w14:textId="77777777" w:rsidTr="00575D89">
        <w:tc>
          <w:tcPr>
            <w:cnfStyle w:val="001000000000" w:firstRow="0" w:lastRow="0" w:firstColumn="1" w:lastColumn="0" w:oddVBand="0" w:evenVBand="0" w:oddHBand="0" w:evenHBand="0" w:firstRowFirstColumn="0" w:firstRowLastColumn="0" w:lastRowFirstColumn="0" w:lastRowLastColumn="0"/>
            <w:tcW w:w="4508" w:type="dxa"/>
          </w:tcPr>
          <w:p w14:paraId="066C1CA1" w14:textId="7F4DD7FA" w:rsidR="00DF66AE" w:rsidRPr="00575D89" w:rsidRDefault="00DF66AE" w:rsidP="00DF66AE">
            <w:pPr>
              <w:spacing w:line="480" w:lineRule="auto"/>
              <w:rPr>
                <w:b w:val="0"/>
                <w:bCs w:val="0"/>
                <w:sz w:val="32"/>
                <w:szCs w:val="24"/>
              </w:rPr>
            </w:pPr>
            <w:r w:rsidRPr="00575D89">
              <w:rPr>
                <w:sz w:val="32"/>
                <w:szCs w:val="24"/>
              </w:rPr>
              <w:t>Assignment Title</w:t>
            </w:r>
          </w:p>
        </w:tc>
        <w:tc>
          <w:tcPr>
            <w:tcW w:w="4508" w:type="dxa"/>
          </w:tcPr>
          <w:p w14:paraId="7C9310BF" w14:textId="5E26415A" w:rsidR="00DF66AE" w:rsidRPr="00575D89" w:rsidRDefault="00DF66AE" w:rsidP="00DF66AE">
            <w:pPr>
              <w:spacing w:line="480" w:lineRule="auto"/>
              <w:cnfStyle w:val="000000000000" w:firstRow="0" w:lastRow="0" w:firstColumn="0" w:lastColumn="0" w:oddVBand="0" w:evenVBand="0" w:oddHBand="0" w:evenHBand="0" w:firstRowFirstColumn="0" w:firstRowLastColumn="0" w:lastRowFirstColumn="0" w:lastRowLastColumn="0"/>
              <w:rPr>
                <w:b/>
                <w:bCs/>
                <w:sz w:val="32"/>
                <w:szCs w:val="24"/>
              </w:rPr>
            </w:pPr>
            <w:r w:rsidRPr="00575D89">
              <w:rPr>
                <w:b/>
                <w:bCs/>
                <w:sz w:val="32"/>
                <w:szCs w:val="24"/>
              </w:rPr>
              <w:t>Component 2: Report</w:t>
            </w:r>
          </w:p>
        </w:tc>
      </w:tr>
      <w:tr w:rsidR="003B4F1A" w:rsidRPr="00575D89" w14:paraId="336DEBCD" w14:textId="77777777" w:rsidTr="00575D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AAFC870" w14:textId="591D0627" w:rsidR="003B4F1A" w:rsidRPr="00575D89" w:rsidRDefault="003B4F1A" w:rsidP="00DF66AE">
            <w:pPr>
              <w:spacing w:line="480" w:lineRule="auto"/>
              <w:rPr>
                <w:sz w:val="32"/>
                <w:szCs w:val="24"/>
              </w:rPr>
            </w:pPr>
            <w:r>
              <w:rPr>
                <w:sz w:val="32"/>
                <w:szCs w:val="24"/>
              </w:rPr>
              <w:t>Lecturer Name</w:t>
            </w:r>
          </w:p>
        </w:tc>
        <w:tc>
          <w:tcPr>
            <w:tcW w:w="4508" w:type="dxa"/>
          </w:tcPr>
          <w:p w14:paraId="44A97157" w14:textId="0527F18A" w:rsidR="003B4F1A" w:rsidRPr="00575D89" w:rsidRDefault="00542892" w:rsidP="00DF66AE">
            <w:pPr>
              <w:spacing w:line="480" w:lineRule="auto"/>
              <w:cnfStyle w:val="000000100000" w:firstRow="0" w:lastRow="0" w:firstColumn="0" w:lastColumn="0" w:oddVBand="0" w:evenVBand="0" w:oddHBand="1" w:evenHBand="0" w:firstRowFirstColumn="0" w:firstRowLastColumn="0" w:lastRowFirstColumn="0" w:lastRowLastColumn="0"/>
              <w:rPr>
                <w:b/>
                <w:bCs/>
                <w:sz w:val="32"/>
                <w:szCs w:val="24"/>
              </w:rPr>
            </w:pPr>
            <w:proofErr w:type="spellStart"/>
            <w:r w:rsidRPr="00542892">
              <w:rPr>
                <w:b/>
                <w:bCs/>
                <w:sz w:val="32"/>
                <w:szCs w:val="24"/>
              </w:rPr>
              <w:t>Azida</w:t>
            </w:r>
            <w:proofErr w:type="spellEnd"/>
            <w:r w:rsidRPr="00542892">
              <w:rPr>
                <w:b/>
                <w:bCs/>
                <w:sz w:val="32"/>
                <w:szCs w:val="24"/>
              </w:rPr>
              <w:t xml:space="preserve"> </w:t>
            </w:r>
            <w:proofErr w:type="spellStart"/>
            <w:r w:rsidRPr="00542892">
              <w:rPr>
                <w:b/>
                <w:bCs/>
                <w:sz w:val="32"/>
                <w:szCs w:val="24"/>
              </w:rPr>
              <w:t>Zainol</w:t>
            </w:r>
            <w:proofErr w:type="spellEnd"/>
          </w:p>
        </w:tc>
      </w:tr>
      <w:tr w:rsidR="00DF66AE" w:rsidRPr="00575D89" w14:paraId="44FCEEF0" w14:textId="77777777" w:rsidTr="00575D89">
        <w:tc>
          <w:tcPr>
            <w:cnfStyle w:val="001000000000" w:firstRow="0" w:lastRow="0" w:firstColumn="1" w:lastColumn="0" w:oddVBand="0" w:evenVBand="0" w:oddHBand="0" w:evenHBand="0" w:firstRowFirstColumn="0" w:firstRowLastColumn="0" w:lastRowFirstColumn="0" w:lastRowLastColumn="0"/>
            <w:tcW w:w="4508" w:type="dxa"/>
          </w:tcPr>
          <w:p w14:paraId="761E8876" w14:textId="0EE802D6" w:rsidR="00DF66AE" w:rsidRPr="00575D89" w:rsidRDefault="00DF66AE" w:rsidP="00DF66AE">
            <w:pPr>
              <w:spacing w:line="480" w:lineRule="auto"/>
              <w:rPr>
                <w:b w:val="0"/>
                <w:bCs w:val="0"/>
                <w:sz w:val="32"/>
                <w:szCs w:val="24"/>
              </w:rPr>
            </w:pPr>
            <w:r w:rsidRPr="00575D89">
              <w:rPr>
                <w:sz w:val="32"/>
                <w:szCs w:val="24"/>
              </w:rPr>
              <w:t>Submission Date</w:t>
            </w:r>
          </w:p>
        </w:tc>
        <w:tc>
          <w:tcPr>
            <w:tcW w:w="4508" w:type="dxa"/>
          </w:tcPr>
          <w:p w14:paraId="0C662097" w14:textId="05853BEF" w:rsidR="00DF66AE" w:rsidRPr="00575D89" w:rsidRDefault="00DF66AE" w:rsidP="00DF66AE">
            <w:pPr>
              <w:spacing w:line="480" w:lineRule="auto"/>
              <w:cnfStyle w:val="000000000000" w:firstRow="0" w:lastRow="0" w:firstColumn="0" w:lastColumn="0" w:oddVBand="0" w:evenVBand="0" w:oddHBand="0" w:evenHBand="0" w:firstRowFirstColumn="0" w:firstRowLastColumn="0" w:lastRowFirstColumn="0" w:lastRowLastColumn="0"/>
              <w:rPr>
                <w:b/>
                <w:bCs/>
                <w:sz w:val="32"/>
                <w:szCs w:val="24"/>
              </w:rPr>
            </w:pPr>
            <w:r w:rsidRPr="00575D89">
              <w:rPr>
                <w:b/>
                <w:bCs/>
                <w:sz w:val="32"/>
                <w:szCs w:val="24"/>
              </w:rPr>
              <w:t>26 July 2026</w:t>
            </w:r>
          </w:p>
        </w:tc>
      </w:tr>
    </w:tbl>
    <w:p w14:paraId="42C91B96" w14:textId="5F6962DF" w:rsidR="001D3C00" w:rsidRPr="002B497F" w:rsidRDefault="001D3C00">
      <w:pPr>
        <w:rPr>
          <w:b/>
          <w:bCs/>
          <w:sz w:val="24"/>
          <w:szCs w:val="24"/>
        </w:rPr>
      </w:pPr>
      <w:bookmarkStart w:id="0" w:name="_GoBack"/>
      <w:bookmarkEnd w:id="0"/>
      <w:r w:rsidRPr="002B497F">
        <w:rPr>
          <w:b/>
          <w:bCs/>
          <w:sz w:val="24"/>
          <w:szCs w:val="24"/>
        </w:rPr>
        <w:br w:type="page"/>
      </w:r>
    </w:p>
    <w:p w14:paraId="5C98476F" w14:textId="38341026" w:rsidR="004C029F" w:rsidRPr="002B497F" w:rsidRDefault="005410DB" w:rsidP="008D7EC1">
      <w:pPr>
        <w:pStyle w:val="Heading1"/>
        <w:numPr>
          <w:ilvl w:val="0"/>
          <w:numId w:val="2"/>
        </w:numPr>
        <w:spacing w:before="300" w:after="150" w:line="360" w:lineRule="auto"/>
        <w:jc w:val="both"/>
        <w:rPr>
          <w:b/>
          <w:bCs/>
          <w:color w:val="auto"/>
          <w:sz w:val="24"/>
          <w:szCs w:val="24"/>
          <w:lang w:val="en-GB"/>
        </w:rPr>
      </w:pPr>
      <w:bookmarkStart w:id="1" w:name="_Toc235618271"/>
      <w:bookmarkStart w:id="2" w:name="_Toc235618577"/>
      <w:bookmarkStart w:id="3" w:name="_Toc235649341"/>
      <w:bookmarkStart w:id="4" w:name="_Toc235825097"/>
      <w:bookmarkStart w:id="5" w:name="_Toc235826033"/>
      <w:r w:rsidRPr="002B497F">
        <w:rPr>
          <w:b/>
          <w:bCs/>
          <w:color w:val="auto"/>
          <w:sz w:val="24"/>
          <w:szCs w:val="24"/>
          <w:lang w:val="en-GB"/>
        </w:rPr>
        <w:lastRenderedPageBreak/>
        <w:t>Introduction</w:t>
      </w:r>
      <w:bookmarkEnd w:id="1"/>
      <w:bookmarkEnd w:id="2"/>
      <w:bookmarkEnd w:id="3"/>
      <w:bookmarkEnd w:id="4"/>
      <w:bookmarkEnd w:id="5"/>
    </w:p>
    <w:p w14:paraId="0EBDF2A8" w14:textId="0F35B19E" w:rsidR="00800A35" w:rsidRPr="002B497F" w:rsidRDefault="000C2E70" w:rsidP="00E77A20">
      <w:pPr>
        <w:spacing w:line="360" w:lineRule="auto"/>
        <w:jc w:val="both"/>
        <w:rPr>
          <w:sz w:val="20"/>
        </w:rPr>
      </w:pPr>
      <w:r w:rsidRPr="002B497F">
        <w:rPr>
          <w:rStyle w:val="cursor-pointer"/>
          <w:szCs w:val="24"/>
        </w:rPr>
        <w:t>Today, person-centred care (PCC) and partnership working (PW) are the two key concepts in the UK's health and social care policies.</w:t>
      </w:r>
      <w:r w:rsidRPr="002B497F">
        <w:rPr>
          <w:sz w:val="20"/>
        </w:rPr>
        <w:t xml:space="preserve"> </w:t>
      </w:r>
      <w:r w:rsidRPr="002B497F">
        <w:rPr>
          <w:rStyle w:val="cursor-pointer"/>
          <w:szCs w:val="24"/>
        </w:rPr>
        <w:t>The two notions have a straightforward objective.</w:t>
      </w:r>
      <w:r w:rsidRPr="002B497F">
        <w:rPr>
          <w:sz w:val="20"/>
        </w:rPr>
        <w:t xml:space="preserve"> </w:t>
      </w:r>
      <w:r w:rsidRPr="002B497F">
        <w:rPr>
          <w:rStyle w:val="cursor-pointer"/>
          <w:szCs w:val="24"/>
        </w:rPr>
        <w:t xml:space="preserve">They </w:t>
      </w:r>
      <w:r w:rsidR="00E77A20" w:rsidRPr="002B497F">
        <w:rPr>
          <w:rStyle w:val="cursor-pointer"/>
          <w:szCs w:val="24"/>
        </w:rPr>
        <w:t>place</w:t>
      </w:r>
      <w:r w:rsidRPr="002B497F">
        <w:rPr>
          <w:rStyle w:val="cursor-pointer"/>
          <w:szCs w:val="24"/>
        </w:rPr>
        <w:t xml:space="preserve"> people, families and communities at the centre of the decision.</w:t>
      </w:r>
      <w:r w:rsidRPr="002B497F">
        <w:rPr>
          <w:sz w:val="20"/>
        </w:rPr>
        <w:t xml:space="preserve"> </w:t>
      </w:r>
      <w:r w:rsidRPr="002B497F">
        <w:rPr>
          <w:rStyle w:val="cursor-pointer"/>
          <w:szCs w:val="24"/>
        </w:rPr>
        <w:t xml:space="preserve">They also recognise that there are no single professional or single organisation to meet complex needs (McCormack and </w:t>
      </w:r>
      <w:proofErr w:type="spellStart"/>
      <w:r w:rsidRPr="002B497F">
        <w:rPr>
          <w:rStyle w:val="cursor-pointer"/>
          <w:szCs w:val="24"/>
        </w:rPr>
        <w:t>McCance</w:t>
      </w:r>
      <w:proofErr w:type="spellEnd"/>
      <w:r w:rsidRPr="002B497F">
        <w:rPr>
          <w:rStyle w:val="cursor-pointer"/>
          <w:szCs w:val="24"/>
        </w:rPr>
        <w:t>, 2010).</w:t>
      </w:r>
      <w:r w:rsidRPr="002B497F">
        <w:rPr>
          <w:sz w:val="20"/>
        </w:rPr>
        <w:t xml:space="preserve"> </w:t>
      </w:r>
    </w:p>
    <w:p w14:paraId="47A06791" w14:textId="77777777" w:rsidR="000C2E70" w:rsidRPr="002B497F" w:rsidRDefault="000C2E70" w:rsidP="00E77A20">
      <w:pPr>
        <w:spacing w:line="360" w:lineRule="auto"/>
        <w:jc w:val="both"/>
        <w:rPr>
          <w:sz w:val="20"/>
        </w:rPr>
      </w:pPr>
    </w:p>
    <w:p w14:paraId="4B70CDB8" w14:textId="34EF8F82" w:rsidR="00FC7144" w:rsidRPr="002B497F" w:rsidRDefault="000C2E70" w:rsidP="00E77A20">
      <w:pPr>
        <w:spacing w:line="360" w:lineRule="auto"/>
        <w:jc w:val="both"/>
        <w:rPr>
          <w:rStyle w:val="cursor-pointer"/>
          <w:sz w:val="24"/>
          <w:szCs w:val="24"/>
        </w:rPr>
      </w:pPr>
      <w:r w:rsidRPr="002B497F">
        <w:rPr>
          <w:rStyle w:val="cursor-pointer"/>
          <w:szCs w:val="24"/>
        </w:rPr>
        <w:t>This report is based on the definition of PCC and a consideration of its advantages and drawbacks.</w:t>
      </w:r>
      <w:r w:rsidRPr="002B497F">
        <w:rPr>
          <w:sz w:val="20"/>
        </w:rPr>
        <w:t xml:space="preserve"> </w:t>
      </w:r>
      <w:r w:rsidRPr="002B497F">
        <w:rPr>
          <w:rStyle w:val="cursor-pointer"/>
          <w:szCs w:val="24"/>
        </w:rPr>
        <w:t>It goes on to examine Maslow's Hierarchy of Needs as a theory which underlies PCC.</w:t>
      </w:r>
      <w:r w:rsidRPr="002B497F">
        <w:rPr>
          <w:sz w:val="20"/>
        </w:rPr>
        <w:t xml:space="preserve"> </w:t>
      </w:r>
      <w:r w:rsidR="008E6F76">
        <w:rPr>
          <w:rStyle w:val="cursor-pointer"/>
          <w:szCs w:val="24"/>
        </w:rPr>
        <w:t>It then looks at the ethical principles behind health and social care, evaluates partnership working, and considers</w:t>
      </w:r>
      <w:r w:rsidRPr="002B497F">
        <w:rPr>
          <w:rStyle w:val="cursor-pointer"/>
          <w:szCs w:val="24"/>
        </w:rPr>
        <w:t xml:space="preserve"> partnership working in a realistic multidisciplinary scenario for </w:t>
      </w:r>
      <w:r w:rsidR="00A41936">
        <w:rPr>
          <w:rStyle w:val="cursor-pointer"/>
          <w:szCs w:val="24"/>
        </w:rPr>
        <w:t>older adults</w:t>
      </w:r>
      <w:r w:rsidRPr="002B497F">
        <w:rPr>
          <w:rStyle w:val="cursor-pointer"/>
          <w:szCs w:val="24"/>
        </w:rPr>
        <w:t>.</w:t>
      </w:r>
      <w:r w:rsidRPr="002B497F">
        <w:rPr>
          <w:sz w:val="20"/>
        </w:rPr>
        <w:t xml:space="preserve"> </w:t>
      </w:r>
      <w:r w:rsidRPr="002B497F">
        <w:rPr>
          <w:rStyle w:val="cursor-pointer"/>
          <w:szCs w:val="24"/>
        </w:rPr>
        <w:t>Finally, appropriate UK and Welsh policy and legislation is explored</w:t>
      </w:r>
      <w:r w:rsidR="008E6F76">
        <w:rPr>
          <w:rStyle w:val="cursor-pointer"/>
          <w:szCs w:val="24"/>
        </w:rPr>
        <w:t>,</w:t>
      </w:r>
      <w:r w:rsidRPr="002B497F">
        <w:rPr>
          <w:rStyle w:val="cursor-pointer"/>
          <w:szCs w:val="24"/>
        </w:rPr>
        <w:t xml:space="preserve"> and recommendations are made for the future</w:t>
      </w:r>
      <w:r w:rsidRPr="002B497F">
        <w:rPr>
          <w:rStyle w:val="cursor-pointer"/>
          <w:sz w:val="24"/>
          <w:szCs w:val="24"/>
        </w:rPr>
        <w:t>.</w:t>
      </w:r>
    </w:p>
    <w:p w14:paraId="726D56EA" w14:textId="3D6520B7" w:rsidR="004C029F" w:rsidRPr="002B497F" w:rsidRDefault="004C6841" w:rsidP="008D7EC1">
      <w:pPr>
        <w:pStyle w:val="Heading1"/>
        <w:numPr>
          <w:ilvl w:val="0"/>
          <w:numId w:val="2"/>
        </w:numPr>
        <w:spacing w:before="300" w:after="150" w:line="360" w:lineRule="auto"/>
        <w:jc w:val="both"/>
        <w:rPr>
          <w:b/>
          <w:bCs/>
          <w:color w:val="auto"/>
          <w:sz w:val="24"/>
          <w:szCs w:val="24"/>
          <w:lang w:val="en-GB"/>
        </w:rPr>
      </w:pPr>
      <w:bookmarkStart w:id="6" w:name="_Toc235825098"/>
      <w:bookmarkStart w:id="7" w:name="_Toc235826034"/>
      <w:r w:rsidRPr="002B497F">
        <w:rPr>
          <w:b/>
          <w:bCs/>
          <w:color w:val="auto"/>
          <w:sz w:val="24"/>
          <w:szCs w:val="24"/>
          <w:lang w:val="en-GB"/>
        </w:rPr>
        <w:t>Person-Centred Care – Definition, Advantages and Disadvantages</w:t>
      </w:r>
      <w:bookmarkEnd w:id="6"/>
      <w:bookmarkEnd w:id="7"/>
    </w:p>
    <w:p w14:paraId="7DBCB7C4" w14:textId="27C667D7" w:rsidR="00800A35" w:rsidRPr="002B497F" w:rsidRDefault="000C2E70" w:rsidP="00E77A20">
      <w:pPr>
        <w:spacing w:line="360" w:lineRule="auto"/>
        <w:jc w:val="both"/>
        <w:rPr>
          <w:szCs w:val="24"/>
        </w:rPr>
      </w:pPr>
      <w:r w:rsidRPr="002B497F">
        <w:rPr>
          <w:rStyle w:val="cursor-pointer"/>
          <w:szCs w:val="24"/>
        </w:rPr>
        <w:t>The concept of ‘</w:t>
      </w:r>
      <w:r w:rsidR="008E6F76">
        <w:rPr>
          <w:rStyle w:val="cursor-pointer"/>
          <w:szCs w:val="24"/>
        </w:rPr>
        <w:t>person-centred</w:t>
      </w:r>
      <w:r w:rsidRPr="002B497F">
        <w:rPr>
          <w:rStyle w:val="cursor-pointer"/>
          <w:szCs w:val="24"/>
        </w:rPr>
        <w:t xml:space="preserve"> care' has no agreed definition.</w:t>
      </w:r>
      <w:r w:rsidRPr="002B497F">
        <w:rPr>
          <w:szCs w:val="24"/>
        </w:rPr>
        <w:t xml:space="preserve"> </w:t>
      </w:r>
      <w:r w:rsidRPr="002B497F">
        <w:rPr>
          <w:rStyle w:val="cursor-pointer"/>
          <w:szCs w:val="24"/>
        </w:rPr>
        <w:t xml:space="preserve">This difference has presented a challenge for the </w:t>
      </w:r>
      <w:r w:rsidR="008E6F76">
        <w:rPr>
          <w:rStyle w:val="cursor-pointer"/>
          <w:szCs w:val="24"/>
        </w:rPr>
        <w:t>consistent implementation of PCC</w:t>
      </w:r>
      <w:r w:rsidRPr="002B497F">
        <w:rPr>
          <w:rStyle w:val="cursor-pointer"/>
          <w:szCs w:val="24"/>
        </w:rPr>
        <w:t xml:space="preserve"> (</w:t>
      </w:r>
      <w:proofErr w:type="spellStart"/>
      <w:r w:rsidRPr="002B497F">
        <w:rPr>
          <w:rStyle w:val="cursor-pointer"/>
          <w:szCs w:val="24"/>
        </w:rPr>
        <w:t>Constand</w:t>
      </w:r>
      <w:proofErr w:type="spellEnd"/>
      <w:r w:rsidRPr="002B497F">
        <w:rPr>
          <w:rStyle w:val="cursor-pointer"/>
          <w:szCs w:val="24"/>
        </w:rPr>
        <w:t xml:space="preserve"> et al., 2014).</w:t>
      </w:r>
      <w:r w:rsidRPr="002B497F">
        <w:rPr>
          <w:szCs w:val="24"/>
        </w:rPr>
        <w:t xml:space="preserve"> </w:t>
      </w:r>
      <w:r w:rsidRPr="002B497F">
        <w:rPr>
          <w:rStyle w:val="cursor-pointer"/>
          <w:szCs w:val="24"/>
        </w:rPr>
        <w:t xml:space="preserve">The IOM provided one of the earliest and most comprehensive definitions, </w:t>
      </w:r>
      <w:r w:rsidR="008E6F76">
        <w:rPr>
          <w:rStyle w:val="cursor-pointer"/>
          <w:szCs w:val="24"/>
        </w:rPr>
        <w:t>focusing</w:t>
      </w:r>
      <w:r w:rsidRPr="002B497F">
        <w:rPr>
          <w:rStyle w:val="cursor-pointer"/>
          <w:szCs w:val="24"/>
        </w:rPr>
        <w:t xml:space="preserve"> on patients' preferences, needs and values (Liang, 2024).</w:t>
      </w:r>
      <w:r w:rsidRPr="002B497F">
        <w:rPr>
          <w:szCs w:val="24"/>
        </w:rPr>
        <w:t xml:space="preserve"> </w:t>
      </w:r>
      <w:r w:rsidRPr="002B497F">
        <w:rPr>
          <w:rStyle w:val="cursor-pointer"/>
          <w:szCs w:val="24"/>
        </w:rPr>
        <w:t>This has since developed into ‘</w:t>
      </w:r>
      <w:r w:rsidR="008E6F76">
        <w:rPr>
          <w:rStyle w:val="cursor-pointer"/>
          <w:szCs w:val="24"/>
        </w:rPr>
        <w:t>person-centred '</w:t>
      </w:r>
      <w:r w:rsidRPr="002B497F">
        <w:rPr>
          <w:rStyle w:val="cursor-pointer"/>
          <w:szCs w:val="24"/>
        </w:rPr>
        <w:t xml:space="preserve"> in the UK within nursing and social care.</w:t>
      </w:r>
      <w:r w:rsidRPr="002B497F">
        <w:rPr>
          <w:szCs w:val="24"/>
        </w:rPr>
        <w:t xml:space="preserve"> </w:t>
      </w:r>
      <w:r w:rsidRPr="002B497F">
        <w:rPr>
          <w:rStyle w:val="cursor-pointer"/>
          <w:szCs w:val="24"/>
        </w:rPr>
        <w:t xml:space="preserve">Instead, it views the person as a whole, as having a life, relationships and values outside of their diagnosis (McCormack and </w:t>
      </w:r>
      <w:proofErr w:type="spellStart"/>
      <w:r w:rsidRPr="002B497F">
        <w:rPr>
          <w:rStyle w:val="cursor-pointer"/>
          <w:szCs w:val="24"/>
        </w:rPr>
        <w:t>McCance</w:t>
      </w:r>
      <w:proofErr w:type="spellEnd"/>
      <w:r w:rsidRPr="002B497F">
        <w:rPr>
          <w:rStyle w:val="cursor-pointer"/>
          <w:szCs w:val="24"/>
        </w:rPr>
        <w:t>, 2006).</w:t>
      </w:r>
      <w:r w:rsidRPr="002B497F">
        <w:rPr>
          <w:szCs w:val="24"/>
        </w:rPr>
        <w:t xml:space="preserve"> </w:t>
      </w:r>
      <w:r w:rsidRPr="002B497F">
        <w:rPr>
          <w:rStyle w:val="cursor-pointer"/>
          <w:szCs w:val="24"/>
        </w:rPr>
        <w:t xml:space="preserve">PCC is defined by respect for autonomy and dignity, shared </w:t>
      </w:r>
      <w:r w:rsidR="008E6F76">
        <w:rPr>
          <w:rStyle w:val="cursor-pointer"/>
          <w:szCs w:val="24"/>
        </w:rPr>
        <w:t>decision-making</w:t>
      </w:r>
      <w:r w:rsidRPr="002B497F">
        <w:rPr>
          <w:rStyle w:val="cursor-pointer"/>
          <w:szCs w:val="24"/>
        </w:rPr>
        <w:t>, individual care planning, and forming trusting, empathetic relationships.</w:t>
      </w:r>
      <w:r w:rsidRPr="002B497F">
        <w:rPr>
          <w:szCs w:val="24"/>
        </w:rPr>
        <w:t xml:space="preserve"> </w:t>
      </w:r>
    </w:p>
    <w:p w14:paraId="080617A1" w14:textId="77777777" w:rsidR="000C2E70" w:rsidRPr="002B497F" w:rsidRDefault="000C2E70" w:rsidP="00E77A20">
      <w:pPr>
        <w:spacing w:line="360" w:lineRule="auto"/>
        <w:jc w:val="both"/>
        <w:rPr>
          <w:rStyle w:val="cursor-pointer"/>
          <w:szCs w:val="24"/>
        </w:rPr>
      </w:pPr>
    </w:p>
    <w:p w14:paraId="67455B98" w14:textId="27697CA5" w:rsidR="00800A35" w:rsidRPr="002B497F" w:rsidRDefault="000C2E70" w:rsidP="00E77A20">
      <w:pPr>
        <w:spacing w:line="360" w:lineRule="auto"/>
        <w:jc w:val="both"/>
        <w:rPr>
          <w:szCs w:val="24"/>
        </w:rPr>
      </w:pPr>
      <w:r w:rsidRPr="002B497F">
        <w:rPr>
          <w:rStyle w:val="cursor-pointer"/>
          <w:szCs w:val="24"/>
        </w:rPr>
        <w:t>PCC is proven to be beneficial.</w:t>
      </w:r>
      <w:r w:rsidRPr="002B497F">
        <w:rPr>
          <w:szCs w:val="24"/>
        </w:rPr>
        <w:t xml:space="preserve"> </w:t>
      </w:r>
      <w:r w:rsidRPr="002B497F">
        <w:rPr>
          <w:rStyle w:val="cursor-pointer"/>
          <w:szCs w:val="24"/>
        </w:rPr>
        <w:t>There are links between the implementation of person-centred practice and increased satisfaction for the person and their service user, improved self-management of long-term conditions, increased staff morale and effective staff teams (</w:t>
      </w:r>
      <w:proofErr w:type="spellStart"/>
      <w:r w:rsidRPr="002B497F">
        <w:rPr>
          <w:rStyle w:val="cursor-pointer"/>
          <w:szCs w:val="24"/>
        </w:rPr>
        <w:t>McCance</w:t>
      </w:r>
      <w:proofErr w:type="spellEnd"/>
      <w:r w:rsidRPr="002B497F">
        <w:rPr>
          <w:rStyle w:val="cursor-pointer"/>
          <w:szCs w:val="24"/>
        </w:rPr>
        <w:t xml:space="preserve"> and McCormack, 2025).</w:t>
      </w:r>
      <w:r w:rsidRPr="002B497F">
        <w:rPr>
          <w:szCs w:val="24"/>
        </w:rPr>
        <w:t xml:space="preserve"> </w:t>
      </w:r>
      <w:r w:rsidRPr="002B497F">
        <w:rPr>
          <w:rStyle w:val="cursor-pointer"/>
          <w:szCs w:val="24"/>
        </w:rPr>
        <w:t>Individuals are more likely to stick to treatment when they help plan it.</w:t>
      </w:r>
      <w:r w:rsidRPr="002B497F">
        <w:rPr>
          <w:szCs w:val="24"/>
        </w:rPr>
        <w:t xml:space="preserve"> </w:t>
      </w:r>
      <w:r w:rsidRPr="002B497F">
        <w:rPr>
          <w:rStyle w:val="cursor-pointer"/>
          <w:szCs w:val="24"/>
        </w:rPr>
        <w:t xml:space="preserve">It also allows staff to </w:t>
      </w:r>
      <w:r w:rsidR="008E6F76">
        <w:rPr>
          <w:rStyle w:val="cursor-pointer"/>
          <w:szCs w:val="24"/>
        </w:rPr>
        <w:t>understand what is important to the person and avoid assumptions</w:t>
      </w:r>
      <w:r w:rsidRPr="002B497F">
        <w:rPr>
          <w:rStyle w:val="cursor-pointer"/>
          <w:szCs w:val="24"/>
        </w:rPr>
        <w:t>.</w:t>
      </w:r>
      <w:r w:rsidRPr="002B497F">
        <w:rPr>
          <w:szCs w:val="24"/>
        </w:rPr>
        <w:t xml:space="preserve"> </w:t>
      </w:r>
      <w:r w:rsidRPr="002B497F">
        <w:rPr>
          <w:rStyle w:val="cursor-pointer"/>
          <w:szCs w:val="24"/>
        </w:rPr>
        <w:t>In addition, there is a strong connection between embedding PCC and increased staff retention and healthier workplace cultures (</w:t>
      </w:r>
      <w:proofErr w:type="spellStart"/>
      <w:r w:rsidRPr="002B497F">
        <w:rPr>
          <w:rStyle w:val="cursor-pointer"/>
          <w:szCs w:val="24"/>
        </w:rPr>
        <w:t>McCance</w:t>
      </w:r>
      <w:proofErr w:type="spellEnd"/>
      <w:r w:rsidRPr="002B497F">
        <w:rPr>
          <w:rStyle w:val="cursor-pointer"/>
          <w:szCs w:val="24"/>
        </w:rPr>
        <w:t xml:space="preserve"> and McCormack, 2025).</w:t>
      </w:r>
      <w:r w:rsidRPr="002B497F">
        <w:rPr>
          <w:szCs w:val="24"/>
        </w:rPr>
        <w:t xml:space="preserve"> </w:t>
      </w:r>
    </w:p>
    <w:p w14:paraId="39E5E912" w14:textId="77777777" w:rsidR="000C2E70" w:rsidRPr="002B497F" w:rsidRDefault="000C2E70" w:rsidP="00E77A20">
      <w:pPr>
        <w:spacing w:line="360" w:lineRule="auto"/>
        <w:jc w:val="both"/>
        <w:rPr>
          <w:rStyle w:val="cursor-pointer"/>
          <w:szCs w:val="24"/>
        </w:rPr>
      </w:pPr>
    </w:p>
    <w:p w14:paraId="1209CD2A" w14:textId="45B64BB8" w:rsidR="00800A35" w:rsidRPr="002B497F" w:rsidRDefault="00E77A20" w:rsidP="00E77A20">
      <w:pPr>
        <w:spacing w:line="360" w:lineRule="auto"/>
        <w:jc w:val="both"/>
        <w:rPr>
          <w:szCs w:val="24"/>
        </w:rPr>
      </w:pPr>
      <w:r w:rsidRPr="002B497F">
        <w:rPr>
          <w:rStyle w:val="cursor-pointer"/>
          <w:szCs w:val="24"/>
        </w:rPr>
        <w:t>Nonetheless,</w:t>
      </w:r>
      <w:r w:rsidR="000C2E70" w:rsidRPr="002B497F">
        <w:rPr>
          <w:rStyle w:val="cursor-pointer"/>
          <w:szCs w:val="24"/>
        </w:rPr>
        <w:t xml:space="preserve"> there are also restrictions to PCC.</w:t>
      </w:r>
      <w:r w:rsidR="000C2E70" w:rsidRPr="002B497F">
        <w:rPr>
          <w:szCs w:val="24"/>
        </w:rPr>
        <w:t xml:space="preserve"> </w:t>
      </w:r>
      <w:r w:rsidR="000C2E70" w:rsidRPr="002B497F">
        <w:rPr>
          <w:rStyle w:val="cursor-pointer"/>
          <w:szCs w:val="24"/>
        </w:rPr>
        <w:t>The meaning of ‘</w:t>
      </w:r>
      <w:r w:rsidRPr="002B497F">
        <w:rPr>
          <w:rStyle w:val="cursor-pointer"/>
          <w:szCs w:val="24"/>
        </w:rPr>
        <w:t>person-centred'</w:t>
      </w:r>
      <w:r w:rsidR="000C2E70" w:rsidRPr="002B497F">
        <w:rPr>
          <w:rStyle w:val="cursor-pointer"/>
          <w:szCs w:val="24"/>
        </w:rPr>
        <w:t xml:space="preserve"> is not defined and can be interpreted in a variety of ways in settings.</w:t>
      </w:r>
      <w:r w:rsidR="000C2E70" w:rsidRPr="002B497F">
        <w:rPr>
          <w:szCs w:val="24"/>
        </w:rPr>
        <w:t xml:space="preserve"> </w:t>
      </w:r>
      <w:r w:rsidR="000C2E70" w:rsidRPr="002B497F">
        <w:rPr>
          <w:rStyle w:val="cursor-pointer"/>
          <w:szCs w:val="24"/>
        </w:rPr>
        <w:t xml:space="preserve">This poses a challenge to the </w:t>
      </w:r>
      <w:r w:rsidR="008E6F76">
        <w:rPr>
          <w:rStyle w:val="cursor-pointer"/>
          <w:szCs w:val="24"/>
        </w:rPr>
        <w:t>consistent measurement and evaluation of PCC</w:t>
      </w:r>
      <w:r w:rsidR="000C2E70" w:rsidRPr="002B497F">
        <w:rPr>
          <w:rStyle w:val="cursor-pointer"/>
          <w:szCs w:val="24"/>
        </w:rPr>
        <w:t xml:space="preserve"> (Mitchell et al., 2022 cited in </w:t>
      </w:r>
      <w:proofErr w:type="spellStart"/>
      <w:r w:rsidR="000C2E70" w:rsidRPr="002B497F">
        <w:rPr>
          <w:rStyle w:val="cursor-pointer"/>
          <w:szCs w:val="24"/>
        </w:rPr>
        <w:t>McCance</w:t>
      </w:r>
      <w:proofErr w:type="spellEnd"/>
      <w:r w:rsidR="000C2E70" w:rsidRPr="002B497F">
        <w:rPr>
          <w:rStyle w:val="cursor-pointer"/>
          <w:szCs w:val="24"/>
        </w:rPr>
        <w:t xml:space="preserve"> and McCormack, 2025).</w:t>
      </w:r>
      <w:r w:rsidR="000C2E70" w:rsidRPr="002B497F">
        <w:rPr>
          <w:szCs w:val="24"/>
        </w:rPr>
        <w:t xml:space="preserve"> </w:t>
      </w:r>
      <w:r w:rsidR="000C2E70" w:rsidRPr="002B497F">
        <w:rPr>
          <w:rStyle w:val="cursor-pointer"/>
          <w:szCs w:val="24"/>
        </w:rPr>
        <w:t xml:space="preserve">This can also get in the way because of </w:t>
      </w:r>
      <w:r w:rsidRPr="002B497F">
        <w:rPr>
          <w:rStyle w:val="cursor-pointer"/>
          <w:szCs w:val="24"/>
        </w:rPr>
        <w:t>time and resource pressure</w:t>
      </w:r>
      <w:r w:rsidR="000C2E70" w:rsidRPr="002B497F">
        <w:rPr>
          <w:rStyle w:val="cursor-pointer"/>
          <w:szCs w:val="24"/>
        </w:rPr>
        <w:t xml:space="preserve"> in </w:t>
      </w:r>
      <w:r w:rsidR="000C2E70" w:rsidRPr="002B497F">
        <w:rPr>
          <w:rStyle w:val="cursor-pointer"/>
          <w:szCs w:val="24"/>
        </w:rPr>
        <w:lastRenderedPageBreak/>
        <w:t>the health and social care system.</w:t>
      </w:r>
      <w:r w:rsidR="000C2E70" w:rsidRPr="002B497F">
        <w:rPr>
          <w:szCs w:val="24"/>
        </w:rPr>
        <w:t xml:space="preserve"> </w:t>
      </w:r>
      <w:r w:rsidR="000C2E70" w:rsidRPr="002B497F">
        <w:rPr>
          <w:rStyle w:val="cursor-pointer"/>
          <w:szCs w:val="24"/>
        </w:rPr>
        <w:t>In this intense and large-scale environment</w:t>
      </w:r>
      <w:r w:rsidRPr="002B497F">
        <w:rPr>
          <w:rStyle w:val="cursor-pointer"/>
          <w:szCs w:val="24"/>
        </w:rPr>
        <w:t>,</w:t>
      </w:r>
      <w:r w:rsidR="000C2E70" w:rsidRPr="002B497F">
        <w:rPr>
          <w:rStyle w:val="cursor-pointer"/>
          <w:szCs w:val="24"/>
        </w:rPr>
        <w:t xml:space="preserve"> there is little time to interact with each person appropriately to what they want.</w:t>
      </w:r>
      <w:r w:rsidR="000C2E70" w:rsidRPr="002B497F">
        <w:rPr>
          <w:szCs w:val="24"/>
        </w:rPr>
        <w:t xml:space="preserve"> </w:t>
      </w:r>
    </w:p>
    <w:p w14:paraId="42BAAC0B" w14:textId="77777777" w:rsidR="000C2E70" w:rsidRPr="002B497F" w:rsidRDefault="000C2E70" w:rsidP="00800A35">
      <w:pPr>
        <w:jc w:val="both"/>
        <w:rPr>
          <w:szCs w:val="24"/>
        </w:rPr>
      </w:pPr>
    </w:p>
    <w:p w14:paraId="75504F6B" w14:textId="4AA85FB6" w:rsidR="00EB5ABA" w:rsidRPr="002B497F" w:rsidRDefault="00EB5ABA" w:rsidP="00800A35">
      <w:pPr>
        <w:spacing w:line="360" w:lineRule="auto"/>
        <w:jc w:val="both"/>
        <w:rPr>
          <w:szCs w:val="24"/>
        </w:rPr>
      </w:pPr>
      <w:r w:rsidRPr="002B497F">
        <w:rPr>
          <w:rStyle w:val="cursor-pointer"/>
          <w:szCs w:val="24"/>
        </w:rPr>
        <w:t xml:space="preserve">Additionally, there is also a </w:t>
      </w:r>
      <w:r w:rsidR="00493CEA" w:rsidRPr="002B497F">
        <w:rPr>
          <w:rStyle w:val="cursor-pointer"/>
          <w:szCs w:val="24"/>
        </w:rPr>
        <w:t>threat</w:t>
      </w:r>
      <w:r w:rsidRPr="002B497F">
        <w:rPr>
          <w:rStyle w:val="cursor-pointer"/>
          <w:szCs w:val="24"/>
        </w:rPr>
        <w:t xml:space="preserve"> that PCC may become a term in policies and not become a reality on the ground.</w:t>
      </w:r>
      <w:r w:rsidRPr="002B497F">
        <w:rPr>
          <w:szCs w:val="24"/>
        </w:rPr>
        <w:t xml:space="preserve"> </w:t>
      </w:r>
      <w:r w:rsidRPr="002B497F">
        <w:rPr>
          <w:rStyle w:val="cursor-pointer"/>
          <w:szCs w:val="24"/>
        </w:rPr>
        <w:t xml:space="preserve">This is particularly the case when there is no alteration of the organisational culture or staffing arrangements (McCormack, 2024, cited in </w:t>
      </w:r>
      <w:proofErr w:type="spellStart"/>
      <w:r w:rsidRPr="002B497F">
        <w:rPr>
          <w:rStyle w:val="cursor-pointer"/>
          <w:szCs w:val="24"/>
        </w:rPr>
        <w:t>McCance</w:t>
      </w:r>
      <w:proofErr w:type="spellEnd"/>
      <w:r w:rsidRPr="002B497F">
        <w:rPr>
          <w:rStyle w:val="cursor-pointer"/>
          <w:szCs w:val="24"/>
        </w:rPr>
        <w:t xml:space="preserve"> and McCormack, 2025).</w:t>
      </w:r>
      <w:r w:rsidRPr="002B497F">
        <w:rPr>
          <w:szCs w:val="24"/>
        </w:rPr>
        <w:t xml:space="preserve"> </w:t>
      </w:r>
      <w:r w:rsidRPr="002B497F">
        <w:rPr>
          <w:rStyle w:val="cursor-pointer"/>
          <w:szCs w:val="24"/>
        </w:rPr>
        <w:t>Respecting choice sometimes conflicts with safety or fair use of resources, or the needs of family carers.</w:t>
      </w:r>
      <w:r w:rsidRPr="002B497F">
        <w:rPr>
          <w:szCs w:val="24"/>
        </w:rPr>
        <w:t xml:space="preserve"> </w:t>
      </w:r>
    </w:p>
    <w:p w14:paraId="386C9312" w14:textId="77777777" w:rsidR="00E77A20" w:rsidRPr="002B497F" w:rsidRDefault="00E77A20" w:rsidP="00E77A20">
      <w:pPr>
        <w:jc w:val="both"/>
        <w:rPr>
          <w:szCs w:val="24"/>
        </w:rPr>
      </w:pPr>
    </w:p>
    <w:p w14:paraId="24784DB7" w14:textId="7316ADAA" w:rsidR="000C2E70" w:rsidRPr="002B497F" w:rsidRDefault="000C2E70" w:rsidP="00800A35">
      <w:pPr>
        <w:spacing w:line="360" w:lineRule="auto"/>
        <w:jc w:val="both"/>
        <w:rPr>
          <w:szCs w:val="24"/>
        </w:rPr>
      </w:pPr>
      <w:r w:rsidRPr="002B497F">
        <w:rPr>
          <w:rStyle w:val="cursor-pointer"/>
          <w:szCs w:val="24"/>
        </w:rPr>
        <w:t>Further, there is the potential for PCC to be a policy term and not a reality on the ground.</w:t>
      </w:r>
      <w:r w:rsidRPr="002B497F">
        <w:rPr>
          <w:szCs w:val="24"/>
        </w:rPr>
        <w:t xml:space="preserve"> </w:t>
      </w:r>
      <w:r w:rsidRPr="002B497F">
        <w:rPr>
          <w:rStyle w:val="cursor-pointer"/>
          <w:szCs w:val="24"/>
        </w:rPr>
        <w:t xml:space="preserve">This is especially true if the culture and staffing structure remains unchanged (McCormack, 2024, cited in </w:t>
      </w:r>
      <w:proofErr w:type="spellStart"/>
      <w:r w:rsidRPr="002B497F">
        <w:rPr>
          <w:rStyle w:val="cursor-pointer"/>
          <w:szCs w:val="24"/>
        </w:rPr>
        <w:t>McCance</w:t>
      </w:r>
      <w:proofErr w:type="spellEnd"/>
      <w:r w:rsidRPr="002B497F">
        <w:rPr>
          <w:rStyle w:val="cursor-pointer"/>
          <w:szCs w:val="24"/>
        </w:rPr>
        <w:t xml:space="preserve"> and McCormack, 2025).</w:t>
      </w:r>
      <w:r w:rsidRPr="002B497F">
        <w:rPr>
          <w:szCs w:val="24"/>
        </w:rPr>
        <w:t xml:space="preserve"> </w:t>
      </w:r>
      <w:r w:rsidRPr="002B497F">
        <w:rPr>
          <w:rStyle w:val="cursor-pointer"/>
          <w:szCs w:val="24"/>
        </w:rPr>
        <w:t>Respecting choice sometimes conflicts with safety or fair use of resources, or the needs of family carers.</w:t>
      </w:r>
      <w:r w:rsidRPr="002B497F">
        <w:rPr>
          <w:szCs w:val="24"/>
        </w:rPr>
        <w:t xml:space="preserve"> </w:t>
      </w:r>
    </w:p>
    <w:p w14:paraId="0456BC6F" w14:textId="426BC1EF" w:rsidR="004C029F" w:rsidRPr="002B497F" w:rsidRDefault="004C6841" w:rsidP="00E77A20">
      <w:pPr>
        <w:pStyle w:val="Heading1"/>
        <w:numPr>
          <w:ilvl w:val="0"/>
          <w:numId w:val="2"/>
        </w:numPr>
        <w:spacing w:before="300" w:after="150" w:line="360" w:lineRule="auto"/>
        <w:jc w:val="both"/>
        <w:rPr>
          <w:b/>
          <w:bCs/>
          <w:color w:val="auto"/>
          <w:sz w:val="24"/>
          <w:szCs w:val="24"/>
          <w:lang w:val="en-GB"/>
        </w:rPr>
      </w:pPr>
      <w:bookmarkStart w:id="8" w:name="_Toc235825099"/>
      <w:bookmarkStart w:id="9" w:name="_Toc235826035"/>
      <w:r w:rsidRPr="002B497F">
        <w:rPr>
          <w:b/>
          <w:bCs/>
          <w:color w:val="auto"/>
          <w:sz w:val="24"/>
          <w:szCs w:val="24"/>
          <w:lang w:val="en-GB"/>
        </w:rPr>
        <w:t>Theoretical framework: Maslow’s pyramid hierarchy of needs</w:t>
      </w:r>
      <w:bookmarkEnd w:id="8"/>
      <w:bookmarkEnd w:id="9"/>
      <w:r w:rsidRPr="002B497F">
        <w:rPr>
          <w:b/>
          <w:bCs/>
          <w:color w:val="auto"/>
          <w:sz w:val="24"/>
          <w:szCs w:val="24"/>
          <w:lang w:val="en-GB"/>
        </w:rPr>
        <w:t xml:space="preserve"> </w:t>
      </w:r>
    </w:p>
    <w:p w14:paraId="5B137FD3" w14:textId="77777777" w:rsidR="00E550EF" w:rsidRDefault="008E6F76" w:rsidP="00E77A20">
      <w:pPr>
        <w:spacing w:line="360" w:lineRule="auto"/>
        <w:jc w:val="both"/>
        <w:rPr>
          <w:rStyle w:val="cursor-pointer"/>
          <w:szCs w:val="24"/>
        </w:rPr>
      </w:pPr>
      <w:r w:rsidRPr="008E6F76">
        <w:rPr>
          <w:rStyle w:val="cursor-pointer"/>
          <w:szCs w:val="24"/>
        </w:rPr>
        <w:t xml:space="preserve">Maslow's </w:t>
      </w:r>
      <w:r>
        <w:rPr>
          <w:rStyle w:val="cursor-pointer"/>
          <w:szCs w:val="24"/>
        </w:rPr>
        <w:t xml:space="preserve">(1943) </w:t>
      </w:r>
      <w:r w:rsidRPr="008E6F76">
        <w:rPr>
          <w:rStyle w:val="cursor-pointer"/>
          <w:szCs w:val="24"/>
        </w:rPr>
        <w:t>Hierarchy of Needs supports Person-</w:t>
      </w:r>
      <w:proofErr w:type="spellStart"/>
      <w:r w:rsidRPr="008E6F76">
        <w:rPr>
          <w:rStyle w:val="cursor-pointer"/>
          <w:szCs w:val="24"/>
        </w:rPr>
        <w:t>Centered</w:t>
      </w:r>
      <w:proofErr w:type="spellEnd"/>
      <w:r w:rsidRPr="008E6F76">
        <w:rPr>
          <w:rStyle w:val="cursor-pointer"/>
          <w:szCs w:val="24"/>
        </w:rPr>
        <w:t xml:space="preserve"> Care (PCC) by organi</w:t>
      </w:r>
      <w:r>
        <w:rPr>
          <w:rStyle w:val="cursor-pointer"/>
          <w:szCs w:val="24"/>
        </w:rPr>
        <w:t>s</w:t>
      </w:r>
      <w:r w:rsidRPr="008E6F76">
        <w:rPr>
          <w:rStyle w:val="cursor-pointer"/>
          <w:szCs w:val="24"/>
        </w:rPr>
        <w:t xml:space="preserve">ing human needs into levels: basic needs like food and water, safety, love and friendship, respect, and reaching one’s full potential. In health and social care, basic needs include </w:t>
      </w:r>
      <w:r>
        <w:rPr>
          <w:rStyle w:val="cursor-pointer"/>
          <w:szCs w:val="24"/>
        </w:rPr>
        <w:t>factors</w:t>
      </w:r>
      <w:r w:rsidRPr="008E6F76">
        <w:rPr>
          <w:rStyle w:val="cursor-pointer"/>
          <w:szCs w:val="24"/>
        </w:rPr>
        <w:t xml:space="preserve"> like pain relief, comfort, food, warmth, and rest. Safety needs are about feeling secure both physically and emotionally. Love and belonging involve having good relationships with others. Esteem is about having dignity and feeling valued. </w:t>
      </w:r>
      <w:r>
        <w:rPr>
          <w:rStyle w:val="cursor-pointer"/>
          <w:szCs w:val="24"/>
        </w:rPr>
        <w:t>Self-actualisation</w:t>
      </w:r>
      <w:r w:rsidRPr="008E6F76">
        <w:rPr>
          <w:rStyle w:val="cursor-pointer"/>
          <w:szCs w:val="24"/>
        </w:rPr>
        <w:t xml:space="preserve"> means growing as a person and being independent, even when facing illness. </w:t>
      </w:r>
    </w:p>
    <w:p w14:paraId="18AD0A78" w14:textId="77777777" w:rsidR="00E550EF" w:rsidRDefault="00E550EF" w:rsidP="00E550EF">
      <w:pPr>
        <w:jc w:val="both"/>
        <w:rPr>
          <w:rStyle w:val="cursor-pointer"/>
          <w:szCs w:val="24"/>
        </w:rPr>
      </w:pPr>
    </w:p>
    <w:p w14:paraId="3B1E46C7" w14:textId="0D33D633" w:rsidR="00800A35" w:rsidRPr="002B497F" w:rsidRDefault="008E6F76" w:rsidP="00E77A20">
      <w:pPr>
        <w:spacing w:line="360" w:lineRule="auto"/>
        <w:jc w:val="both"/>
        <w:rPr>
          <w:rStyle w:val="cursor-pointer"/>
          <w:szCs w:val="24"/>
        </w:rPr>
      </w:pPr>
      <w:r w:rsidRPr="008E6F76">
        <w:rPr>
          <w:rStyle w:val="cursor-pointer"/>
          <w:szCs w:val="24"/>
        </w:rPr>
        <w:t>This simple structure for hospice care helps staff understand what patients need. It encourages them to focus on physical health as well as safety, relationships, respect, and personal growth, in line with PCC's overall caring approach</w:t>
      </w:r>
      <w:r w:rsidR="00DC6BCA">
        <w:rPr>
          <w:rStyle w:val="cursor-pointer"/>
          <w:szCs w:val="24"/>
        </w:rPr>
        <w:t xml:space="preserve"> </w:t>
      </w:r>
      <w:r w:rsidR="00DC6BCA">
        <w:rPr>
          <w:shd w:val="clear" w:color="auto" w:fill="FFFFFF"/>
        </w:rPr>
        <w:t>(</w:t>
      </w:r>
      <w:proofErr w:type="spellStart"/>
      <w:r w:rsidR="00DC6BCA">
        <w:rPr>
          <w:shd w:val="clear" w:color="auto" w:fill="FFFFFF"/>
        </w:rPr>
        <w:t>Zalenski</w:t>
      </w:r>
      <w:proofErr w:type="spellEnd"/>
      <w:r w:rsidR="00DC6BCA">
        <w:rPr>
          <w:shd w:val="clear" w:color="auto" w:fill="FFFFFF"/>
        </w:rPr>
        <w:t xml:space="preserve"> and </w:t>
      </w:r>
      <w:proofErr w:type="spellStart"/>
      <w:r w:rsidR="00DC6BCA">
        <w:rPr>
          <w:shd w:val="clear" w:color="auto" w:fill="FFFFFF"/>
        </w:rPr>
        <w:t>Raspa</w:t>
      </w:r>
      <w:proofErr w:type="spellEnd"/>
      <w:r w:rsidR="00DC6BCA">
        <w:rPr>
          <w:shd w:val="clear" w:color="auto" w:fill="FFFFFF"/>
        </w:rPr>
        <w:t>, 2006)</w:t>
      </w:r>
      <w:r w:rsidRPr="008E6F76">
        <w:rPr>
          <w:rStyle w:val="cursor-pointer"/>
          <w:szCs w:val="24"/>
        </w:rPr>
        <w:t>. It is a helpful tool for planni</w:t>
      </w:r>
      <w:r>
        <w:rPr>
          <w:rStyle w:val="cursor-pointer"/>
          <w:szCs w:val="24"/>
        </w:rPr>
        <w:t>ng care in different situations</w:t>
      </w:r>
      <w:r w:rsidR="000C2E70" w:rsidRPr="002B497F">
        <w:rPr>
          <w:rStyle w:val="cursor-pointer"/>
          <w:szCs w:val="24"/>
        </w:rPr>
        <w:t>.</w:t>
      </w:r>
    </w:p>
    <w:p w14:paraId="64FA5FD6" w14:textId="77777777" w:rsidR="000C2E70" w:rsidRPr="002B497F" w:rsidRDefault="000C2E70" w:rsidP="00800A35">
      <w:pPr>
        <w:rPr>
          <w:szCs w:val="24"/>
        </w:rPr>
      </w:pPr>
    </w:p>
    <w:p w14:paraId="2FC86C19" w14:textId="433DE81C" w:rsidR="008D7EC1" w:rsidRDefault="00E77A20" w:rsidP="00E77A20">
      <w:pPr>
        <w:spacing w:line="360" w:lineRule="auto"/>
        <w:jc w:val="both"/>
        <w:rPr>
          <w:rStyle w:val="cursor-pointer"/>
          <w:szCs w:val="24"/>
        </w:rPr>
      </w:pPr>
      <w:r w:rsidRPr="002B497F">
        <w:rPr>
          <w:rStyle w:val="cursor-pointer"/>
          <w:szCs w:val="24"/>
        </w:rPr>
        <w:t>However,</w:t>
      </w:r>
      <w:r w:rsidR="000C2E70" w:rsidRPr="002B497F">
        <w:rPr>
          <w:rStyle w:val="cursor-pointer"/>
          <w:szCs w:val="24"/>
        </w:rPr>
        <w:t xml:space="preserve"> there are some drawbacks to </w:t>
      </w:r>
      <w:r w:rsidR="008E6F76">
        <w:rPr>
          <w:rStyle w:val="cursor-pointer"/>
          <w:szCs w:val="24"/>
        </w:rPr>
        <w:t>Maslow's theory</w:t>
      </w:r>
      <w:r w:rsidR="000C2E70" w:rsidRPr="002B497F">
        <w:rPr>
          <w:rStyle w:val="cursor-pointer"/>
          <w:szCs w:val="24"/>
        </w:rPr>
        <w:t>.</w:t>
      </w:r>
      <w:r w:rsidR="000C2E70" w:rsidRPr="002B497F">
        <w:rPr>
          <w:szCs w:val="24"/>
        </w:rPr>
        <w:t xml:space="preserve"> </w:t>
      </w:r>
      <w:r w:rsidR="000C2E70" w:rsidRPr="002B497F">
        <w:rPr>
          <w:rStyle w:val="cursor-pointer"/>
          <w:szCs w:val="24"/>
        </w:rPr>
        <w:t xml:space="preserve">The concept of a strict, sequential hierarchy is only partially supported by little strong evidence: </w:t>
      </w:r>
      <w:proofErr w:type="spellStart"/>
      <w:r w:rsidR="000C2E70" w:rsidRPr="002B497F">
        <w:rPr>
          <w:rStyle w:val="cursor-pointer"/>
          <w:szCs w:val="24"/>
        </w:rPr>
        <w:t>Wahba</w:t>
      </w:r>
      <w:proofErr w:type="spellEnd"/>
      <w:r w:rsidR="000C2E70" w:rsidRPr="002B497F">
        <w:rPr>
          <w:rStyle w:val="cursor-pointer"/>
          <w:szCs w:val="24"/>
        </w:rPr>
        <w:t xml:space="preserve"> and </w:t>
      </w:r>
      <w:proofErr w:type="spellStart"/>
      <w:r w:rsidR="000C2E70" w:rsidRPr="002B497F">
        <w:rPr>
          <w:rStyle w:val="cursor-pointer"/>
          <w:szCs w:val="24"/>
        </w:rPr>
        <w:t>Bridwell</w:t>
      </w:r>
      <w:proofErr w:type="spellEnd"/>
      <w:r w:rsidR="000C2E70" w:rsidRPr="002B497F">
        <w:rPr>
          <w:rStyle w:val="cursor-pointer"/>
          <w:szCs w:val="24"/>
        </w:rPr>
        <w:t xml:space="preserve"> (1976) reported only partial support for the concept of the sequential hierarchy of needs.</w:t>
      </w:r>
      <w:r w:rsidR="000C2E70" w:rsidRPr="002B497F">
        <w:rPr>
          <w:szCs w:val="24"/>
        </w:rPr>
        <w:t xml:space="preserve"> </w:t>
      </w:r>
      <w:r w:rsidR="000C2E70" w:rsidRPr="002B497F">
        <w:rPr>
          <w:rStyle w:val="cursor-pointer"/>
          <w:szCs w:val="24"/>
        </w:rPr>
        <w:t>Sometimes people are seeking esteem or meaning even when basic needs are not fulfilled, such as when a person is sick and dying and still seeks connection.</w:t>
      </w:r>
      <w:r w:rsidR="000C2E70" w:rsidRPr="002B497F">
        <w:rPr>
          <w:szCs w:val="24"/>
        </w:rPr>
        <w:t xml:space="preserve"> </w:t>
      </w:r>
      <w:r w:rsidR="000C2E70" w:rsidRPr="002B497F">
        <w:rPr>
          <w:rStyle w:val="cursor-pointer"/>
          <w:szCs w:val="24"/>
        </w:rPr>
        <w:t xml:space="preserve">The theory has also been </w:t>
      </w:r>
      <w:r w:rsidRPr="002B497F">
        <w:rPr>
          <w:rStyle w:val="cursor-pointer"/>
          <w:szCs w:val="24"/>
        </w:rPr>
        <w:t>criticised as being culturally narrow, based upon the Western</w:t>
      </w:r>
      <w:r w:rsidR="000C2E70" w:rsidRPr="002B497F">
        <w:rPr>
          <w:rStyle w:val="cursor-pointer"/>
          <w:szCs w:val="24"/>
        </w:rPr>
        <w:t xml:space="preserve"> individualistic perspective.</w:t>
      </w:r>
      <w:r w:rsidR="000C2E70" w:rsidRPr="002B497F">
        <w:rPr>
          <w:szCs w:val="24"/>
        </w:rPr>
        <w:t xml:space="preserve"> </w:t>
      </w:r>
      <w:r w:rsidR="000C2E70" w:rsidRPr="002B497F">
        <w:rPr>
          <w:rStyle w:val="cursor-pointer"/>
          <w:szCs w:val="24"/>
        </w:rPr>
        <w:t>However, it is still a very common and easily accessible point of reference for considering the whole person in PCC.</w:t>
      </w:r>
    </w:p>
    <w:p w14:paraId="38FE61CC" w14:textId="77777777" w:rsidR="00E550EF" w:rsidRPr="002B497F" w:rsidRDefault="00E550EF" w:rsidP="00E77A20">
      <w:pPr>
        <w:spacing w:line="360" w:lineRule="auto"/>
        <w:jc w:val="both"/>
        <w:rPr>
          <w:rStyle w:val="cursor-pointer"/>
          <w:szCs w:val="24"/>
        </w:rPr>
      </w:pPr>
    </w:p>
    <w:p w14:paraId="1BFE2B38" w14:textId="42148418" w:rsidR="004C029F" w:rsidRPr="002B497F" w:rsidRDefault="004C6841" w:rsidP="008D7EC1">
      <w:pPr>
        <w:pStyle w:val="Heading1"/>
        <w:numPr>
          <w:ilvl w:val="0"/>
          <w:numId w:val="2"/>
        </w:numPr>
        <w:spacing w:before="300" w:after="150" w:line="360" w:lineRule="auto"/>
        <w:jc w:val="both"/>
        <w:rPr>
          <w:b/>
          <w:bCs/>
          <w:color w:val="auto"/>
          <w:sz w:val="24"/>
          <w:szCs w:val="24"/>
          <w:lang w:val="en-GB"/>
        </w:rPr>
      </w:pPr>
      <w:bookmarkStart w:id="10" w:name="_Toc235825100"/>
      <w:bookmarkStart w:id="11" w:name="_Toc235826036"/>
      <w:r w:rsidRPr="002B497F">
        <w:rPr>
          <w:b/>
          <w:bCs/>
          <w:color w:val="auto"/>
          <w:sz w:val="24"/>
          <w:szCs w:val="24"/>
          <w:lang w:val="en-GB"/>
        </w:rPr>
        <w:lastRenderedPageBreak/>
        <w:t>The basic ethical principles of health and social care practice.</w:t>
      </w:r>
      <w:bookmarkEnd w:id="10"/>
      <w:bookmarkEnd w:id="11"/>
    </w:p>
    <w:p w14:paraId="718253C2" w14:textId="13333015" w:rsidR="000C2E70" w:rsidRPr="002B497F" w:rsidRDefault="00736AC3" w:rsidP="00E77A20">
      <w:pPr>
        <w:spacing w:line="360" w:lineRule="auto"/>
        <w:jc w:val="both"/>
        <w:rPr>
          <w:rStyle w:val="cursor-pointer"/>
          <w:szCs w:val="24"/>
        </w:rPr>
      </w:pPr>
      <w:r w:rsidRPr="00736AC3">
        <w:rPr>
          <w:rStyle w:val="cursor-pointer"/>
          <w:szCs w:val="24"/>
        </w:rPr>
        <w:t>Beauchamp and Childress (2019) establish four fundamental principles in UK health and social care: respect for autonomy, beneficence, non-maleficence, and justice. The department of ethics adheres to PCC and PW. When desires clash with self-care, it can be difficult to strike a balance between personal choice and safety. In the face of personnel and financial limitations, justice promotes equitable resource distribution (</w:t>
      </w:r>
      <w:proofErr w:type="spellStart"/>
      <w:r w:rsidRPr="00736AC3">
        <w:rPr>
          <w:rStyle w:val="cursor-pointer"/>
          <w:szCs w:val="24"/>
        </w:rPr>
        <w:t>McCance</w:t>
      </w:r>
      <w:proofErr w:type="spellEnd"/>
      <w:r w:rsidRPr="00736AC3">
        <w:rPr>
          <w:rStyle w:val="cursor-pointer"/>
          <w:szCs w:val="24"/>
        </w:rPr>
        <w:t xml:space="preserve"> and McCormack, 2025). A process of specification and balance is necessary since the concepts must be incorporated rather than stand alone. Confidentiality, transparency, and decision-making process clarity are critical in collaborations. Through professional codes of conduct, these concepts are translated into useful rules that highlight the connection between </w:t>
      </w:r>
      <w:r>
        <w:rPr>
          <w:rStyle w:val="cursor-pointer"/>
          <w:szCs w:val="24"/>
        </w:rPr>
        <w:t>person-centred care and ethical behaviour</w:t>
      </w:r>
      <w:r w:rsidR="000C2E70" w:rsidRPr="002B497F">
        <w:rPr>
          <w:rStyle w:val="cursor-pointer"/>
          <w:szCs w:val="24"/>
        </w:rPr>
        <w:t>.</w:t>
      </w:r>
      <w:r w:rsidR="000C2E70" w:rsidRPr="002B497F">
        <w:rPr>
          <w:szCs w:val="24"/>
        </w:rPr>
        <w:t xml:space="preserve"> </w:t>
      </w:r>
    </w:p>
    <w:p w14:paraId="7E0435F6" w14:textId="2826F77F" w:rsidR="004C029F" w:rsidRPr="002B497F" w:rsidRDefault="004C6841" w:rsidP="008D7EC1">
      <w:pPr>
        <w:pStyle w:val="Heading1"/>
        <w:numPr>
          <w:ilvl w:val="0"/>
          <w:numId w:val="2"/>
        </w:numPr>
        <w:spacing w:before="300" w:after="150" w:line="360" w:lineRule="auto"/>
        <w:jc w:val="both"/>
        <w:rPr>
          <w:b/>
          <w:bCs/>
          <w:color w:val="auto"/>
          <w:sz w:val="24"/>
          <w:szCs w:val="24"/>
          <w:lang w:val="en-GB"/>
        </w:rPr>
      </w:pPr>
      <w:bookmarkStart w:id="12" w:name="_Toc235825101"/>
      <w:bookmarkStart w:id="13" w:name="_Toc235826037"/>
      <w:r w:rsidRPr="002B497F">
        <w:rPr>
          <w:b/>
          <w:bCs/>
          <w:color w:val="auto"/>
          <w:sz w:val="24"/>
          <w:szCs w:val="24"/>
          <w:lang w:val="en-GB"/>
        </w:rPr>
        <w:t>Assess and monitor partnership working in health and social care.</w:t>
      </w:r>
      <w:bookmarkEnd w:id="12"/>
      <w:bookmarkEnd w:id="13"/>
    </w:p>
    <w:p w14:paraId="1B2F53CD" w14:textId="5F503B31" w:rsidR="00686847" w:rsidRPr="002B497F" w:rsidRDefault="000C2E70" w:rsidP="008E6F76">
      <w:pPr>
        <w:spacing w:line="360" w:lineRule="auto"/>
        <w:jc w:val="both"/>
        <w:rPr>
          <w:szCs w:val="24"/>
        </w:rPr>
      </w:pPr>
      <w:r w:rsidRPr="002B497F">
        <w:rPr>
          <w:rStyle w:val="cursor-pointer"/>
          <w:szCs w:val="24"/>
        </w:rPr>
        <w:t>Partnership working is when organisations in the health, social care and third sector work together.</w:t>
      </w:r>
      <w:r w:rsidRPr="002B497F">
        <w:rPr>
          <w:szCs w:val="24"/>
        </w:rPr>
        <w:t xml:space="preserve"> </w:t>
      </w:r>
      <w:r w:rsidRPr="002B497F">
        <w:rPr>
          <w:rStyle w:val="cursor-pointer"/>
          <w:szCs w:val="24"/>
        </w:rPr>
        <w:t>They have the same objectives, collaborate on knowledge and sometimes resources as well.</w:t>
      </w:r>
      <w:r w:rsidRPr="002B497F">
        <w:rPr>
          <w:szCs w:val="24"/>
        </w:rPr>
        <w:t xml:space="preserve"> </w:t>
      </w:r>
      <w:r w:rsidRPr="002B497F">
        <w:rPr>
          <w:rStyle w:val="cursor-pointer"/>
          <w:szCs w:val="24"/>
        </w:rPr>
        <w:t xml:space="preserve">The purpose is to meet the needs of people </w:t>
      </w:r>
      <w:r w:rsidR="00E77A20" w:rsidRPr="002B497F">
        <w:rPr>
          <w:rStyle w:val="cursor-pointer"/>
          <w:szCs w:val="24"/>
        </w:rPr>
        <w:t>more effectively than an individual agency could</w:t>
      </w:r>
      <w:r w:rsidRPr="002B497F">
        <w:rPr>
          <w:rStyle w:val="cursor-pointer"/>
          <w:szCs w:val="24"/>
        </w:rPr>
        <w:t>.</w:t>
      </w:r>
      <w:r w:rsidRPr="002B497F">
        <w:rPr>
          <w:szCs w:val="24"/>
        </w:rPr>
        <w:t xml:space="preserve"> </w:t>
      </w:r>
      <w:r w:rsidRPr="002B497F">
        <w:rPr>
          <w:rStyle w:val="cursor-pointer"/>
          <w:szCs w:val="24"/>
        </w:rPr>
        <w:t xml:space="preserve">Integrated Care Systems (ICSs) are legally mandated in England as part of the </w:t>
      </w:r>
      <w:r w:rsidRPr="008E6F76">
        <w:rPr>
          <w:rStyle w:val="cursor-pointer"/>
          <w:i/>
          <w:szCs w:val="24"/>
        </w:rPr>
        <w:t>Health and Care Act 2022</w:t>
      </w:r>
      <w:r w:rsidRPr="002B497F">
        <w:rPr>
          <w:rStyle w:val="cursor-pointer"/>
          <w:szCs w:val="24"/>
        </w:rPr>
        <w:t>.</w:t>
      </w:r>
      <w:r w:rsidRPr="002B497F">
        <w:rPr>
          <w:szCs w:val="24"/>
        </w:rPr>
        <w:t xml:space="preserve"> </w:t>
      </w:r>
      <w:r w:rsidRPr="002B497F">
        <w:rPr>
          <w:rStyle w:val="cursor-pointer"/>
          <w:szCs w:val="24"/>
        </w:rPr>
        <w:t>There is now a formal basis for NHS organisations and local government to collaborate, through the Integrated Care Boards and the Integrated Care Partnerships.</w:t>
      </w:r>
      <w:r w:rsidRPr="002B497F">
        <w:rPr>
          <w:szCs w:val="24"/>
        </w:rPr>
        <w:t xml:space="preserve"> </w:t>
      </w:r>
    </w:p>
    <w:p w14:paraId="2A7346A2" w14:textId="2DE6AC70" w:rsidR="0049648D" w:rsidRPr="002B497F" w:rsidRDefault="000C2E70" w:rsidP="008E6F76">
      <w:pPr>
        <w:spacing w:line="360" w:lineRule="auto"/>
        <w:jc w:val="both"/>
        <w:rPr>
          <w:rStyle w:val="cursor-pointer"/>
          <w:szCs w:val="24"/>
        </w:rPr>
      </w:pPr>
      <w:r w:rsidRPr="002B497F">
        <w:rPr>
          <w:szCs w:val="24"/>
        </w:rPr>
        <w:br/>
      </w:r>
      <w:r w:rsidRPr="002B497F">
        <w:rPr>
          <w:rStyle w:val="cursor-pointer"/>
          <w:szCs w:val="24"/>
        </w:rPr>
        <w:t xml:space="preserve">The aim is to work more collaboratively across the system, with a reduction in red tape in the </w:t>
      </w:r>
      <w:r w:rsidRPr="002B497F">
        <w:rPr>
          <w:rStyle w:val="cursor-pointer"/>
          <w:i/>
          <w:szCs w:val="24"/>
        </w:rPr>
        <w:t>Health and Care Act 2022</w:t>
      </w:r>
      <w:r w:rsidRPr="002B497F">
        <w:rPr>
          <w:rStyle w:val="cursor-pointer"/>
          <w:szCs w:val="24"/>
        </w:rPr>
        <w:t>.</w:t>
      </w:r>
      <w:r w:rsidRPr="002B497F">
        <w:rPr>
          <w:szCs w:val="24"/>
        </w:rPr>
        <w:t xml:space="preserve"> </w:t>
      </w:r>
      <w:r w:rsidRPr="002B497F">
        <w:rPr>
          <w:rStyle w:val="cursor-pointer"/>
          <w:szCs w:val="24"/>
        </w:rPr>
        <w:t xml:space="preserve">Wales has a comparable Act, called the </w:t>
      </w:r>
      <w:r w:rsidRPr="002B497F">
        <w:rPr>
          <w:rStyle w:val="cursor-pointer"/>
          <w:i/>
          <w:szCs w:val="24"/>
        </w:rPr>
        <w:t>Social Services and Well-being (Wales) Act 2014</w:t>
      </w:r>
      <w:r w:rsidRPr="002B497F">
        <w:rPr>
          <w:rStyle w:val="cursor-pointer"/>
          <w:szCs w:val="24"/>
        </w:rPr>
        <w:t>.</w:t>
      </w:r>
      <w:r w:rsidRPr="002B497F">
        <w:rPr>
          <w:szCs w:val="24"/>
        </w:rPr>
        <w:t xml:space="preserve"> </w:t>
      </w:r>
      <w:r w:rsidRPr="002B497F">
        <w:rPr>
          <w:rStyle w:val="cursor-pointer"/>
          <w:szCs w:val="24"/>
        </w:rPr>
        <w:t xml:space="preserve">It puts Local Authorities and Local Health Boards on a mandate to create Regional Partnership Boards to plan in a whole population </w:t>
      </w:r>
      <w:r w:rsidR="00404106">
        <w:rPr>
          <w:rStyle w:val="cursor-pointer"/>
          <w:szCs w:val="24"/>
        </w:rPr>
        <w:t>context</w:t>
      </w:r>
      <w:r w:rsidRPr="002B497F">
        <w:rPr>
          <w:rStyle w:val="cursor-pointer"/>
          <w:szCs w:val="24"/>
        </w:rPr>
        <w:t>.</w:t>
      </w:r>
    </w:p>
    <w:p w14:paraId="1877CF9F" w14:textId="77777777" w:rsidR="000C2E70" w:rsidRPr="002B497F" w:rsidRDefault="000C2E70" w:rsidP="00E77A20">
      <w:pPr>
        <w:jc w:val="both"/>
        <w:rPr>
          <w:rStyle w:val="cursor-pointer"/>
          <w:szCs w:val="24"/>
        </w:rPr>
      </w:pPr>
    </w:p>
    <w:p w14:paraId="6768E6C0" w14:textId="4E4377C3" w:rsidR="00686847" w:rsidRPr="002B497F" w:rsidRDefault="000C2E70" w:rsidP="00E77A20">
      <w:pPr>
        <w:spacing w:line="360" w:lineRule="auto"/>
        <w:jc w:val="both"/>
        <w:rPr>
          <w:szCs w:val="24"/>
        </w:rPr>
      </w:pPr>
      <w:r w:rsidRPr="002B497F">
        <w:rPr>
          <w:rStyle w:val="cursor-pointer"/>
          <w:szCs w:val="24"/>
        </w:rPr>
        <w:t>Effective co-operation with others is beneficial.</w:t>
      </w:r>
      <w:r w:rsidRPr="002B497F">
        <w:rPr>
          <w:szCs w:val="24"/>
        </w:rPr>
        <w:t xml:space="preserve"> </w:t>
      </w:r>
      <w:r w:rsidRPr="002B497F">
        <w:rPr>
          <w:rStyle w:val="cursor-pointer"/>
          <w:szCs w:val="24"/>
        </w:rPr>
        <w:t>It can assist individuals to transition more effectively from one service to another, such as from hospital to community care.</w:t>
      </w:r>
      <w:r w:rsidRPr="002B497F">
        <w:rPr>
          <w:szCs w:val="24"/>
        </w:rPr>
        <w:t xml:space="preserve"> </w:t>
      </w:r>
      <w:r w:rsidRPr="002B497F">
        <w:rPr>
          <w:rStyle w:val="cursor-pointer"/>
          <w:szCs w:val="24"/>
        </w:rPr>
        <w:t xml:space="preserve">It also allows a more holistic response to </w:t>
      </w:r>
      <w:r w:rsidR="008E6F76">
        <w:rPr>
          <w:rStyle w:val="cursor-pointer"/>
          <w:szCs w:val="24"/>
        </w:rPr>
        <w:t>needs that cross professions, such as physical and mental health and social care needs that</w:t>
      </w:r>
      <w:r w:rsidRPr="002B497F">
        <w:rPr>
          <w:rStyle w:val="cursor-pointer"/>
          <w:szCs w:val="24"/>
        </w:rPr>
        <w:t xml:space="preserve"> are co-occurring.</w:t>
      </w:r>
      <w:r w:rsidRPr="002B497F">
        <w:rPr>
          <w:szCs w:val="24"/>
        </w:rPr>
        <w:t xml:space="preserve"> </w:t>
      </w:r>
      <w:r w:rsidRPr="002B497F">
        <w:rPr>
          <w:rStyle w:val="cursor-pointer"/>
          <w:szCs w:val="24"/>
        </w:rPr>
        <w:t>Collaborations can help to enhance prevention, as they can share learning about population health across agencies (Barr et al., 2024).</w:t>
      </w:r>
      <w:r w:rsidRPr="002B497F">
        <w:rPr>
          <w:szCs w:val="24"/>
        </w:rPr>
        <w:t xml:space="preserve"> </w:t>
      </w:r>
    </w:p>
    <w:p w14:paraId="76C5E9F3" w14:textId="77777777" w:rsidR="000C2E70" w:rsidRPr="002B497F" w:rsidRDefault="000C2E70" w:rsidP="00686847">
      <w:pPr>
        <w:jc w:val="both"/>
        <w:rPr>
          <w:szCs w:val="24"/>
        </w:rPr>
      </w:pPr>
    </w:p>
    <w:p w14:paraId="1181087F" w14:textId="26BF3534" w:rsidR="000C2E70" w:rsidRPr="002B497F" w:rsidRDefault="008E6F76" w:rsidP="00E77A20">
      <w:pPr>
        <w:spacing w:line="360" w:lineRule="auto"/>
        <w:jc w:val="both"/>
        <w:rPr>
          <w:szCs w:val="24"/>
        </w:rPr>
      </w:pPr>
      <w:r w:rsidRPr="002B497F">
        <w:rPr>
          <w:rStyle w:val="cursor-pointer"/>
          <w:szCs w:val="24"/>
        </w:rPr>
        <w:t>However</w:t>
      </w:r>
      <w:r>
        <w:rPr>
          <w:rStyle w:val="cursor-pointer"/>
          <w:szCs w:val="24"/>
        </w:rPr>
        <w:t>,</w:t>
      </w:r>
      <w:r w:rsidR="000C2E70" w:rsidRPr="002B497F">
        <w:rPr>
          <w:rStyle w:val="cursor-pointer"/>
          <w:szCs w:val="24"/>
        </w:rPr>
        <w:t xml:space="preserve"> there are challenges to partnership working.</w:t>
      </w:r>
      <w:r w:rsidR="000C2E70" w:rsidRPr="002B497F">
        <w:rPr>
          <w:szCs w:val="24"/>
        </w:rPr>
        <w:t xml:space="preserve"> </w:t>
      </w:r>
      <w:r w:rsidR="000C2E70" w:rsidRPr="002B497F">
        <w:rPr>
          <w:rStyle w:val="cursor-pointer"/>
          <w:szCs w:val="24"/>
        </w:rPr>
        <w:t>There may be differing cycles of NHS, local authority and voluntary sector cultures, language and funding.</w:t>
      </w:r>
      <w:r w:rsidR="000C2E70" w:rsidRPr="002B497F">
        <w:rPr>
          <w:szCs w:val="24"/>
        </w:rPr>
        <w:t xml:space="preserve"> </w:t>
      </w:r>
      <w:r w:rsidR="000C2E70" w:rsidRPr="002B497F">
        <w:rPr>
          <w:rStyle w:val="cursor-pointer"/>
          <w:szCs w:val="24"/>
        </w:rPr>
        <w:t>This may cause delays and conflict (Barr et al., 2024).</w:t>
      </w:r>
      <w:r w:rsidR="000C2E70" w:rsidRPr="002B497F">
        <w:rPr>
          <w:szCs w:val="24"/>
        </w:rPr>
        <w:t xml:space="preserve"> </w:t>
      </w:r>
      <w:r w:rsidR="000C2E70" w:rsidRPr="002B497F">
        <w:rPr>
          <w:rStyle w:val="cursor-pointer"/>
          <w:szCs w:val="24"/>
        </w:rPr>
        <w:t>But power relations may sometimes go awry.</w:t>
      </w:r>
      <w:r w:rsidR="000C2E70" w:rsidRPr="002B497F">
        <w:rPr>
          <w:szCs w:val="24"/>
        </w:rPr>
        <w:t xml:space="preserve"> </w:t>
      </w:r>
      <w:r w:rsidR="000C2E70" w:rsidRPr="002B497F">
        <w:rPr>
          <w:rStyle w:val="cursor-pointer"/>
          <w:szCs w:val="24"/>
        </w:rPr>
        <w:t>More usually, the NHS would have a larger budget, a bigger profile and be able to dominate the discussion in a nominally 'equal partnership' with local government or smaller charities, who would be ignored.</w:t>
      </w:r>
      <w:r w:rsidR="000C2E70" w:rsidRPr="002B497F">
        <w:rPr>
          <w:szCs w:val="24"/>
        </w:rPr>
        <w:t xml:space="preserve"> </w:t>
      </w:r>
      <w:r w:rsidR="000C2E70" w:rsidRPr="002B497F">
        <w:rPr>
          <w:rStyle w:val="cursor-pointer"/>
          <w:szCs w:val="24"/>
        </w:rPr>
        <w:lastRenderedPageBreak/>
        <w:t>But if multiple organisations are responsible for something, it sometimes becomes a challenge to be sure who's accountable when things go astray.</w:t>
      </w:r>
      <w:r w:rsidR="000C2E70" w:rsidRPr="002B497F">
        <w:rPr>
          <w:szCs w:val="24"/>
        </w:rPr>
        <w:t xml:space="preserve"> </w:t>
      </w:r>
    </w:p>
    <w:p w14:paraId="4E6C13CB" w14:textId="27583686" w:rsidR="004C029F" w:rsidRPr="002B497F" w:rsidRDefault="005410DB" w:rsidP="008D7EC1">
      <w:pPr>
        <w:pStyle w:val="Heading1"/>
        <w:numPr>
          <w:ilvl w:val="0"/>
          <w:numId w:val="2"/>
        </w:numPr>
        <w:spacing w:before="300" w:after="150" w:line="360" w:lineRule="auto"/>
        <w:jc w:val="both"/>
        <w:rPr>
          <w:b/>
          <w:bCs/>
          <w:color w:val="auto"/>
          <w:sz w:val="24"/>
          <w:szCs w:val="24"/>
          <w:lang w:val="en-GB"/>
        </w:rPr>
      </w:pPr>
      <w:bookmarkStart w:id="14" w:name="_Toc235618276"/>
      <w:bookmarkStart w:id="15" w:name="_Toc235618582"/>
      <w:bookmarkStart w:id="16" w:name="_Toc235649346"/>
      <w:bookmarkStart w:id="17" w:name="_Toc235825102"/>
      <w:bookmarkStart w:id="18" w:name="_Toc235826038"/>
      <w:r w:rsidRPr="002B497F">
        <w:rPr>
          <w:b/>
          <w:bCs/>
          <w:color w:val="auto"/>
          <w:sz w:val="24"/>
          <w:szCs w:val="24"/>
          <w:lang w:val="en-GB"/>
        </w:rPr>
        <w:t>Partnership Working in Practice: Multidisciplinary Discharge Planning for Older People</w:t>
      </w:r>
      <w:bookmarkEnd w:id="14"/>
      <w:bookmarkEnd w:id="15"/>
      <w:bookmarkEnd w:id="16"/>
      <w:bookmarkEnd w:id="17"/>
      <w:bookmarkEnd w:id="18"/>
    </w:p>
    <w:p w14:paraId="118A25C3" w14:textId="51A928DF" w:rsidR="00686847" w:rsidRPr="002B497F" w:rsidRDefault="000C2E70" w:rsidP="00E77A20">
      <w:pPr>
        <w:spacing w:line="360" w:lineRule="auto"/>
        <w:jc w:val="both"/>
        <w:rPr>
          <w:rStyle w:val="cursor-pointer"/>
          <w:szCs w:val="24"/>
        </w:rPr>
      </w:pPr>
      <w:r w:rsidRPr="002B497F">
        <w:rPr>
          <w:rStyle w:val="cursor-pointer"/>
          <w:szCs w:val="24"/>
        </w:rPr>
        <w:t>In the real world</w:t>
      </w:r>
      <w:r w:rsidR="00A41936">
        <w:rPr>
          <w:rStyle w:val="cursor-pointer"/>
          <w:szCs w:val="24"/>
        </w:rPr>
        <w:t>,</w:t>
      </w:r>
      <w:r w:rsidRPr="002B497F">
        <w:rPr>
          <w:rStyle w:val="cursor-pointer"/>
          <w:szCs w:val="24"/>
        </w:rPr>
        <w:t xml:space="preserve"> partnership working is good, such as in relation to discharge for older people.</w:t>
      </w:r>
      <w:r w:rsidRPr="002B497F">
        <w:rPr>
          <w:szCs w:val="24"/>
        </w:rPr>
        <w:t xml:space="preserve"> </w:t>
      </w:r>
      <w:r w:rsidRPr="002B497F">
        <w:rPr>
          <w:rStyle w:val="cursor-pointer"/>
          <w:szCs w:val="24"/>
        </w:rPr>
        <w:t>These are the 'complex' who have to leave hospital and enter a setting of care in the community.</w:t>
      </w:r>
      <w:r w:rsidRPr="002B497F">
        <w:rPr>
          <w:szCs w:val="24"/>
        </w:rPr>
        <w:t xml:space="preserve"> </w:t>
      </w:r>
      <w:r w:rsidRPr="002B497F">
        <w:rPr>
          <w:rStyle w:val="cursor-pointer"/>
          <w:szCs w:val="24"/>
        </w:rPr>
        <w:t>Correct teamwork is essential for this.</w:t>
      </w:r>
      <w:r w:rsidRPr="002B497F">
        <w:rPr>
          <w:szCs w:val="24"/>
        </w:rPr>
        <w:t xml:space="preserve"> </w:t>
      </w:r>
      <w:r w:rsidRPr="002B497F">
        <w:rPr>
          <w:rStyle w:val="cursor-pointer"/>
          <w:szCs w:val="24"/>
        </w:rPr>
        <w:t>There needs to be involvement from many people</w:t>
      </w:r>
      <w:r w:rsidR="00A41936">
        <w:rPr>
          <w:rStyle w:val="cursor-pointer"/>
          <w:szCs w:val="24"/>
        </w:rPr>
        <w:t>, such as hospital clinicians, community nurses, social workers, occupational and physiotherapists, GPs, family carers,</w:t>
      </w:r>
      <w:r w:rsidRPr="002B497F">
        <w:rPr>
          <w:rStyle w:val="cursor-pointer"/>
          <w:szCs w:val="24"/>
        </w:rPr>
        <w:t xml:space="preserve"> and sometimes voluntary organisations.</w:t>
      </w:r>
      <w:r w:rsidRPr="002B497F">
        <w:rPr>
          <w:szCs w:val="24"/>
        </w:rPr>
        <w:t xml:space="preserve"> </w:t>
      </w:r>
      <w:r w:rsidRPr="002B497F">
        <w:rPr>
          <w:rStyle w:val="cursor-pointer"/>
          <w:szCs w:val="24"/>
        </w:rPr>
        <w:t>This is normally dealt with by regular multidisciplinary team (MDT) meetings</w:t>
      </w:r>
      <w:r w:rsidR="00A41936">
        <w:rPr>
          <w:rStyle w:val="cursor-pointer"/>
          <w:szCs w:val="24"/>
        </w:rPr>
        <w:t xml:space="preserve"> and</w:t>
      </w:r>
      <w:r w:rsidRPr="002B497F">
        <w:rPr>
          <w:rStyle w:val="cursor-pointer"/>
          <w:szCs w:val="24"/>
        </w:rPr>
        <w:t xml:space="preserve"> shared records of assessment.</w:t>
      </w:r>
      <w:r w:rsidRPr="002B497F">
        <w:rPr>
          <w:szCs w:val="24"/>
        </w:rPr>
        <w:t xml:space="preserve"> </w:t>
      </w:r>
      <w:r w:rsidRPr="002B497F">
        <w:rPr>
          <w:rStyle w:val="cursor-pointer"/>
          <w:szCs w:val="24"/>
        </w:rPr>
        <w:t>A sense of 'place-based partnership' as described in England's ICS (King's Fund, 2022).</w:t>
      </w:r>
    </w:p>
    <w:p w14:paraId="2A913958" w14:textId="77777777" w:rsidR="000C2E70" w:rsidRPr="002B497F" w:rsidRDefault="000C2E70" w:rsidP="00686847">
      <w:pPr>
        <w:jc w:val="both"/>
        <w:rPr>
          <w:rStyle w:val="cursor-pointer"/>
          <w:szCs w:val="24"/>
        </w:rPr>
      </w:pPr>
    </w:p>
    <w:p w14:paraId="6DB3995E" w14:textId="615BD854" w:rsidR="00686847" w:rsidRPr="002B497F" w:rsidRDefault="000C2E70" w:rsidP="00E77A20">
      <w:pPr>
        <w:spacing w:line="360" w:lineRule="auto"/>
        <w:jc w:val="both"/>
        <w:rPr>
          <w:rStyle w:val="cursor-pointer"/>
          <w:szCs w:val="24"/>
        </w:rPr>
      </w:pPr>
      <w:r w:rsidRPr="002B497F">
        <w:rPr>
          <w:rStyle w:val="cursor-pointer"/>
          <w:szCs w:val="24"/>
        </w:rPr>
        <w:t>This application suggests that no one should be a passive recipient, but an active participant, when planning one's own discharge and, if applicable, family carers.</w:t>
      </w:r>
      <w:r w:rsidRPr="002B497F">
        <w:rPr>
          <w:szCs w:val="24"/>
        </w:rPr>
        <w:t xml:space="preserve"> </w:t>
      </w:r>
      <w:r w:rsidRPr="002B497F">
        <w:rPr>
          <w:rStyle w:val="cursor-pointer"/>
          <w:szCs w:val="24"/>
        </w:rPr>
        <w:t>They should be given a plan that is not 100% professional.</w:t>
      </w:r>
      <w:r w:rsidRPr="002B497F">
        <w:rPr>
          <w:szCs w:val="24"/>
        </w:rPr>
        <w:t xml:space="preserve"> </w:t>
      </w:r>
      <w:r w:rsidRPr="002B497F">
        <w:rPr>
          <w:rStyle w:val="cursor-pointer"/>
          <w:szCs w:val="24"/>
        </w:rPr>
        <w:t xml:space="preserve">This is </w:t>
      </w:r>
      <w:r w:rsidR="00A41936">
        <w:rPr>
          <w:rStyle w:val="cursor-pointer"/>
          <w:szCs w:val="24"/>
        </w:rPr>
        <w:t>regarding</w:t>
      </w:r>
      <w:r w:rsidRPr="002B497F">
        <w:rPr>
          <w:rStyle w:val="cursor-pointer"/>
          <w:szCs w:val="24"/>
        </w:rPr>
        <w:t xml:space="preserve"> Maslow's </w:t>
      </w:r>
      <w:r w:rsidR="00A41936">
        <w:rPr>
          <w:rStyle w:val="cursor-pointer"/>
          <w:szCs w:val="24"/>
        </w:rPr>
        <w:t>higher-level needs – esteem and self-actualisation – as the person feels listened to and involved;</w:t>
      </w:r>
      <w:r w:rsidRPr="002B497F">
        <w:rPr>
          <w:rStyle w:val="cursor-pointer"/>
          <w:szCs w:val="24"/>
        </w:rPr>
        <w:t xml:space="preserve"> this helps their dignity (Maslow, 1943).</w:t>
      </w:r>
      <w:r w:rsidRPr="002B497F">
        <w:rPr>
          <w:szCs w:val="24"/>
        </w:rPr>
        <w:t xml:space="preserve"> </w:t>
      </w:r>
      <w:r w:rsidRPr="002B497F">
        <w:rPr>
          <w:rStyle w:val="cursor-pointer"/>
          <w:szCs w:val="24"/>
        </w:rPr>
        <w:t xml:space="preserve">It is explicitly linked to the 'voice and control' principle of the </w:t>
      </w:r>
      <w:r w:rsidRPr="008E6F76">
        <w:rPr>
          <w:rStyle w:val="cursor-pointer"/>
          <w:i/>
          <w:szCs w:val="24"/>
        </w:rPr>
        <w:t>Social Services and Well-being (Wales) Act 2014</w:t>
      </w:r>
      <w:r w:rsidRPr="002B497F">
        <w:rPr>
          <w:rStyle w:val="cursor-pointer"/>
          <w:szCs w:val="24"/>
        </w:rPr>
        <w:t>, which puts the person at the heart and centre of decisions concerning their well-being.</w:t>
      </w:r>
    </w:p>
    <w:p w14:paraId="04028037" w14:textId="77777777" w:rsidR="000C2E70" w:rsidRPr="002B497F" w:rsidRDefault="000C2E70" w:rsidP="00686847">
      <w:pPr>
        <w:jc w:val="both"/>
        <w:rPr>
          <w:rStyle w:val="cursor-pointer"/>
          <w:szCs w:val="24"/>
        </w:rPr>
      </w:pPr>
    </w:p>
    <w:p w14:paraId="125C1EF4" w14:textId="2617D732" w:rsidR="000C2E70" w:rsidRPr="002B497F" w:rsidRDefault="000C2E70" w:rsidP="00E77A20">
      <w:pPr>
        <w:spacing w:line="360" w:lineRule="auto"/>
        <w:jc w:val="both"/>
        <w:rPr>
          <w:rStyle w:val="cursor-pointer"/>
          <w:szCs w:val="24"/>
        </w:rPr>
      </w:pPr>
      <w:r w:rsidRPr="002B497F">
        <w:rPr>
          <w:rStyle w:val="cursor-pointer"/>
          <w:szCs w:val="24"/>
        </w:rPr>
        <w:t>If successful, the partnership will have less impact on the older person's delayed discharges and lower risk of readmission.</w:t>
      </w:r>
      <w:r w:rsidRPr="002B497F">
        <w:rPr>
          <w:szCs w:val="24"/>
        </w:rPr>
        <w:t xml:space="preserve"> </w:t>
      </w:r>
      <w:r w:rsidRPr="002B497F">
        <w:rPr>
          <w:rStyle w:val="cursor-pointer"/>
          <w:szCs w:val="24"/>
        </w:rPr>
        <w:t>Their care is more “in their image</w:t>
      </w:r>
      <w:r w:rsidR="00A41936">
        <w:rPr>
          <w:rStyle w:val="cursor-pointer"/>
          <w:szCs w:val="24"/>
        </w:rPr>
        <w:t>,</w:t>
      </w:r>
      <w:r w:rsidRPr="002B497F">
        <w:rPr>
          <w:rStyle w:val="cursor-pointer"/>
          <w:szCs w:val="24"/>
        </w:rPr>
        <w:t xml:space="preserve">” if </w:t>
      </w:r>
      <w:r w:rsidR="00A41936">
        <w:rPr>
          <w:rStyle w:val="cursor-pointer"/>
          <w:szCs w:val="24"/>
        </w:rPr>
        <w:t>one</w:t>
      </w:r>
      <w:r w:rsidRPr="002B497F">
        <w:rPr>
          <w:rStyle w:val="cursor-pointer"/>
          <w:szCs w:val="24"/>
        </w:rPr>
        <w:t xml:space="preserve"> will.</w:t>
      </w:r>
      <w:r w:rsidRPr="002B497F">
        <w:rPr>
          <w:szCs w:val="24"/>
        </w:rPr>
        <w:t xml:space="preserve"> </w:t>
      </w:r>
      <w:r w:rsidRPr="002B497F">
        <w:rPr>
          <w:rStyle w:val="cursor-pointer"/>
          <w:szCs w:val="24"/>
        </w:rPr>
        <w:t>For example, communication breakdown between hospital and community teams can result in confusing, disjointed or delayed care for older people.</w:t>
      </w:r>
      <w:r w:rsidRPr="002B497F">
        <w:rPr>
          <w:szCs w:val="24"/>
        </w:rPr>
        <w:t xml:space="preserve"> </w:t>
      </w:r>
      <w:r w:rsidRPr="002B497F">
        <w:rPr>
          <w:rStyle w:val="cursor-pointer"/>
          <w:szCs w:val="24"/>
        </w:rPr>
        <w:t xml:space="preserve">This is a representation of the impact of partnership working on </w:t>
      </w:r>
      <w:r w:rsidR="00A41936">
        <w:rPr>
          <w:rStyle w:val="cursor-pointer"/>
          <w:szCs w:val="24"/>
        </w:rPr>
        <w:t>person-centred</w:t>
      </w:r>
      <w:r w:rsidRPr="002B497F">
        <w:rPr>
          <w:rStyle w:val="cursor-pointer"/>
          <w:szCs w:val="24"/>
        </w:rPr>
        <w:t xml:space="preserve"> outcomes.</w:t>
      </w:r>
    </w:p>
    <w:p w14:paraId="33CACCAD" w14:textId="548C3EE3" w:rsidR="004C029F" w:rsidRPr="002B497F" w:rsidRDefault="005410DB" w:rsidP="008D7EC1">
      <w:pPr>
        <w:pStyle w:val="Heading1"/>
        <w:numPr>
          <w:ilvl w:val="0"/>
          <w:numId w:val="2"/>
        </w:numPr>
        <w:spacing w:before="300" w:after="150" w:line="360" w:lineRule="auto"/>
        <w:jc w:val="both"/>
        <w:rPr>
          <w:b/>
          <w:bCs/>
          <w:color w:val="auto"/>
          <w:sz w:val="24"/>
          <w:szCs w:val="24"/>
          <w:lang w:val="en-GB"/>
        </w:rPr>
      </w:pPr>
      <w:bookmarkStart w:id="19" w:name="_Toc235618277"/>
      <w:bookmarkStart w:id="20" w:name="_Toc235618583"/>
      <w:bookmarkStart w:id="21" w:name="_Toc235649347"/>
      <w:bookmarkStart w:id="22" w:name="_Toc235825103"/>
      <w:bookmarkStart w:id="23" w:name="_Toc235826039"/>
      <w:r w:rsidRPr="002B497F">
        <w:rPr>
          <w:b/>
          <w:bCs/>
          <w:color w:val="auto"/>
          <w:sz w:val="24"/>
          <w:szCs w:val="24"/>
          <w:lang w:val="en-GB"/>
        </w:rPr>
        <w:t>Policy and Legislation Relevant to PCC and Partnership Working</w:t>
      </w:r>
      <w:bookmarkEnd w:id="19"/>
      <w:bookmarkEnd w:id="20"/>
      <w:bookmarkEnd w:id="21"/>
      <w:bookmarkEnd w:id="22"/>
      <w:bookmarkEnd w:id="23"/>
    </w:p>
    <w:p w14:paraId="711374EF" w14:textId="67DFA778" w:rsidR="00686847" w:rsidRPr="002B497F" w:rsidRDefault="000C2E70" w:rsidP="00E77A20">
      <w:pPr>
        <w:spacing w:line="360" w:lineRule="auto"/>
        <w:jc w:val="both"/>
        <w:rPr>
          <w:rStyle w:val="cursor-pointer"/>
          <w:szCs w:val="24"/>
        </w:rPr>
      </w:pPr>
      <w:r w:rsidRPr="002B497F">
        <w:rPr>
          <w:rStyle w:val="cursor-pointer"/>
          <w:szCs w:val="24"/>
        </w:rPr>
        <w:t xml:space="preserve">PCC and PW do have a legal standing on </w:t>
      </w:r>
      <w:r w:rsidR="00A41936">
        <w:rPr>
          <w:rStyle w:val="cursor-pointer"/>
          <w:szCs w:val="24"/>
        </w:rPr>
        <w:t>several</w:t>
      </w:r>
      <w:r w:rsidRPr="002B497F">
        <w:rPr>
          <w:rStyle w:val="cursor-pointer"/>
          <w:szCs w:val="24"/>
        </w:rPr>
        <w:t xml:space="preserve"> pieces of UK and Welsh legislation.</w:t>
      </w:r>
      <w:r w:rsidRPr="002B497F">
        <w:rPr>
          <w:szCs w:val="24"/>
        </w:rPr>
        <w:t xml:space="preserve"> </w:t>
      </w:r>
      <w:r w:rsidRPr="002B497F">
        <w:rPr>
          <w:rStyle w:val="cursor-pointer"/>
          <w:szCs w:val="24"/>
        </w:rPr>
        <w:t xml:space="preserve">An Integrated Care System has been legalised in England with the </w:t>
      </w:r>
      <w:r w:rsidRPr="008E6F76">
        <w:rPr>
          <w:rStyle w:val="cursor-pointer"/>
          <w:i/>
          <w:szCs w:val="24"/>
        </w:rPr>
        <w:t>Health and Care Act 2022</w:t>
      </w:r>
      <w:r w:rsidRPr="002B497F">
        <w:rPr>
          <w:rStyle w:val="cursor-pointer"/>
          <w:szCs w:val="24"/>
        </w:rPr>
        <w:t>.</w:t>
      </w:r>
      <w:r w:rsidRPr="002B497F">
        <w:rPr>
          <w:szCs w:val="24"/>
        </w:rPr>
        <w:t xml:space="preserve"> </w:t>
      </w:r>
      <w:r w:rsidRPr="002B497F">
        <w:rPr>
          <w:rStyle w:val="cursor-pointer"/>
          <w:szCs w:val="24"/>
        </w:rPr>
        <w:t>Planning and delivering services is now under the care of NHS organisations and local authorities.</w:t>
      </w:r>
      <w:r w:rsidRPr="002B497F">
        <w:rPr>
          <w:szCs w:val="24"/>
        </w:rPr>
        <w:t xml:space="preserve"> </w:t>
      </w:r>
      <w:r w:rsidRPr="002B497F">
        <w:rPr>
          <w:rStyle w:val="cursor-pointer"/>
          <w:szCs w:val="24"/>
        </w:rPr>
        <w:t>It's all about greater collaboration inside the system, and greater democratic accountability.</w:t>
      </w:r>
      <w:r w:rsidRPr="002B497F">
        <w:rPr>
          <w:szCs w:val="24"/>
        </w:rPr>
        <w:t xml:space="preserve"> </w:t>
      </w:r>
      <w:r w:rsidRPr="002B497F">
        <w:rPr>
          <w:rStyle w:val="cursor-pointer"/>
          <w:szCs w:val="24"/>
        </w:rPr>
        <w:t>This was part of a process which had already prioritised integration and prevention, in alignment with the NHS Long Term Plan (NHS England, 2019).</w:t>
      </w:r>
      <w:r w:rsidRPr="002B497F">
        <w:rPr>
          <w:szCs w:val="24"/>
        </w:rPr>
        <w:t xml:space="preserve"> </w:t>
      </w:r>
      <w:r w:rsidR="00A41936">
        <w:rPr>
          <w:rStyle w:val="cursor-pointer"/>
          <w:szCs w:val="24"/>
        </w:rPr>
        <w:t>Before</w:t>
      </w:r>
      <w:r w:rsidRPr="002B497F">
        <w:rPr>
          <w:rStyle w:val="cursor-pointer"/>
          <w:szCs w:val="24"/>
        </w:rPr>
        <w:t xml:space="preserve"> this</w:t>
      </w:r>
      <w:r w:rsidR="00404106">
        <w:rPr>
          <w:rStyle w:val="cursor-pointer"/>
          <w:szCs w:val="24"/>
        </w:rPr>
        <w:t>,</w:t>
      </w:r>
      <w:r w:rsidRPr="002B497F">
        <w:rPr>
          <w:rStyle w:val="cursor-pointer"/>
          <w:szCs w:val="24"/>
        </w:rPr>
        <w:t xml:space="preserve"> the </w:t>
      </w:r>
      <w:r w:rsidRPr="008E6F76">
        <w:rPr>
          <w:rStyle w:val="cursor-pointer"/>
          <w:i/>
          <w:szCs w:val="24"/>
        </w:rPr>
        <w:t>Care Act 2014</w:t>
      </w:r>
      <w:r w:rsidRPr="002B497F">
        <w:rPr>
          <w:rStyle w:val="cursor-pointer"/>
          <w:szCs w:val="24"/>
        </w:rPr>
        <w:t xml:space="preserve"> provided a legal framework for individual wellbeing and the importance of </w:t>
      </w:r>
      <w:r w:rsidRPr="002B497F">
        <w:rPr>
          <w:rStyle w:val="cursor-pointer"/>
          <w:szCs w:val="24"/>
        </w:rPr>
        <w:lastRenderedPageBreak/>
        <w:t>collaboration between local authorities and partner organisations in adult social care in England.</w:t>
      </w:r>
    </w:p>
    <w:p w14:paraId="65B4AFD4" w14:textId="77777777" w:rsidR="000C2E70" w:rsidRPr="002B497F" w:rsidRDefault="000C2E70" w:rsidP="00686847">
      <w:pPr>
        <w:jc w:val="both"/>
        <w:rPr>
          <w:rStyle w:val="cursor-pointer"/>
          <w:szCs w:val="24"/>
        </w:rPr>
      </w:pPr>
    </w:p>
    <w:p w14:paraId="4C89F2E1" w14:textId="0320E537" w:rsidR="000C2E70" w:rsidRPr="002B497F" w:rsidRDefault="000C2E70" w:rsidP="00E77A20">
      <w:pPr>
        <w:spacing w:line="360" w:lineRule="auto"/>
        <w:jc w:val="both"/>
        <w:rPr>
          <w:rStyle w:val="cursor-pointer"/>
          <w:szCs w:val="24"/>
        </w:rPr>
      </w:pPr>
      <w:r w:rsidRPr="002B497F">
        <w:rPr>
          <w:rStyle w:val="cursor-pointer"/>
          <w:szCs w:val="24"/>
        </w:rPr>
        <w:t xml:space="preserve">The main legislation in Wales that affects care and support is the </w:t>
      </w:r>
      <w:r w:rsidRPr="00561298">
        <w:rPr>
          <w:rStyle w:val="cursor-pointer"/>
          <w:i/>
          <w:szCs w:val="24"/>
        </w:rPr>
        <w:t>Social Services and Wellbeing (Wales) Act 2014</w:t>
      </w:r>
      <w:r w:rsidRPr="002B497F">
        <w:rPr>
          <w:rStyle w:val="cursor-pointer"/>
          <w:szCs w:val="24"/>
        </w:rPr>
        <w:t>.</w:t>
      </w:r>
      <w:r w:rsidRPr="002B497F">
        <w:rPr>
          <w:szCs w:val="24"/>
        </w:rPr>
        <w:t xml:space="preserve"> </w:t>
      </w:r>
      <w:r w:rsidRPr="002B497F">
        <w:rPr>
          <w:rStyle w:val="cursor-pointer"/>
          <w:szCs w:val="24"/>
        </w:rPr>
        <w:t>It is based on five core principles – voice and control, prevention and early intervention, wellbeing, co-production and partnership working across agencies.</w:t>
      </w:r>
      <w:r w:rsidRPr="002B497F">
        <w:rPr>
          <w:szCs w:val="24"/>
        </w:rPr>
        <w:t xml:space="preserve"> </w:t>
      </w:r>
      <w:r w:rsidRPr="002B497F">
        <w:rPr>
          <w:rStyle w:val="cursor-pointer"/>
          <w:szCs w:val="24"/>
        </w:rPr>
        <w:t>Local authorities and Local Health Boards have a statutory responsibility under Part 9 of the Act to establish Regional Partnership Boards.</w:t>
      </w:r>
      <w:r w:rsidRPr="002B497F">
        <w:rPr>
          <w:szCs w:val="24"/>
        </w:rPr>
        <w:t xml:space="preserve"> </w:t>
      </w:r>
      <w:r w:rsidRPr="002B497F">
        <w:rPr>
          <w:rStyle w:val="cursor-pointer"/>
          <w:szCs w:val="24"/>
        </w:rPr>
        <w:t xml:space="preserve">It is a complementary Act that supports the Well-being of </w:t>
      </w:r>
      <w:r w:rsidRPr="002B497F">
        <w:rPr>
          <w:rStyle w:val="cursor-pointer"/>
          <w:i/>
          <w:szCs w:val="24"/>
        </w:rPr>
        <w:t>Future Generations (Wales) Act 2015</w:t>
      </w:r>
      <w:r w:rsidRPr="002B497F">
        <w:rPr>
          <w:rStyle w:val="cursor-pointer"/>
          <w:szCs w:val="24"/>
        </w:rPr>
        <w:t>, which aims to help public bodies think long-term and collaboratively with other bodies from different sectors.</w:t>
      </w:r>
      <w:r w:rsidRPr="002B497F">
        <w:rPr>
          <w:szCs w:val="24"/>
        </w:rPr>
        <w:t xml:space="preserve"> </w:t>
      </w:r>
      <w:r w:rsidRPr="002B497F">
        <w:rPr>
          <w:rStyle w:val="cursor-pointer"/>
          <w:szCs w:val="24"/>
        </w:rPr>
        <w:t>Wales, as a whole, is likely to be more advanced than England in this area.</w:t>
      </w:r>
      <w:r w:rsidRPr="002B497F">
        <w:rPr>
          <w:szCs w:val="24"/>
        </w:rPr>
        <w:t xml:space="preserve"> </w:t>
      </w:r>
      <w:r w:rsidRPr="002B497F">
        <w:rPr>
          <w:rStyle w:val="cursor-pointer"/>
          <w:szCs w:val="24"/>
        </w:rPr>
        <w:t>It establishes a clear legal basis for co-production and partnership, as opposed to an idealistic goal.</w:t>
      </w:r>
      <w:r w:rsidRPr="002B497F">
        <w:rPr>
          <w:szCs w:val="24"/>
        </w:rPr>
        <w:t xml:space="preserve"> </w:t>
      </w:r>
    </w:p>
    <w:p w14:paraId="56CD0E0E" w14:textId="2CB179E4" w:rsidR="004C029F" w:rsidRPr="002B497F" w:rsidRDefault="005410DB" w:rsidP="008D7EC1">
      <w:pPr>
        <w:pStyle w:val="Heading1"/>
        <w:numPr>
          <w:ilvl w:val="0"/>
          <w:numId w:val="2"/>
        </w:numPr>
        <w:spacing w:before="300" w:after="150" w:line="360" w:lineRule="auto"/>
        <w:jc w:val="both"/>
        <w:rPr>
          <w:b/>
          <w:bCs/>
          <w:color w:val="auto"/>
          <w:sz w:val="24"/>
          <w:szCs w:val="24"/>
          <w:lang w:val="en-GB"/>
        </w:rPr>
      </w:pPr>
      <w:bookmarkStart w:id="24" w:name="_Toc235618278"/>
      <w:bookmarkStart w:id="25" w:name="_Toc235618584"/>
      <w:bookmarkStart w:id="26" w:name="_Toc235649348"/>
      <w:bookmarkStart w:id="27" w:name="_Toc235825104"/>
      <w:bookmarkStart w:id="28" w:name="_Toc235826040"/>
      <w:r w:rsidRPr="002B497F">
        <w:rPr>
          <w:b/>
          <w:bCs/>
          <w:color w:val="auto"/>
          <w:sz w:val="24"/>
          <w:szCs w:val="24"/>
          <w:lang w:val="en-GB"/>
        </w:rPr>
        <w:t>Recommendations for Future Development</w:t>
      </w:r>
      <w:bookmarkEnd w:id="24"/>
      <w:bookmarkEnd w:id="25"/>
      <w:bookmarkEnd w:id="26"/>
      <w:r w:rsidR="004C6841" w:rsidRPr="002B497F">
        <w:rPr>
          <w:b/>
          <w:bCs/>
          <w:color w:val="auto"/>
          <w:sz w:val="24"/>
          <w:szCs w:val="24"/>
          <w:lang w:val="en-GB"/>
        </w:rPr>
        <w:t xml:space="preserve"> of this project</w:t>
      </w:r>
      <w:bookmarkEnd w:id="27"/>
      <w:bookmarkEnd w:id="28"/>
    </w:p>
    <w:p w14:paraId="21B50DD2" w14:textId="19551A43" w:rsidR="004C6841" w:rsidRPr="002B497F" w:rsidRDefault="000C2E70" w:rsidP="00E77A20">
      <w:pPr>
        <w:spacing w:line="360" w:lineRule="auto"/>
        <w:jc w:val="both"/>
        <w:rPr>
          <w:szCs w:val="24"/>
        </w:rPr>
      </w:pPr>
      <w:r w:rsidRPr="002B497F">
        <w:rPr>
          <w:rStyle w:val="cursor-pointer"/>
          <w:szCs w:val="24"/>
        </w:rPr>
        <w:t>This analysis indicates that the following five recommendations are needed for the future of PCC and PW in the UK.</w:t>
      </w:r>
      <w:r w:rsidRPr="002B497F">
        <w:rPr>
          <w:szCs w:val="24"/>
        </w:rPr>
        <w:t xml:space="preserve"> </w:t>
      </w:r>
    </w:p>
    <w:p w14:paraId="1848557A" w14:textId="3AF69B6A" w:rsidR="00686847" w:rsidRPr="002B497F" w:rsidRDefault="000C2E70" w:rsidP="00E77A20">
      <w:pPr>
        <w:pStyle w:val="ListParagraph"/>
        <w:numPr>
          <w:ilvl w:val="0"/>
          <w:numId w:val="4"/>
        </w:numPr>
        <w:spacing w:line="360" w:lineRule="auto"/>
        <w:jc w:val="both"/>
        <w:rPr>
          <w:szCs w:val="24"/>
          <w:lang w:val="en-GB"/>
        </w:rPr>
      </w:pPr>
      <w:r w:rsidRPr="002B497F">
        <w:rPr>
          <w:rStyle w:val="cursor-pointer"/>
          <w:szCs w:val="24"/>
          <w:lang w:val="en-GB"/>
        </w:rPr>
        <w:t>First, ensure the availability of shared digital care records across the NHS, local authorities and third sector partners.</w:t>
      </w:r>
      <w:r w:rsidRPr="002B497F">
        <w:rPr>
          <w:szCs w:val="24"/>
          <w:lang w:val="en-GB"/>
        </w:rPr>
        <w:t xml:space="preserve"> </w:t>
      </w:r>
      <w:r w:rsidRPr="002B497F">
        <w:rPr>
          <w:rStyle w:val="cursor-pointer"/>
          <w:szCs w:val="24"/>
          <w:lang w:val="en-GB"/>
        </w:rPr>
        <w:t>This would resolve the problems of information sharing, which is at present an obstacle to partnership working, and would aid in discharge planning in a more seamless and person-centred manner.</w:t>
      </w:r>
      <w:r w:rsidRPr="002B497F">
        <w:rPr>
          <w:szCs w:val="24"/>
          <w:lang w:val="en-GB"/>
        </w:rPr>
        <w:t xml:space="preserve"> </w:t>
      </w:r>
    </w:p>
    <w:p w14:paraId="5015CDEB" w14:textId="53D21FA1" w:rsidR="004C6841" w:rsidRPr="002B497F" w:rsidRDefault="004C6841" w:rsidP="00686847">
      <w:pPr>
        <w:pStyle w:val="ListParagraph"/>
        <w:numPr>
          <w:ilvl w:val="0"/>
          <w:numId w:val="3"/>
        </w:numPr>
        <w:spacing w:line="360" w:lineRule="auto"/>
        <w:jc w:val="both"/>
        <w:rPr>
          <w:szCs w:val="24"/>
          <w:lang w:val="en-GB"/>
        </w:rPr>
      </w:pPr>
      <w:r w:rsidRPr="002B497F">
        <w:rPr>
          <w:szCs w:val="24"/>
          <w:lang w:val="en-GB"/>
        </w:rPr>
        <w:t xml:space="preserve">Secondly, make sure staff are built with Maslow's hierarchy of needs – a person feels safe and valued in themselves before they can </w:t>
      </w:r>
      <w:r w:rsidR="00A41936">
        <w:rPr>
          <w:szCs w:val="24"/>
          <w:lang w:val="en-GB"/>
        </w:rPr>
        <w:t>provide person-centred</w:t>
      </w:r>
      <w:r w:rsidRPr="002B497F">
        <w:rPr>
          <w:szCs w:val="24"/>
          <w:lang w:val="en-GB"/>
        </w:rPr>
        <w:t xml:space="preserve"> care consistently. Culture, staffing and leadership should not be considered nice to have but must be treated as essential (</w:t>
      </w:r>
      <w:proofErr w:type="spellStart"/>
      <w:r w:rsidRPr="002B497F">
        <w:rPr>
          <w:szCs w:val="24"/>
          <w:lang w:val="en-GB"/>
        </w:rPr>
        <w:t>McCance</w:t>
      </w:r>
      <w:proofErr w:type="spellEnd"/>
      <w:r w:rsidRPr="002B497F">
        <w:rPr>
          <w:szCs w:val="24"/>
          <w:lang w:val="en-GB"/>
        </w:rPr>
        <w:t xml:space="preserve"> and McCormack, 2025).</w:t>
      </w:r>
    </w:p>
    <w:p w14:paraId="580C50E1" w14:textId="3D21ADD0" w:rsidR="004C6841" w:rsidRPr="002B497F" w:rsidRDefault="000C2E70" w:rsidP="00686847">
      <w:pPr>
        <w:pStyle w:val="ListParagraph"/>
        <w:numPr>
          <w:ilvl w:val="0"/>
          <w:numId w:val="3"/>
        </w:numPr>
        <w:spacing w:line="360" w:lineRule="auto"/>
        <w:jc w:val="both"/>
        <w:rPr>
          <w:szCs w:val="24"/>
          <w:lang w:val="en-GB"/>
        </w:rPr>
      </w:pPr>
      <w:r w:rsidRPr="002B497F">
        <w:rPr>
          <w:rStyle w:val="cursor-pointer"/>
          <w:szCs w:val="24"/>
          <w:lang w:val="en-GB"/>
        </w:rPr>
        <w:t>Third, be held to account in collaborative working arrangements (e.g. Integrated Care Partnerships and Regional Partnership Boards) and not to have the 'loss of responsibility' between organisations.</w:t>
      </w:r>
      <w:r w:rsidRPr="002B497F">
        <w:rPr>
          <w:szCs w:val="24"/>
          <w:lang w:val="en-GB"/>
        </w:rPr>
        <w:t xml:space="preserve"> </w:t>
      </w:r>
    </w:p>
    <w:p w14:paraId="34194141" w14:textId="3B94E8DF" w:rsidR="000C2E70" w:rsidRDefault="002B497F" w:rsidP="00686847">
      <w:pPr>
        <w:pStyle w:val="ListParagraph"/>
        <w:numPr>
          <w:ilvl w:val="0"/>
          <w:numId w:val="3"/>
        </w:numPr>
        <w:spacing w:line="360" w:lineRule="auto"/>
        <w:jc w:val="both"/>
        <w:rPr>
          <w:szCs w:val="24"/>
          <w:lang w:val="en-GB"/>
        </w:rPr>
      </w:pPr>
      <w:r>
        <w:rPr>
          <w:rStyle w:val="cursor-pointer"/>
          <w:szCs w:val="24"/>
          <w:lang w:val="en-GB"/>
        </w:rPr>
        <w:t>Last, i</w:t>
      </w:r>
      <w:r w:rsidR="000C2E70" w:rsidRPr="002B497F">
        <w:rPr>
          <w:rStyle w:val="cursor-pointer"/>
          <w:szCs w:val="24"/>
          <w:lang w:val="en-GB"/>
        </w:rPr>
        <w:t xml:space="preserve">nvolve service users, service carers and third sector groups in a more comprehensive </w:t>
      </w:r>
      <w:r w:rsidR="008C3AC9">
        <w:rPr>
          <w:rStyle w:val="cursor-pointer"/>
          <w:szCs w:val="24"/>
          <w:lang w:val="en-GB"/>
        </w:rPr>
        <w:t>co-design</w:t>
      </w:r>
      <w:r w:rsidR="000C2E70" w:rsidRPr="002B497F">
        <w:rPr>
          <w:rStyle w:val="cursor-pointer"/>
          <w:szCs w:val="24"/>
          <w:lang w:val="en-GB"/>
        </w:rPr>
        <w:t xml:space="preserve"> of these partnerships.</w:t>
      </w:r>
      <w:r w:rsidR="000C2E70" w:rsidRPr="002B497F">
        <w:rPr>
          <w:szCs w:val="24"/>
          <w:lang w:val="en-GB"/>
        </w:rPr>
        <w:t xml:space="preserve"> </w:t>
      </w:r>
      <w:r w:rsidR="000C2E70" w:rsidRPr="002B497F">
        <w:rPr>
          <w:rStyle w:val="cursor-pointer"/>
          <w:szCs w:val="24"/>
          <w:lang w:val="en-GB"/>
        </w:rPr>
        <w:t xml:space="preserve">This would further the ‘voice and control' aspect of </w:t>
      </w:r>
      <w:r w:rsidR="008C3AC9">
        <w:rPr>
          <w:rStyle w:val="cursor-pointer"/>
          <w:szCs w:val="24"/>
          <w:lang w:val="en-GB"/>
        </w:rPr>
        <w:t xml:space="preserve">the </w:t>
      </w:r>
      <w:r w:rsidR="000C2E70" w:rsidRPr="008C3AC9">
        <w:rPr>
          <w:rStyle w:val="cursor-pointer"/>
          <w:i/>
          <w:szCs w:val="24"/>
          <w:lang w:val="en-GB"/>
        </w:rPr>
        <w:t>W</w:t>
      </w:r>
      <w:r w:rsidR="008C3AC9" w:rsidRPr="008C3AC9">
        <w:rPr>
          <w:rStyle w:val="cursor-pointer"/>
          <w:i/>
          <w:szCs w:val="24"/>
          <w:lang w:val="en-GB"/>
        </w:rPr>
        <w:t>ales Act 2014</w:t>
      </w:r>
      <w:r w:rsidR="008C3AC9">
        <w:rPr>
          <w:rStyle w:val="cursor-pointer"/>
          <w:szCs w:val="24"/>
          <w:lang w:val="en-GB"/>
        </w:rPr>
        <w:t>,</w:t>
      </w:r>
      <w:r w:rsidR="000C2E70" w:rsidRPr="002B497F">
        <w:rPr>
          <w:rStyle w:val="cursor-pointer"/>
          <w:szCs w:val="24"/>
          <w:lang w:val="en-GB"/>
        </w:rPr>
        <w:t xml:space="preserve"> which relies on the principle that the Welsh public are given voice and control. Finally, be more critical of the statutory measures introduced by the </w:t>
      </w:r>
      <w:r w:rsidR="000C2E70" w:rsidRPr="002B497F">
        <w:rPr>
          <w:rStyle w:val="cursor-pointer"/>
          <w:i/>
          <w:szCs w:val="24"/>
          <w:lang w:val="en-GB"/>
        </w:rPr>
        <w:t>Health and Care Act 2022</w:t>
      </w:r>
      <w:r w:rsidR="000C2E70" w:rsidRPr="002B497F">
        <w:rPr>
          <w:rStyle w:val="cursor-pointer"/>
          <w:szCs w:val="24"/>
          <w:lang w:val="en-GB"/>
        </w:rPr>
        <w:t xml:space="preserve"> and the </w:t>
      </w:r>
      <w:r w:rsidR="000C2E70" w:rsidRPr="002B497F">
        <w:rPr>
          <w:rStyle w:val="cursor-pointer"/>
          <w:i/>
          <w:szCs w:val="24"/>
          <w:lang w:val="en-GB"/>
        </w:rPr>
        <w:t>Social Services and Well-being (Wales) Act 2014</w:t>
      </w:r>
      <w:r w:rsidR="000C2E70" w:rsidRPr="002B497F">
        <w:rPr>
          <w:rStyle w:val="cursor-pointer"/>
          <w:szCs w:val="24"/>
          <w:lang w:val="en-GB"/>
        </w:rPr>
        <w:t xml:space="preserve"> – are they resulting in improvement of person-centred outcomes or are they simply maintaining the outward appearance of a church?</w:t>
      </w:r>
      <w:r w:rsidR="000C2E70" w:rsidRPr="002B497F">
        <w:rPr>
          <w:szCs w:val="24"/>
          <w:lang w:val="en-GB"/>
        </w:rPr>
        <w:t xml:space="preserve"> </w:t>
      </w:r>
    </w:p>
    <w:p w14:paraId="756C47C9" w14:textId="77777777" w:rsidR="00F30234" w:rsidRDefault="00F30234" w:rsidP="00F30234">
      <w:pPr>
        <w:pStyle w:val="Heading1"/>
        <w:spacing w:before="300" w:after="150" w:line="360" w:lineRule="auto"/>
        <w:ind w:left="720"/>
        <w:jc w:val="both"/>
        <w:rPr>
          <w:b/>
          <w:bCs/>
          <w:color w:val="auto"/>
          <w:sz w:val="22"/>
          <w:szCs w:val="24"/>
          <w:lang w:val="en-GB"/>
        </w:rPr>
      </w:pPr>
      <w:bookmarkStart w:id="29" w:name="_Toc235618279"/>
      <w:bookmarkStart w:id="30" w:name="_Toc235618585"/>
      <w:bookmarkStart w:id="31" w:name="_Toc235649349"/>
      <w:bookmarkStart w:id="32" w:name="_Toc235825105"/>
      <w:bookmarkStart w:id="33" w:name="_Toc235826041"/>
    </w:p>
    <w:p w14:paraId="22DAA98A" w14:textId="39D32CD9" w:rsidR="004C029F" w:rsidRPr="002B497F" w:rsidRDefault="005410DB" w:rsidP="003464FA">
      <w:pPr>
        <w:pStyle w:val="Heading1"/>
        <w:numPr>
          <w:ilvl w:val="0"/>
          <w:numId w:val="2"/>
        </w:numPr>
        <w:spacing w:before="300" w:after="150" w:line="360" w:lineRule="auto"/>
        <w:jc w:val="both"/>
        <w:rPr>
          <w:b/>
          <w:bCs/>
          <w:color w:val="auto"/>
          <w:sz w:val="22"/>
          <w:szCs w:val="24"/>
          <w:lang w:val="en-GB"/>
        </w:rPr>
      </w:pPr>
      <w:r w:rsidRPr="002B497F">
        <w:rPr>
          <w:b/>
          <w:bCs/>
          <w:color w:val="auto"/>
          <w:sz w:val="22"/>
          <w:szCs w:val="24"/>
          <w:lang w:val="en-GB"/>
        </w:rPr>
        <w:lastRenderedPageBreak/>
        <w:t>Conclusion</w:t>
      </w:r>
      <w:bookmarkEnd w:id="29"/>
      <w:bookmarkEnd w:id="30"/>
      <w:bookmarkEnd w:id="31"/>
      <w:bookmarkEnd w:id="32"/>
      <w:bookmarkEnd w:id="33"/>
    </w:p>
    <w:p w14:paraId="79A3284A" w14:textId="16A634A1" w:rsidR="004C6841" w:rsidRPr="002B497F" w:rsidRDefault="004C6841" w:rsidP="004C6841">
      <w:pPr>
        <w:spacing w:line="360" w:lineRule="auto"/>
        <w:jc w:val="both"/>
        <w:rPr>
          <w:rStyle w:val="cursor-pointer"/>
          <w:szCs w:val="24"/>
        </w:rPr>
      </w:pPr>
      <w:r w:rsidRPr="002B497F">
        <w:rPr>
          <w:rStyle w:val="cursor-pointer"/>
          <w:szCs w:val="24"/>
        </w:rPr>
        <w:t xml:space="preserve">This report has shown that </w:t>
      </w:r>
      <w:r w:rsidR="002B497F" w:rsidRPr="002B497F">
        <w:rPr>
          <w:rStyle w:val="cursor-pointer"/>
          <w:szCs w:val="24"/>
        </w:rPr>
        <w:t>person-centred</w:t>
      </w:r>
      <w:r w:rsidRPr="002B497F">
        <w:rPr>
          <w:rStyle w:val="cursor-pointer"/>
          <w:szCs w:val="24"/>
        </w:rPr>
        <w:t xml:space="preserve"> care and partnership working are two concepts but are interdependent.</w:t>
      </w:r>
      <w:r w:rsidRPr="002B497F">
        <w:rPr>
          <w:szCs w:val="24"/>
        </w:rPr>
        <w:t xml:space="preserve"> </w:t>
      </w:r>
      <w:r w:rsidRPr="002B497F">
        <w:rPr>
          <w:rStyle w:val="cursor-pointer"/>
          <w:szCs w:val="24"/>
        </w:rPr>
        <w:t xml:space="preserve">PCC's vision of good care is based on theories like Maslow's Hierarchy of Needs, and guided by the values of autonomy, beneficence, non-maleficence, and justice, which are </w:t>
      </w:r>
      <w:r w:rsidR="002B497F" w:rsidRPr="002B497F">
        <w:rPr>
          <w:rStyle w:val="cursor-pointer"/>
          <w:szCs w:val="24"/>
        </w:rPr>
        <w:t>person-centred</w:t>
      </w:r>
      <w:r w:rsidRPr="002B497F">
        <w:rPr>
          <w:rStyle w:val="cursor-pointer"/>
          <w:szCs w:val="24"/>
        </w:rPr>
        <w:t>.</w:t>
      </w:r>
      <w:r w:rsidRPr="002B497F">
        <w:rPr>
          <w:szCs w:val="24"/>
        </w:rPr>
        <w:t xml:space="preserve"> </w:t>
      </w:r>
      <w:r w:rsidRPr="002B497F">
        <w:rPr>
          <w:rStyle w:val="cursor-pointer"/>
          <w:szCs w:val="24"/>
        </w:rPr>
        <w:t xml:space="preserve">Partnership working provides a good level of structure to ensure that </w:t>
      </w:r>
      <w:r w:rsidR="002B497F" w:rsidRPr="002B497F">
        <w:rPr>
          <w:rStyle w:val="cursor-pointer"/>
          <w:szCs w:val="24"/>
        </w:rPr>
        <w:t>the</w:t>
      </w:r>
      <w:r w:rsidRPr="002B497F">
        <w:rPr>
          <w:rStyle w:val="cursor-pointer"/>
          <w:szCs w:val="24"/>
        </w:rPr>
        <w:t xml:space="preserve"> vision becomes a reality in a highly fragmented health and social care system.</w:t>
      </w:r>
      <w:r w:rsidRPr="002B497F">
        <w:rPr>
          <w:szCs w:val="24"/>
        </w:rPr>
        <w:t xml:space="preserve"> </w:t>
      </w:r>
      <w:r w:rsidR="008C3AC9">
        <w:rPr>
          <w:rStyle w:val="cursor-pointer"/>
          <w:szCs w:val="24"/>
        </w:rPr>
        <w:t>Both concepts are now incorporated into policy, including the Health and Care Act 2022 and the Social Services and Well-being (Wales) Act 2014, which are</w:t>
      </w:r>
      <w:r w:rsidRPr="002B497F">
        <w:rPr>
          <w:rStyle w:val="cursor-pointer"/>
          <w:szCs w:val="24"/>
        </w:rPr>
        <w:t xml:space="preserve"> enshrined in policy at UK and Welsh level.</w:t>
      </w:r>
      <w:r w:rsidRPr="002B497F">
        <w:rPr>
          <w:szCs w:val="24"/>
        </w:rPr>
        <w:t xml:space="preserve"> </w:t>
      </w:r>
      <w:r w:rsidR="008C3AC9" w:rsidRPr="002B497F">
        <w:rPr>
          <w:rStyle w:val="cursor-pointer"/>
          <w:szCs w:val="24"/>
        </w:rPr>
        <w:t>However</w:t>
      </w:r>
      <w:r w:rsidR="008C3AC9">
        <w:rPr>
          <w:rStyle w:val="cursor-pointer"/>
          <w:szCs w:val="24"/>
        </w:rPr>
        <w:t>,</w:t>
      </w:r>
      <w:r w:rsidRPr="002B497F">
        <w:rPr>
          <w:rStyle w:val="cursor-pointer"/>
          <w:szCs w:val="24"/>
        </w:rPr>
        <w:t xml:space="preserve"> this alone is not sufficient, as has been shown in this report.</w:t>
      </w:r>
      <w:r w:rsidRPr="002B497F">
        <w:rPr>
          <w:szCs w:val="24"/>
        </w:rPr>
        <w:t xml:space="preserve"> </w:t>
      </w:r>
      <w:r w:rsidRPr="002B497F">
        <w:rPr>
          <w:rStyle w:val="cursor-pointer"/>
          <w:szCs w:val="24"/>
        </w:rPr>
        <w:t>It's not the policy itself</w:t>
      </w:r>
      <w:r w:rsidR="002B497F" w:rsidRPr="002B497F">
        <w:rPr>
          <w:rStyle w:val="cursor-pointer"/>
          <w:szCs w:val="24"/>
        </w:rPr>
        <w:t>;</w:t>
      </w:r>
      <w:r w:rsidRPr="002B497F">
        <w:rPr>
          <w:rStyle w:val="cursor-pointer"/>
          <w:szCs w:val="24"/>
        </w:rPr>
        <w:t xml:space="preserve"> it's the emphasis on organisational culture, workforce development, accountability and meaningful engagement with service-users which will make PCC and PW 'business as usual'.</w:t>
      </w:r>
      <w:bookmarkStart w:id="34" w:name="_Toc235618280"/>
      <w:bookmarkStart w:id="35" w:name="_Toc235618586"/>
      <w:bookmarkStart w:id="36" w:name="_Toc235649350"/>
    </w:p>
    <w:p w14:paraId="534A4742" w14:textId="77777777" w:rsidR="004C6841" w:rsidRPr="002B497F" w:rsidRDefault="004C6841" w:rsidP="004C6841">
      <w:pPr>
        <w:spacing w:line="360" w:lineRule="auto"/>
        <w:jc w:val="both"/>
        <w:rPr>
          <w:rStyle w:val="cursor-pointer"/>
          <w:sz w:val="24"/>
          <w:szCs w:val="24"/>
        </w:rPr>
      </w:pPr>
    </w:p>
    <w:p w14:paraId="09E8A3B2" w14:textId="77777777" w:rsidR="004C6841" w:rsidRPr="002B497F" w:rsidRDefault="004C6841" w:rsidP="004C6841">
      <w:pPr>
        <w:spacing w:line="360" w:lineRule="auto"/>
        <w:jc w:val="both"/>
        <w:rPr>
          <w:rStyle w:val="cursor-pointer"/>
          <w:sz w:val="24"/>
          <w:szCs w:val="24"/>
        </w:rPr>
      </w:pPr>
    </w:p>
    <w:p w14:paraId="76120C93" w14:textId="77777777" w:rsidR="004C6841" w:rsidRPr="002B497F" w:rsidRDefault="004C6841" w:rsidP="004C6841">
      <w:pPr>
        <w:spacing w:line="360" w:lineRule="auto"/>
        <w:jc w:val="both"/>
        <w:rPr>
          <w:rStyle w:val="cursor-pointer"/>
          <w:sz w:val="24"/>
          <w:szCs w:val="24"/>
        </w:rPr>
      </w:pPr>
    </w:p>
    <w:p w14:paraId="2328D77E" w14:textId="77777777" w:rsidR="004C6841" w:rsidRPr="002B497F" w:rsidRDefault="004C6841" w:rsidP="004C6841">
      <w:pPr>
        <w:spacing w:line="360" w:lineRule="auto"/>
        <w:jc w:val="both"/>
        <w:rPr>
          <w:rStyle w:val="cursor-pointer"/>
          <w:sz w:val="24"/>
          <w:szCs w:val="24"/>
        </w:rPr>
      </w:pPr>
    </w:p>
    <w:p w14:paraId="514B2F7B" w14:textId="77777777" w:rsidR="004C6841" w:rsidRPr="002B497F" w:rsidRDefault="004C6841" w:rsidP="004C6841">
      <w:pPr>
        <w:spacing w:line="360" w:lineRule="auto"/>
        <w:jc w:val="both"/>
        <w:rPr>
          <w:rStyle w:val="cursor-pointer"/>
          <w:sz w:val="24"/>
          <w:szCs w:val="24"/>
        </w:rPr>
      </w:pPr>
    </w:p>
    <w:p w14:paraId="01C36B87" w14:textId="77777777" w:rsidR="004C6841" w:rsidRPr="002B497F" w:rsidRDefault="004C6841" w:rsidP="004C6841">
      <w:pPr>
        <w:spacing w:line="360" w:lineRule="auto"/>
        <w:jc w:val="both"/>
        <w:rPr>
          <w:rStyle w:val="cursor-pointer"/>
          <w:sz w:val="24"/>
          <w:szCs w:val="24"/>
        </w:rPr>
      </w:pPr>
    </w:p>
    <w:p w14:paraId="55D684A1" w14:textId="3CCE91FC" w:rsidR="00C04EF2" w:rsidRDefault="00C04EF2">
      <w:pPr>
        <w:rPr>
          <w:rStyle w:val="cursor-pointer"/>
          <w:sz w:val="24"/>
          <w:szCs w:val="24"/>
        </w:rPr>
      </w:pPr>
      <w:r>
        <w:rPr>
          <w:rStyle w:val="cursor-pointer"/>
          <w:sz w:val="24"/>
          <w:szCs w:val="24"/>
        </w:rPr>
        <w:br w:type="page"/>
      </w:r>
    </w:p>
    <w:p w14:paraId="6257649B" w14:textId="3BD2AEB9" w:rsidR="004C029F" w:rsidRPr="002B497F" w:rsidRDefault="005410DB" w:rsidP="004C6841">
      <w:pPr>
        <w:spacing w:line="360" w:lineRule="auto"/>
        <w:jc w:val="both"/>
        <w:rPr>
          <w:b/>
          <w:bCs/>
          <w:sz w:val="24"/>
          <w:szCs w:val="24"/>
        </w:rPr>
      </w:pPr>
      <w:r w:rsidRPr="002B497F">
        <w:rPr>
          <w:b/>
          <w:bCs/>
          <w:sz w:val="24"/>
          <w:szCs w:val="24"/>
        </w:rPr>
        <w:lastRenderedPageBreak/>
        <w:t>References</w:t>
      </w:r>
      <w:bookmarkEnd w:id="34"/>
      <w:bookmarkEnd w:id="35"/>
      <w:bookmarkEnd w:id="36"/>
    </w:p>
    <w:p w14:paraId="1DF74937" w14:textId="77777777" w:rsidR="00E311D5" w:rsidRPr="002B497F" w:rsidRDefault="00E311D5" w:rsidP="002B497F">
      <w:pPr>
        <w:pStyle w:val="ListParagraph"/>
        <w:numPr>
          <w:ilvl w:val="0"/>
          <w:numId w:val="5"/>
        </w:numPr>
        <w:spacing w:after="150" w:line="360" w:lineRule="auto"/>
        <w:jc w:val="both"/>
        <w:rPr>
          <w:lang w:val="en-GB"/>
        </w:rPr>
      </w:pPr>
      <w:r w:rsidRPr="002B497F">
        <w:rPr>
          <w:lang w:val="en-GB"/>
        </w:rPr>
        <w:t xml:space="preserve">Barr, H., Anderson, E. S., and Hutchings, M. (2024) ‘Understanding integrated care’, </w:t>
      </w:r>
      <w:r w:rsidRPr="002B497F">
        <w:rPr>
          <w:i/>
          <w:lang w:val="en-GB"/>
        </w:rPr>
        <w:t xml:space="preserve">Journal of </w:t>
      </w:r>
      <w:proofErr w:type="spellStart"/>
      <w:r w:rsidRPr="002B497F">
        <w:rPr>
          <w:i/>
          <w:lang w:val="en-GB"/>
        </w:rPr>
        <w:t>Interprofessional</w:t>
      </w:r>
      <w:proofErr w:type="spellEnd"/>
      <w:r w:rsidRPr="002B497F">
        <w:rPr>
          <w:i/>
          <w:lang w:val="en-GB"/>
        </w:rPr>
        <w:t xml:space="preserve"> Care</w:t>
      </w:r>
      <w:r w:rsidRPr="002B497F">
        <w:rPr>
          <w:lang w:val="en-GB"/>
        </w:rPr>
        <w:t xml:space="preserve">, 38(6), 974–984. </w:t>
      </w:r>
      <w:hyperlink r:id="rId8" w:history="1">
        <w:r w:rsidRPr="002B497F">
          <w:rPr>
            <w:rStyle w:val="Hyperlink"/>
            <w:lang w:val="en-GB"/>
          </w:rPr>
          <w:t>https://doi.org/10.1080/13561820.2024.2405550</w:t>
        </w:r>
      </w:hyperlink>
      <w:r w:rsidRPr="002B497F">
        <w:rPr>
          <w:lang w:val="en-GB"/>
        </w:rPr>
        <w:t xml:space="preserve"> </w:t>
      </w:r>
    </w:p>
    <w:p w14:paraId="4DBB7BEE" w14:textId="5FEEFC48" w:rsidR="004C029F" w:rsidRPr="002B497F" w:rsidRDefault="00041BD9" w:rsidP="002B497F">
      <w:pPr>
        <w:pStyle w:val="ListParagraph"/>
        <w:numPr>
          <w:ilvl w:val="0"/>
          <w:numId w:val="5"/>
        </w:numPr>
        <w:spacing w:after="150" w:line="360" w:lineRule="auto"/>
        <w:jc w:val="both"/>
        <w:rPr>
          <w:lang w:val="en-GB"/>
        </w:rPr>
      </w:pPr>
      <w:r w:rsidRPr="002B497F">
        <w:rPr>
          <w:lang w:val="en-GB"/>
        </w:rPr>
        <w:t>Beauchamp, T., and</w:t>
      </w:r>
      <w:r w:rsidR="00D177C9" w:rsidRPr="002B497F">
        <w:rPr>
          <w:lang w:val="en-GB"/>
        </w:rPr>
        <w:t xml:space="preserve"> Childress, J. (2019)</w:t>
      </w:r>
      <w:r w:rsidRPr="002B497F">
        <w:rPr>
          <w:lang w:val="en-GB"/>
        </w:rPr>
        <w:t xml:space="preserve"> ‘Principles of Biomedical Ethics: Marking Its Fortieth Anniversary’, </w:t>
      </w:r>
      <w:r w:rsidRPr="002B497F">
        <w:rPr>
          <w:i/>
          <w:lang w:val="en-GB"/>
        </w:rPr>
        <w:t>The American journal of bioethics: AJOB</w:t>
      </w:r>
      <w:r w:rsidRPr="002B497F">
        <w:rPr>
          <w:lang w:val="en-GB"/>
        </w:rPr>
        <w:t xml:space="preserve">, 19(11), 9–12. </w:t>
      </w:r>
      <w:hyperlink r:id="rId9" w:history="1">
        <w:r w:rsidRPr="002B497F">
          <w:rPr>
            <w:rStyle w:val="Hyperlink"/>
            <w:lang w:val="en-GB"/>
          </w:rPr>
          <w:t>https://doi.org/10.1080/15265161.2019.1665402</w:t>
        </w:r>
      </w:hyperlink>
      <w:r w:rsidRPr="002B497F">
        <w:rPr>
          <w:lang w:val="en-GB"/>
        </w:rPr>
        <w:t xml:space="preserve"> </w:t>
      </w:r>
    </w:p>
    <w:p w14:paraId="2C8E2956" w14:textId="07A5B8FE" w:rsidR="004C029F" w:rsidRPr="002B497F" w:rsidRDefault="00D177C9" w:rsidP="002B497F">
      <w:pPr>
        <w:pStyle w:val="ListParagraph"/>
        <w:numPr>
          <w:ilvl w:val="0"/>
          <w:numId w:val="5"/>
        </w:numPr>
        <w:spacing w:after="150" w:line="360" w:lineRule="auto"/>
        <w:jc w:val="both"/>
        <w:rPr>
          <w:lang w:val="en-GB"/>
        </w:rPr>
      </w:pPr>
      <w:proofErr w:type="spellStart"/>
      <w:r w:rsidRPr="002B497F">
        <w:rPr>
          <w:lang w:val="en-GB"/>
        </w:rPr>
        <w:t>Constand</w:t>
      </w:r>
      <w:proofErr w:type="spellEnd"/>
      <w:r w:rsidRPr="002B497F">
        <w:rPr>
          <w:lang w:val="en-GB"/>
        </w:rPr>
        <w:t xml:space="preserve">, M. K. </w:t>
      </w:r>
      <w:r w:rsidRPr="002B497F">
        <w:rPr>
          <w:i/>
          <w:lang w:val="en-GB"/>
        </w:rPr>
        <w:t>et al.</w:t>
      </w:r>
      <w:r w:rsidRPr="002B497F">
        <w:rPr>
          <w:lang w:val="en-GB"/>
        </w:rPr>
        <w:t xml:space="preserve"> (2014) ‘Scoping review of patient-</w:t>
      </w:r>
      <w:proofErr w:type="spellStart"/>
      <w:r w:rsidRPr="002B497F">
        <w:rPr>
          <w:lang w:val="en-GB"/>
        </w:rPr>
        <w:t>centered</w:t>
      </w:r>
      <w:proofErr w:type="spellEnd"/>
      <w:r w:rsidRPr="002B497F">
        <w:rPr>
          <w:lang w:val="en-GB"/>
        </w:rPr>
        <w:t xml:space="preserve"> care approaches in healthcare’, </w:t>
      </w:r>
      <w:r w:rsidRPr="002B497F">
        <w:rPr>
          <w:i/>
          <w:lang w:val="en-GB"/>
        </w:rPr>
        <w:t>BMC Health Services Research</w:t>
      </w:r>
      <w:r w:rsidRPr="002B497F">
        <w:rPr>
          <w:lang w:val="en-GB"/>
        </w:rPr>
        <w:t xml:space="preserve">, 14, 271. </w:t>
      </w:r>
      <w:hyperlink r:id="rId10" w:history="1">
        <w:r w:rsidRPr="002B497F">
          <w:rPr>
            <w:rStyle w:val="Hyperlink"/>
            <w:lang w:val="en-GB"/>
          </w:rPr>
          <w:t>https://doi.org/10.1186/1472-6963-14-271</w:t>
        </w:r>
      </w:hyperlink>
      <w:r w:rsidRPr="002B497F">
        <w:rPr>
          <w:lang w:val="en-GB"/>
        </w:rPr>
        <w:t xml:space="preserve"> </w:t>
      </w:r>
    </w:p>
    <w:p w14:paraId="64D493D8" w14:textId="24BA942E" w:rsidR="004C029F" w:rsidRPr="002B497F" w:rsidRDefault="005410DB" w:rsidP="002B497F">
      <w:pPr>
        <w:pStyle w:val="ListParagraph"/>
        <w:numPr>
          <w:ilvl w:val="0"/>
          <w:numId w:val="5"/>
        </w:numPr>
        <w:spacing w:after="150" w:line="360" w:lineRule="auto"/>
        <w:jc w:val="both"/>
        <w:rPr>
          <w:lang w:val="en-GB"/>
        </w:rPr>
      </w:pPr>
      <w:r w:rsidRPr="002B497F">
        <w:rPr>
          <w:i/>
          <w:lang w:val="en-GB"/>
        </w:rPr>
        <w:t>Health and Care Act 2022</w:t>
      </w:r>
      <w:r w:rsidR="009A7667" w:rsidRPr="002B497F">
        <w:rPr>
          <w:i/>
          <w:lang w:val="en-GB"/>
        </w:rPr>
        <w:t>, C.31.</w:t>
      </w:r>
      <w:r w:rsidRPr="002B497F">
        <w:rPr>
          <w:lang w:val="en-GB"/>
        </w:rPr>
        <w:t xml:space="preserve"> </w:t>
      </w:r>
      <w:r w:rsidR="009A7667" w:rsidRPr="002B497F">
        <w:rPr>
          <w:lang w:val="en-GB"/>
        </w:rPr>
        <w:t xml:space="preserve">Available at: </w:t>
      </w:r>
      <w:hyperlink r:id="rId11" w:history="1">
        <w:r w:rsidR="009A7667" w:rsidRPr="002B497F">
          <w:rPr>
            <w:rStyle w:val="Hyperlink"/>
            <w:lang w:val="en-GB"/>
          </w:rPr>
          <w:t>https://www.legislation.gov.uk/ukpga/2022/31/contents</w:t>
        </w:r>
      </w:hyperlink>
      <w:r w:rsidR="009A7667" w:rsidRPr="002B497F">
        <w:rPr>
          <w:lang w:val="en-GB"/>
        </w:rPr>
        <w:t xml:space="preserve"> (Accessed: 20 July 2026).</w:t>
      </w:r>
    </w:p>
    <w:p w14:paraId="7AD9B922" w14:textId="52267B86" w:rsidR="004C029F" w:rsidRPr="002B497F" w:rsidRDefault="005410DB" w:rsidP="002B497F">
      <w:pPr>
        <w:pStyle w:val="ListParagraph"/>
        <w:numPr>
          <w:ilvl w:val="0"/>
          <w:numId w:val="5"/>
        </w:numPr>
        <w:spacing w:after="150" w:line="360" w:lineRule="auto"/>
        <w:jc w:val="both"/>
        <w:rPr>
          <w:lang w:val="en-GB"/>
        </w:rPr>
      </w:pPr>
      <w:r w:rsidRPr="002B497F">
        <w:rPr>
          <w:lang w:val="en-GB"/>
        </w:rPr>
        <w:t>King's Fund (2022) Integrated Care Systems</w:t>
      </w:r>
      <w:r w:rsidR="00792540" w:rsidRPr="002B497F">
        <w:rPr>
          <w:lang w:val="en-GB"/>
        </w:rPr>
        <w:t>: how will they work under the Health and Care Act</w:t>
      </w:r>
      <w:r w:rsidRPr="002B497F">
        <w:rPr>
          <w:lang w:val="en-GB"/>
        </w:rPr>
        <w:t>.</w:t>
      </w:r>
      <w:r w:rsidR="00792540" w:rsidRPr="002B497F">
        <w:rPr>
          <w:lang w:val="en-GB"/>
        </w:rPr>
        <w:t xml:space="preserve"> Available at: </w:t>
      </w:r>
      <w:hyperlink r:id="rId12" w:history="1">
        <w:r w:rsidR="00792540" w:rsidRPr="002B497F">
          <w:rPr>
            <w:rStyle w:val="Hyperlink"/>
            <w:lang w:val="en-GB"/>
          </w:rPr>
          <w:t>https://www.kingsfund.org.uk/insight-and-analysis/data-and-charts/integrated-care-systems-health-and-care-act</w:t>
        </w:r>
      </w:hyperlink>
      <w:r w:rsidR="00792540" w:rsidRPr="002B497F">
        <w:rPr>
          <w:lang w:val="en-GB"/>
        </w:rPr>
        <w:t xml:space="preserve"> (Accessed: 21 July 2026).</w:t>
      </w:r>
    </w:p>
    <w:p w14:paraId="734A3572" w14:textId="77777777" w:rsidR="009E159A" w:rsidRPr="002B497F" w:rsidRDefault="009E159A" w:rsidP="002B497F">
      <w:pPr>
        <w:pStyle w:val="ListParagraph"/>
        <w:numPr>
          <w:ilvl w:val="0"/>
          <w:numId w:val="5"/>
        </w:numPr>
        <w:spacing w:after="150" w:line="360" w:lineRule="auto"/>
        <w:jc w:val="both"/>
        <w:rPr>
          <w:lang w:val="en-GB"/>
        </w:rPr>
      </w:pPr>
      <w:r w:rsidRPr="002B497F">
        <w:rPr>
          <w:lang w:val="en-GB"/>
        </w:rPr>
        <w:t xml:space="preserve">Liang, L. (2004) ‘Crossing the Quality Chasm’, </w:t>
      </w:r>
      <w:r w:rsidRPr="002B497F">
        <w:rPr>
          <w:i/>
          <w:lang w:val="en-GB"/>
        </w:rPr>
        <w:t>The Permanente Journal</w:t>
      </w:r>
      <w:r w:rsidRPr="002B497F">
        <w:rPr>
          <w:lang w:val="en-GB"/>
        </w:rPr>
        <w:t xml:space="preserve">, 8(4), pp. 2–2. </w:t>
      </w:r>
      <w:hyperlink r:id="rId13" w:history="1">
        <w:r w:rsidRPr="002B497F">
          <w:rPr>
            <w:rStyle w:val="Hyperlink"/>
            <w:lang w:val="en-GB"/>
          </w:rPr>
          <w:t>https://doi.org/10.7812/TPP/04.889</w:t>
        </w:r>
      </w:hyperlink>
      <w:r w:rsidRPr="002B497F">
        <w:rPr>
          <w:lang w:val="en-GB"/>
        </w:rPr>
        <w:t xml:space="preserve"> </w:t>
      </w:r>
    </w:p>
    <w:p w14:paraId="0DA0477D" w14:textId="5D5206BA" w:rsidR="004C029F" w:rsidRPr="002B497F" w:rsidRDefault="002C607F" w:rsidP="002B497F">
      <w:pPr>
        <w:pStyle w:val="ListParagraph"/>
        <w:numPr>
          <w:ilvl w:val="0"/>
          <w:numId w:val="5"/>
        </w:numPr>
        <w:spacing w:after="150" w:line="360" w:lineRule="auto"/>
        <w:jc w:val="both"/>
        <w:rPr>
          <w:lang w:val="en-GB"/>
        </w:rPr>
      </w:pPr>
      <w:r w:rsidRPr="002B497F">
        <w:rPr>
          <w:lang w:val="en-GB"/>
        </w:rPr>
        <w:t>Maslow, A.H. (1943) 'A theory of human motivation', Psychological Review, 50(4), pp. 370-396. https://doi.org/10.1037/h0054346</w:t>
      </w:r>
    </w:p>
    <w:p w14:paraId="344E5F35" w14:textId="77777777" w:rsidR="004C029F" w:rsidRPr="002B497F" w:rsidRDefault="002C607F" w:rsidP="002B497F">
      <w:pPr>
        <w:pStyle w:val="ListParagraph"/>
        <w:numPr>
          <w:ilvl w:val="0"/>
          <w:numId w:val="5"/>
        </w:numPr>
        <w:spacing w:after="150" w:line="360" w:lineRule="auto"/>
        <w:jc w:val="both"/>
        <w:rPr>
          <w:lang w:val="en-GB"/>
        </w:rPr>
      </w:pPr>
      <w:proofErr w:type="spellStart"/>
      <w:r w:rsidRPr="002B497F">
        <w:rPr>
          <w:color w:val="212121"/>
          <w:shd w:val="clear" w:color="auto" w:fill="FFFFFF"/>
          <w:lang w:val="en-GB"/>
        </w:rPr>
        <w:t>McCance</w:t>
      </w:r>
      <w:proofErr w:type="spellEnd"/>
      <w:r w:rsidRPr="002B497F">
        <w:rPr>
          <w:color w:val="212121"/>
          <w:shd w:val="clear" w:color="auto" w:fill="FFFFFF"/>
          <w:lang w:val="en-GB"/>
        </w:rPr>
        <w:t>, T., and McCormack, B. (2025) ‘The Person-centred Nursing Framework: a mid-range theory for nursing practice’, </w:t>
      </w:r>
      <w:r w:rsidRPr="002B497F">
        <w:rPr>
          <w:i/>
          <w:iCs/>
          <w:color w:val="212121"/>
          <w:shd w:val="clear" w:color="auto" w:fill="FFFFFF"/>
          <w:lang w:val="en-GB"/>
        </w:rPr>
        <w:t>Journal of Research in Nursing: JRN</w:t>
      </w:r>
      <w:r w:rsidRPr="002B497F">
        <w:rPr>
          <w:color w:val="212121"/>
          <w:shd w:val="clear" w:color="auto" w:fill="FFFFFF"/>
          <w:lang w:val="en-GB"/>
        </w:rPr>
        <w:t>, </w:t>
      </w:r>
      <w:r w:rsidRPr="002B497F">
        <w:rPr>
          <w:i/>
          <w:iCs/>
          <w:color w:val="212121"/>
          <w:shd w:val="clear" w:color="auto" w:fill="FFFFFF"/>
          <w:lang w:val="en-GB"/>
        </w:rPr>
        <w:t>30</w:t>
      </w:r>
      <w:r w:rsidRPr="002B497F">
        <w:rPr>
          <w:color w:val="212121"/>
          <w:shd w:val="clear" w:color="auto" w:fill="FFFFFF"/>
          <w:lang w:val="en-GB"/>
        </w:rPr>
        <w:t xml:space="preserve">(1), 47–60. </w:t>
      </w:r>
      <w:hyperlink r:id="rId14" w:history="1">
        <w:r w:rsidRPr="002B497F">
          <w:rPr>
            <w:rStyle w:val="Hyperlink"/>
            <w:shd w:val="clear" w:color="auto" w:fill="FFFFFF"/>
            <w:lang w:val="en-GB"/>
          </w:rPr>
          <w:t>https://doi.org/10.1177/17449871241281428</w:t>
        </w:r>
      </w:hyperlink>
      <w:r w:rsidRPr="002B497F">
        <w:rPr>
          <w:color w:val="212121"/>
          <w:shd w:val="clear" w:color="auto" w:fill="FFFFFF"/>
          <w:lang w:val="en-GB"/>
        </w:rPr>
        <w:t xml:space="preserve"> </w:t>
      </w:r>
    </w:p>
    <w:p w14:paraId="58E33CE2" w14:textId="7B999432" w:rsidR="004C029F" w:rsidRPr="002B497F" w:rsidRDefault="00B441DF" w:rsidP="002B497F">
      <w:pPr>
        <w:pStyle w:val="ListParagraph"/>
        <w:numPr>
          <w:ilvl w:val="0"/>
          <w:numId w:val="5"/>
        </w:numPr>
        <w:spacing w:after="150" w:line="360" w:lineRule="auto"/>
        <w:jc w:val="both"/>
        <w:rPr>
          <w:lang w:val="en-GB"/>
        </w:rPr>
      </w:pPr>
      <w:r w:rsidRPr="002B497F">
        <w:rPr>
          <w:lang w:val="en-GB"/>
        </w:rPr>
        <w:t xml:space="preserve">McCormack, B., and </w:t>
      </w:r>
      <w:proofErr w:type="spellStart"/>
      <w:r w:rsidRPr="002B497F">
        <w:rPr>
          <w:lang w:val="en-GB"/>
        </w:rPr>
        <w:t>McCance</w:t>
      </w:r>
      <w:proofErr w:type="spellEnd"/>
      <w:r w:rsidRPr="002B497F">
        <w:rPr>
          <w:lang w:val="en-GB"/>
        </w:rPr>
        <w:t xml:space="preserve">, T. V. (2006) ‘Development of a framework for person-centred nursing’, </w:t>
      </w:r>
      <w:r w:rsidRPr="002B497F">
        <w:rPr>
          <w:i/>
          <w:lang w:val="en-GB"/>
        </w:rPr>
        <w:t>Journal of advanced nursing</w:t>
      </w:r>
      <w:r w:rsidRPr="002B497F">
        <w:rPr>
          <w:lang w:val="en-GB"/>
        </w:rPr>
        <w:t xml:space="preserve">, 56(5), 472–479. </w:t>
      </w:r>
      <w:hyperlink r:id="rId15" w:history="1">
        <w:r w:rsidRPr="002B497F">
          <w:rPr>
            <w:rStyle w:val="Hyperlink"/>
            <w:lang w:val="en-GB"/>
          </w:rPr>
          <w:t>https://doi.org/10.1111/j.1365-2648.2006.04042.x</w:t>
        </w:r>
      </w:hyperlink>
      <w:r w:rsidRPr="002B497F">
        <w:rPr>
          <w:lang w:val="en-GB"/>
        </w:rPr>
        <w:t xml:space="preserve"> </w:t>
      </w:r>
    </w:p>
    <w:p w14:paraId="20A385F7" w14:textId="3356D9CF" w:rsidR="004C029F" w:rsidRPr="002B497F" w:rsidRDefault="0068793D" w:rsidP="002B497F">
      <w:pPr>
        <w:pStyle w:val="ListParagraph"/>
        <w:numPr>
          <w:ilvl w:val="0"/>
          <w:numId w:val="5"/>
        </w:numPr>
        <w:spacing w:after="150" w:line="360" w:lineRule="auto"/>
        <w:jc w:val="both"/>
        <w:rPr>
          <w:lang w:val="en-GB"/>
        </w:rPr>
      </w:pPr>
      <w:r w:rsidRPr="002B497F">
        <w:rPr>
          <w:lang w:val="en-GB"/>
        </w:rPr>
        <w:t xml:space="preserve">McCormack, B., and </w:t>
      </w:r>
      <w:proofErr w:type="spellStart"/>
      <w:r w:rsidRPr="002B497F">
        <w:rPr>
          <w:lang w:val="en-GB"/>
        </w:rPr>
        <w:t>McCance</w:t>
      </w:r>
      <w:proofErr w:type="spellEnd"/>
      <w:r w:rsidRPr="002B497F">
        <w:rPr>
          <w:lang w:val="en-GB"/>
        </w:rPr>
        <w:t xml:space="preserve">, T. (2010) </w:t>
      </w:r>
      <w:r w:rsidRPr="002B497F">
        <w:rPr>
          <w:i/>
          <w:lang w:val="en-GB"/>
        </w:rPr>
        <w:t>Person-Centred Nursing: Theory and Practice.</w:t>
      </w:r>
      <w:r w:rsidRPr="002B497F">
        <w:rPr>
          <w:lang w:val="en-GB"/>
        </w:rPr>
        <w:t xml:space="preserve"> Oxford: Wiley-Blackwell.</w:t>
      </w:r>
    </w:p>
    <w:p w14:paraId="1D228CC9" w14:textId="049754EB" w:rsidR="004C029F" w:rsidRPr="002B497F" w:rsidRDefault="005410DB" w:rsidP="002B497F">
      <w:pPr>
        <w:pStyle w:val="ListParagraph"/>
        <w:numPr>
          <w:ilvl w:val="0"/>
          <w:numId w:val="5"/>
        </w:numPr>
        <w:spacing w:after="150" w:line="360" w:lineRule="auto"/>
        <w:jc w:val="both"/>
        <w:rPr>
          <w:lang w:val="en-GB"/>
        </w:rPr>
      </w:pPr>
      <w:r w:rsidRPr="002B497F">
        <w:rPr>
          <w:lang w:val="en-GB"/>
        </w:rPr>
        <w:t xml:space="preserve">NHS England (2019) </w:t>
      </w:r>
      <w:r w:rsidR="009E2673" w:rsidRPr="002B497F">
        <w:rPr>
          <w:i/>
          <w:lang w:val="en-GB"/>
        </w:rPr>
        <w:t>Creating a new 10 Year Health Plan</w:t>
      </w:r>
      <w:r w:rsidRPr="002B497F">
        <w:rPr>
          <w:i/>
          <w:lang w:val="en-GB"/>
        </w:rPr>
        <w:t>.</w:t>
      </w:r>
      <w:r w:rsidRPr="002B497F">
        <w:rPr>
          <w:lang w:val="en-GB"/>
        </w:rPr>
        <w:t xml:space="preserve"> </w:t>
      </w:r>
      <w:r w:rsidR="009E2673" w:rsidRPr="002B497F">
        <w:rPr>
          <w:lang w:val="en-GB"/>
        </w:rPr>
        <w:t xml:space="preserve">Available at: </w:t>
      </w:r>
      <w:hyperlink r:id="rId16" w:history="1">
        <w:r w:rsidR="009E2673" w:rsidRPr="002B497F">
          <w:rPr>
            <w:rStyle w:val="Hyperlink"/>
            <w:lang w:val="en-GB"/>
          </w:rPr>
          <w:t>https://webarchive.nationalarchives.gov.uk/ukgwa/20250511091243/https://www.longtermplan.nhs.uk/</w:t>
        </w:r>
      </w:hyperlink>
      <w:r w:rsidR="009E2673" w:rsidRPr="002B497F">
        <w:rPr>
          <w:lang w:val="en-GB"/>
        </w:rPr>
        <w:t xml:space="preserve"> </w:t>
      </w:r>
    </w:p>
    <w:p w14:paraId="517FB47D" w14:textId="5DB6745E" w:rsidR="004C029F" w:rsidRPr="002B497F" w:rsidRDefault="003231CE" w:rsidP="002B497F">
      <w:pPr>
        <w:pStyle w:val="ListParagraph"/>
        <w:numPr>
          <w:ilvl w:val="0"/>
          <w:numId w:val="5"/>
        </w:numPr>
        <w:spacing w:after="150" w:line="360" w:lineRule="auto"/>
        <w:jc w:val="both"/>
        <w:rPr>
          <w:lang w:val="en-GB"/>
        </w:rPr>
      </w:pPr>
      <w:r w:rsidRPr="002B497F">
        <w:rPr>
          <w:i/>
          <w:lang w:val="en-GB"/>
        </w:rPr>
        <w:t xml:space="preserve">Social Services and Well-being (Wales) Act 2014, </w:t>
      </w:r>
      <w:proofErr w:type="spellStart"/>
      <w:r w:rsidRPr="002B497F">
        <w:rPr>
          <w:i/>
          <w:lang w:val="en-GB"/>
        </w:rPr>
        <w:t>anaw</w:t>
      </w:r>
      <w:proofErr w:type="spellEnd"/>
      <w:r w:rsidRPr="002B497F">
        <w:rPr>
          <w:i/>
          <w:lang w:val="en-GB"/>
        </w:rPr>
        <w:t xml:space="preserve"> 4.</w:t>
      </w:r>
      <w:r w:rsidRPr="002B497F">
        <w:rPr>
          <w:lang w:val="en-GB"/>
        </w:rPr>
        <w:t xml:space="preserve"> Available at: </w:t>
      </w:r>
      <w:hyperlink r:id="rId17" w:history="1">
        <w:r w:rsidRPr="002B497F">
          <w:rPr>
            <w:rStyle w:val="Hyperlink"/>
            <w:lang w:val="en-GB"/>
          </w:rPr>
          <w:t>https://www.legislation.gov.uk/anaw/2014/4/contents</w:t>
        </w:r>
      </w:hyperlink>
      <w:r w:rsidRPr="002B497F">
        <w:rPr>
          <w:lang w:val="en-GB"/>
        </w:rPr>
        <w:t xml:space="preserve"> (Accessed: 19 July 2026).</w:t>
      </w:r>
    </w:p>
    <w:p w14:paraId="2B3C0577" w14:textId="0E06F628" w:rsidR="004C029F" w:rsidRPr="002B497F" w:rsidRDefault="002B497F" w:rsidP="002B497F">
      <w:pPr>
        <w:pStyle w:val="ListParagraph"/>
        <w:numPr>
          <w:ilvl w:val="0"/>
          <w:numId w:val="5"/>
        </w:numPr>
        <w:spacing w:after="150" w:line="360" w:lineRule="auto"/>
        <w:jc w:val="both"/>
        <w:rPr>
          <w:lang w:val="en-GB"/>
        </w:rPr>
      </w:pPr>
      <w:proofErr w:type="spellStart"/>
      <w:r w:rsidRPr="002B497F">
        <w:rPr>
          <w:color w:val="333333"/>
          <w:shd w:val="clear" w:color="auto" w:fill="FFFFFF"/>
          <w:lang w:val="en-GB"/>
        </w:rPr>
        <w:lastRenderedPageBreak/>
        <w:t>Wahba</w:t>
      </w:r>
      <w:proofErr w:type="spellEnd"/>
      <w:r w:rsidRPr="002B497F">
        <w:rPr>
          <w:color w:val="333333"/>
          <w:shd w:val="clear" w:color="auto" w:fill="FFFFFF"/>
          <w:lang w:val="en-GB"/>
        </w:rPr>
        <w:t xml:space="preserve">, M. A., and </w:t>
      </w:r>
      <w:proofErr w:type="spellStart"/>
      <w:r w:rsidRPr="002B497F">
        <w:rPr>
          <w:color w:val="333333"/>
          <w:shd w:val="clear" w:color="auto" w:fill="FFFFFF"/>
          <w:lang w:val="en-GB"/>
        </w:rPr>
        <w:t>Bridwell</w:t>
      </w:r>
      <w:proofErr w:type="spellEnd"/>
      <w:r w:rsidRPr="002B497F">
        <w:rPr>
          <w:color w:val="333333"/>
          <w:shd w:val="clear" w:color="auto" w:fill="FFFFFF"/>
          <w:lang w:val="en-GB"/>
        </w:rPr>
        <w:t>, L. G. (1976) ‘Maslow reconsidered: A review of research on the need hierarchy theory’, </w:t>
      </w:r>
      <w:r w:rsidRPr="002B497F">
        <w:rPr>
          <w:rStyle w:val="Emphasis"/>
          <w:color w:val="333333"/>
          <w:shd w:val="clear" w:color="auto" w:fill="FFFFFF"/>
          <w:lang w:val="en-GB"/>
        </w:rPr>
        <w:t xml:space="preserve">Organizational </w:t>
      </w:r>
      <w:proofErr w:type="spellStart"/>
      <w:r w:rsidRPr="002B497F">
        <w:rPr>
          <w:rStyle w:val="Emphasis"/>
          <w:color w:val="333333"/>
          <w:shd w:val="clear" w:color="auto" w:fill="FFFFFF"/>
          <w:lang w:val="en-GB"/>
        </w:rPr>
        <w:t>Behavior</w:t>
      </w:r>
      <w:proofErr w:type="spellEnd"/>
      <w:r w:rsidRPr="002B497F">
        <w:rPr>
          <w:rStyle w:val="Emphasis"/>
          <w:color w:val="333333"/>
          <w:shd w:val="clear" w:color="auto" w:fill="FFFFFF"/>
          <w:lang w:val="en-GB"/>
        </w:rPr>
        <w:t xml:space="preserve"> &amp; Human Performance, 15</w:t>
      </w:r>
      <w:r w:rsidRPr="002B497F">
        <w:rPr>
          <w:color w:val="333333"/>
          <w:shd w:val="clear" w:color="auto" w:fill="FFFFFF"/>
          <w:lang w:val="en-GB"/>
        </w:rPr>
        <w:t>(2), 212–240. </w:t>
      </w:r>
      <w:hyperlink r:id="rId18" w:tgtFrame="_blank" w:history="1">
        <w:r w:rsidRPr="002B497F">
          <w:rPr>
            <w:rStyle w:val="Hyperlink"/>
            <w:color w:val="2C72B7"/>
            <w:shd w:val="clear" w:color="auto" w:fill="FFFFFF"/>
            <w:lang w:val="en-GB"/>
          </w:rPr>
          <w:t>https://doi.org/10.1016/0030-5073(76)90038-6</w:t>
        </w:r>
      </w:hyperlink>
      <w:r w:rsidR="00604C17" w:rsidRPr="002B497F">
        <w:rPr>
          <w:lang w:val="en-GB"/>
        </w:rPr>
        <w:t xml:space="preserve"> </w:t>
      </w:r>
    </w:p>
    <w:p w14:paraId="3DA74E05" w14:textId="72D6D794" w:rsidR="004C029F" w:rsidRDefault="009855B3" w:rsidP="002B497F">
      <w:pPr>
        <w:pStyle w:val="ListParagraph"/>
        <w:numPr>
          <w:ilvl w:val="0"/>
          <w:numId w:val="5"/>
        </w:numPr>
        <w:spacing w:after="150" w:line="360" w:lineRule="auto"/>
        <w:jc w:val="both"/>
        <w:rPr>
          <w:lang w:val="en-GB"/>
        </w:rPr>
      </w:pPr>
      <w:r w:rsidRPr="002B497F">
        <w:rPr>
          <w:lang w:val="en-GB"/>
        </w:rPr>
        <w:t xml:space="preserve">Well-being of Future Generations (Wales) Act 2015, anaw2. Available at: </w:t>
      </w:r>
      <w:hyperlink r:id="rId19" w:history="1">
        <w:r w:rsidRPr="002B497F">
          <w:rPr>
            <w:rStyle w:val="Hyperlink"/>
            <w:lang w:val="en-GB"/>
          </w:rPr>
          <w:t>https://www.legislation.gov.uk/anaw/2015/2/contents</w:t>
        </w:r>
      </w:hyperlink>
      <w:r w:rsidRPr="002B497F">
        <w:rPr>
          <w:lang w:val="en-GB"/>
        </w:rPr>
        <w:t xml:space="preserve"> (Accessed: 21 July 2026).</w:t>
      </w:r>
    </w:p>
    <w:p w14:paraId="37193FD4" w14:textId="203EC148" w:rsidR="003E2954" w:rsidRPr="002B497F" w:rsidRDefault="003E2954" w:rsidP="003E2954">
      <w:pPr>
        <w:pStyle w:val="ListParagraph"/>
        <w:numPr>
          <w:ilvl w:val="0"/>
          <w:numId w:val="5"/>
        </w:numPr>
        <w:spacing w:after="150" w:line="360" w:lineRule="auto"/>
        <w:jc w:val="both"/>
        <w:rPr>
          <w:lang w:val="en-GB"/>
        </w:rPr>
      </w:pPr>
      <w:r w:rsidRPr="003E2954">
        <w:rPr>
          <w:i/>
          <w:lang w:val="en-GB"/>
        </w:rPr>
        <w:t>Welsh Act 2014, C.29.</w:t>
      </w:r>
      <w:r>
        <w:rPr>
          <w:lang w:val="en-GB"/>
        </w:rPr>
        <w:t xml:space="preserve"> Available at: </w:t>
      </w:r>
      <w:hyperlink r:id="rId20" w:history="1">
        <w:r w:rsidRPr="00EE2040">
          <w:rPr>
            <w:rStyle w:val="Hyperlink"/>
            <w:lang w:val="en-GB"/>
          </w:rPr>
          <w:t>https://www.legislation.gov.uk/ukpga/2014/29/contents</w:t>
        </w:r>
      </w:hyperlink>
      <w:r>
        <w:rPr>
          <w:lang w:val="en-GB"/>
        </w:rPr>
        <w:t xml:space="preserve"> (Accessed: 19 July 2026).</w:t>
      </w:r>
    </w:p>
    <w:p w14:paraId="5668E085" w14:textId="77777777" w:rsidR="004C029F" w:rsidRPr="002B497F" w:rsidRDefault="009855B3" w:rsidP="002B497F">
      <w:pPr>
        <w:pStyle w:val="ListParagraph"/>
        <w:numPr>
          <w:ilvl w:val="0"/>
          <w:numId w:val="5"/>
        </w:numPr>
        <w:spacing w:after="150" w:line="360" w:lineRule="auto"/>
        <w:jc w:val="both"/>
        <w:rPr>
          <w:sz w:val="24"/>
          <w:szCs w:val="24"/>
          <w:lang w:val="en-GB"/>
        </w:rPr>
      </w:pPr>
      <w:proofErr w:type="spellStart"/>
      <w:r w:rsidRPr="002B497F">
        <w:rPr>
          <w:lang w:val="en-GB"/>
        </w:rPr>
        <w:t>Zalenski</w:t>
      </w:r>
      <w:proofErr w:type="spellEnd"/>
      <w:r w:rsidRPr="002B497F">
        <w:rPr>
          <w:lang w:val="en-GB"/>
        </w:rPr>
        <w:t xml:space="preserve">, R.J. and </w:t>
      </w:r>
      <w:proofErr w:type="spellStart"/>
      <w:r w:rsidRPr="002B497F">
        <w:rPr>
          <w:lang w:val="en-GB"/>
        </w:rPr>
        <w:t>Raspa</w:t>
      </w:r>
      <w:proofErr w:type="spellEnd"/>
      <w:r w:rsidRPr="002B497F">
        <w:rPr>
          <w:lang w:val="en-GB"/>
        </w:rPr>
        <w:t>, R. (2006) "Maslow's hierarchy of needs: a framework for achieving human potential in hospice", Journal of Palliative Medicine, 9(5), pp. 1120-1127. https://doi.org/10.1089/jpm.2006.9.1120</w:t>
      </w:r>
    </w:p>
    <w:sectPr w:rsidR="004C029F" w:rsidRPr="002B497F">
      <w:footerReference w:type="default" r:id="rId2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5829E" w14:textId="77777777" w:rsidR="00C00E59" w:rsidRDefault="00C00E59">
      <w:r>
        <w:separator/>
      </w:r>
    </w:p>
  </w:endnote>
  <w:endnote w:type="continuationSeparator" w:id="0">
    <w:p w14:paraId="47C93D4F" w14:textId="77777777" w:rsidR="00C00E59" w:rsidRDefault="00C00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27966" w14:textId="4E2E2AE7" w:rsidR="003464FA" w:rsidRDefault="003464FA">
    <w:pPr>
      <w:jc w:val="center"/>
    </w:pPr>
    <w:r>
      <w:rPr>
        <w:sz w:val="20"/>
        <w:szCs w:val="20"/>
      </w:rPr>
      <w:fldChar w:fldCharType="begin"/>
    </w:r>
    <w:r>
      <w:rPr>
        <w:sz w:val="20"/>
        <w:szCs w:val="20"/>
      </w:rPr>
      <w:instrText>PAGE</w:instrText>
    </w:r>
    <w:r>
      <w:rPr>
        <w:sz w:val="20"/>
        <w:szCs w:val="20"/>
      </w:rPr>
      <w:fldChar w:fldCharType="separate"/>
    </w:r>
    <w:r w:rsidR="00F30234">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4DF779" w14:textId="77777777" w:rsidR="00C00E59" w:rsidRDefault="00C00E59">
      <w:r>
        <w:separator/>
      </w:r>
    </w:p>
  </w:footnote>
  <w:footnote w:type="continuationSeparator" w:id="0">
    <w:p w14:paraId="79C232FA" w14:textId="77777777" w:rsidR="00C00E59" w:rsidRDefault="00C00E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97320"/>
    <w:multiLevelType w:val="hybridMultilevel"/>
    <w:tmpl w:val="A0707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7764F3"/>
    <w:multiLevelType w:val="hybridMultilevel"/>
    <w:tmpl w:val="2A56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E33A27"/>
    <w:multiLevelType w:val="hybridMultilevel"/>
    <w:tmpl w:val="C054D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871CB9"/>
    <w:multiLevelType w:val="hybridMultilevel"/>
    <w:tmpl w:val="49B06AEE"/>
    <w:lvl w:ilvl="0" w:tplc="A1164FE4">
      <w:start w:val="1"/>
      <w:numFmt w:val="bullet"/>
      <w:lvlText w:val="●"/>
      <w:lvlJc w:val="left"/>
      <w:pPr>
        <w:ind w:left="720" w:hanging="360"/>
      </w:pPr>
    </w:lvl>
    <w:lvl w:ilvl="1" w:tplc="4628E4F0">
      <w:start w:val="1"/>
      <w:numFmt w:val="bullet"/>
      <w:lvlText w:val="○"/>
      <w:lvlJc w:val="left"/>
      <w:pPr>
        <w:ind w:left="1440" w:hanging="360"/>
      </w:pPr>
    </w:lvl>
    <w:lvl w:ilvl="2" w:tplc="70527A24">
      <w:start w:val="1"/>
      <w:numFmt w:val="bullet"/>
      <w:lvlText w:val="■"/>
      <w:lvlJc w:val="left"/>
      <w:pPr>
        <w:ind w:left="2160" w:hanging="360"/>
      </w:pPr>
    </w:lvl>
    <w:lvl w:ilvl="3" w:tplc="1B02893E">
      <w:start w:val="1"/>
      <w:numFmt w:val="bullet"/>
      <w:lvlText w:val="●"/>
      <w:lvlJc w:val="left"/>
      <w:pPr>
        <w:ind w:left="2880" w:hanging="360"/>
      </w:pPr>
    </w:lvl>
    <w:lvl w:ilvl="4" w:tplc="A98E5FBC">
      <w:start w:val="1"/>
      <w:numFmt w:val="bullet"/>
      <w:lvlText w:val="○"/>
      <w:lvlJc w:val="left"/>
      <w:pPr>
        <w:ind w:left="3600" w:hanging="360"/>
      </w:pPr>
    </w:lvl>
    <w:lvl w:ilvl="5" w:tplc="2FB6E836">
      <w:start w:val="1"/>
      <w:numFmt w:val="bullet"/>
      <w:lvlText w:val="■"/>
      <w:lvlJc w:val="left"/>
      <w:pPr>
        <w:ind w:left="4320" w:hanging="360"/>
      </w:pPr>
    </w:lvl>
    <w:lvl w:ilvl="6" w:tplc="E7AE90DC">
      <w:start w:val="1"/>
      <w:numFmt w:val="bullet"/>
      <w:lvlText w:val="●"/>
      <w:lvlJc w:val="left"/>
      <w:pPr>
        <w:ind w:left="5040" w:hanging="360"/>
      </w:pPr>
    </w:lvl>
    <w:lvl w:ilvl="7" w:tplc="C9E4ED64">
      <w:start w:val="1"/>
      <w:numFmt w:val="bullet"/>
      <w:lvlText w:val="●"/>
      <w:lvlJc w:val="left"/>
      <w:pPr>
        <w:ind w:left="5760" w:hanging="360"/>
      </w:pPr>
    </w:lvl>
    <w:lvl w:ilvl="8" w:tplc="DF1A88A6">
      <w:start w:val="1"/>
      <w:numFmt w:val="bullet"/>
      <w:lvlText w:val="●"/>
      <w:lvlJc w:val="left"/>
      <w:pPr>
        <w:ind w:left="6480" w:hanging="360"/>
      </w:pPr>
    </w:lvl>
  </w:abstractNum>
  <w:abstractNum w:abstractNumId="4" w15:restartNumberingAfterBreak="0">
    <w:nsid w:val="73B36A00"/>
    <w:multiLevelType w:val="hybridMultilevel"/>
    <w:tmpl w:val="C42ED2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lvlOverride w:ilvl="0">
      <w:startOverride w:val="1"/>
    </w:lvlOverride>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jS0NLI0NTUwNjE0tDRX0lEKTi0uzszPAykwqgUAn3dJRywAAAA="/>
  </w:docVars>
  <w:rsids>
    <w:rsidRoot w:val="004C029F"/>
    <w:rsid w:val="000113CF"/>
    <w:rsid w:val="00033AA7"/>
    <w:rsid w:val="00041BD9"/>
    <w:rsid w:val="000C2E70"/>
    <w:rsid w:val="000E3EAE"/>
    <w:rsid w:val="000F191C"/>
    <w:rsid w:val="00116F6D"/>
    <w:rsid w:val="001560EF"/>
    <w:rsid w:val="00163B7B"/>
    <w:rsid w:val="00166849"/>
    <w:rsid w:val="001D1E13"/>
    <w:rsid w:val="001D3C00"/>
    <w:rsid w:val="001F3571"/>
    <w:rsid w:val="002015C4"/>
    <w:rsid w:val="00207070"/>
    <w:rsid w:val="0027671B"/>
    <w:rsid w:val="00284C0D"/>
    <w:rsid w:val="002A26C5"/>
    <w:rsid w:val="002B162E"/>
    <w:rsid w:val="002B497F"/>
    <w:rsid w:val="002B6DB5"/>
    <w:rsid w:val="002C607F"/>
    <w:rsid w:val="003231CE"/>
    <w:rsid w:val="00335E12"/>
    <w:rsid w:val="003464FA"/>
    <w:rsid w:val="003A63AA"/>
    <w:rsid w:val="003B4F1A"/>
    <w:rsid w:val="003E2954"/>
    <w:rsid w:val="00404106"/>
    <w:rsid w:val="00407FD0"/>
    <w:rsid w:val="0041307B"/>
    <w:rsid w:val="00431D14"/>
    <w:rsid w:val="00493CEA"/>
    <w:rsid w:val="0049648D"/>
    <w:rsid w:val="004A624E"/>
    <w:rsid w:val="004B30CA"/>
    <w:rsid w:val="004C029F"/>
    <w:rsid w:val="004C6841"/>
    <w:rsid w:val="004E1518"/>
    <w:rsid w:val="00502896"/>
    <w:rsid w:val="005410DB"/>
    <w:rsid w:val="00542892"/>
    <w:rsid w:val="00561298"/>
    <w:rsid w:val="00575D89"/>
    <w:rsid w:val="005E1094"/>
    <w:rsid w:val="00604C17"/>
    <w:rsid w:val="006343C2"/>
    <w:rsid w:val="00686847"/>
    <w:rsid w:val="0068793D"/>
    <w:rsid w:val="00736AC3"/>
    <w:rsid w:val="007375AE"/>
    <w:rsid w:val="00741F89"/>
    <w:rsid w:val="00792540"/>
    <w:rsid w:val="007D2AA6"/>
    <w:rsid w:val="007D2D54"/>
    <w:rsid w:val="00800A35"/>
    <w:rsid w:val="008136D3"/>
    <w:rsid w:val="00835D52"/>
    <w:rsid w:val="008471F3"/>
    <w:rsid w:val="00852C92"/>
    <w:rsid w:val="00872999"/>
    <w:rsid w:val="008C3AC9"/>
    <w:rsid w:val="008D7EC1"/>
    <w:rsid w:val="008E6F76"/>
    <w:rsid w:val="00946479"/>
    <w:rsid w:val="009855B3"/>
    <w:rsid w:val="009A1AB6"/>
    <w:rsid w:val="009A7667"/>
    <w:rsid w:val="009E159A"/>
    <w:rsid w:val="009E2673"/>
    <w:rsid w:val="00A2197C"/>
    <w:rsid w:val="00A41936"/>
    <w:rsid w:val="00A51314"/>
    <w:rsid w:val="00A7764A"/>
    <w:rsid w:val="00B441DF"/>
    <w:rsid w:val="00B70FB5"/>
    <w:rsid w:val="00BE2897"/>
    <w:rsid w:val="00C00E59"/>
    <w:rsid w:val="00C04EF2"/>
    <w:rsid w:val="00C459C6"/>
    <w:rsid w:val="00CB6B04"/>
    <w:rsid w:val="00D177C9"/>
    <w:rsid w:val="00D23E88"/>
    <w:rsid w:val="00D501F7"/>
    <w:rsid w:val="00DC438C"/>
    <w:rsid w:val="00DC6BCA"/>
    <w:rsid w:val="00DE2235"/>
    <w:rsid w:val="00DF172F"/>
    <w:rsid w:val="00DF66AE"/>
    <w:rsid w:val="00E24CE8"/>
    <w:rsid w:val="00E311D5"/>
    <w:rsid w:val="00E550EF"/>
    <w:rsid w:val="00E77A20"/>
    <w:rsid w:val="00E83348"/>
    <w:rsid w:val="00EB5ABA"/>
    <w:rsid w:val="00F239C9"/>
    <w:rsid w:val="00F30234"/>
    <w:rsid w:val="00F77B49"/>
    <w:rsid w:val="00FC7144"/>
    <w:rsid w:val="00FD6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36182"/>
  <w15:docId w15:val="{DD1BDEA4-F812-43F3-8E4A-E8AA5D95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16F6D"/>
    <w:pPr>
      <w:tabs>
        <w:tab w:val="center" w:pos="4680"/>
        <w:tab w:val="right" w:pos="9360"/>
      </w:tabs>
    </w:pPr>
  </w:style>
  <w:style w:type="character" w:customStyle="1" w:styleId="HeaderChar">
    <w:name w:val="Header Char"/>
    <w:basedOn w:val="DefaultParagraphFont"/>
    <w:link w:val="Header"/>
    <w:uiPriority w:val="99"/>
    <w:rsid w:val="00116F6D"/>
  </w:style>
  <w:style w:type="paragraph" w:styleId="Footer">
    <w:name w:val="footer"/>
    <w:basedOn w:val="Normal"/>
    <w:link w:val="FooterChar"/>
    <w:uiPriority w:val="99"/>
    <w:unhideWhenUsed/>
    <w:rsid w:val="00116F6D"/>
    <w:pPr>
      <w:tabs>
        <w:tab w:val="center" w:pos="4680"/>
        <w:tab w:val="right" w:pos="9360"/>
      </w:tabs>
    </w:pPr>
  </w:style>
  <w:style w:type="character" w:customStyle="1" w:styleId="FooterChar">
    <w:name w:val="Footer Char"/>
    <w:basedOn w:val="DefaultParagraphFont"/>
    <w:link w:val="Footer"/>
    <w:uiPriority w:val="99"/>
    <w:rsid w:val="00116F6D"/>
  </w:style>
  <w:style w:type="character" w:customStyle="1" w:styleId="cursor-pointer">
    <w:name w:val="cursor-pointer"/>
    <w:basedOn w:val="DefaultParagraphFont"/>
    <w:rsid w:val="00FC7144"/>
  </w:style>
  <w:style w:type="paragraph" w:styleId="TOCHeading">
    <w:name w:val="TOC Heading"/>
    <w:basedOn w:val="Heading1"/>
    <w:next w:val="Normal"/>
    <w:uiPriority w:val="39"/>
    <w:unhideWhenUsed/>
    <w:qFormat/>
    <w:rsid w:val="001D3C00"/>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1D3C00"/>
    <w:pPr>
      <w:spacing w:after="100"/>
    </w:pPr>
  </w:style>
  <w:style w:type="paragraph" w:styleId="NormalWeb">
    <w:name w:val="Normal (Web)"/>
    <w:basedOn w:val="Normal"/>
    <w:uiPriority w:val="99"/>
    <w:semiHidden/>
    <w:unhideWhenUsed/>
    <w:rsid w:val="00DF66AE"/>
    <w:pPr>
      <w:spacing w:before="100" w:beforeAutospacing="1" w:after="100" w:afterAutospacing="1"/>
    </w:pPr>
    <w:rPr>
      <w:rFonts w:ascii="Times New Roman" w:eastAsiaTheme="minorEastAsia" w:hAnsi="Times New Roman" w:cs="Times New Roman"/>
      <w:sz w:val="24"/>
      <w:szCs w:val="24"/>
      <w:lang w:eastAsia="en-GB"/>
    </w:rPr>
  </w:style>
  <w:style w:type="table" w:styleId="TableGrid">
    <w:name w:val="Table Grid"/>
    <w:basedOn w:val="TableNormal"/>
    <w:uiPriority w:val="39"/>
    <w:rsid w:val="00DF6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B497F"/>
    <w:rPr>
      <w:i/>
      <w:iCs/>
    </w:rPr>
  </w:style>
  <w:style w:type="table" w:styleId="GridTable4-Accent4">
    <w:name w:val="Grid Table 4 Accent 4"/>
    <w:basedOn w:val="TableNormal"/>
    <w:uiPriority w:val="49"/>
    <w:rsid w:val="00575D89"/>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575D89"/>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603886">
      <w:bodyDiv w:val="1"/>
      <w:marLeft w:val="0"/>
      <w:marRight w:val="0"/>
      <w:marTop w:val="0"/>
      <w:marBottom w:val="0"/>
      <w:divBdr>
        <w:top w:val="none" w:sz="0" w:space="0" w:color="auto"/>
        <w:left w:val="none" w:sz="0" w:space="0" w:color="auto"/>
        <w:bottom w:val="none" w:sz="0" w:space="0" w:color="auto"/>
        <w:right w:val="none" w:sz="0" w:space="0" w:color="auto"/>
      </w:divBdr>
    </w:div>
    <w:div w:id="1036857616">
      <w:bodyDiv w:val="1"/>
      <w:marLeft w:val="0"/>
      <w:marRight w:val="0"/>
      <w:marTop w:val="0"/>
      <w:marBottom w:val="0"/>
      <w:divBdr>
        <w:top w:val="none" w:sz="0" w:space="0" w:color="auto"/>
        <w:left w:val="none" w:sz="0" w:space="0" w:color="auto"/>
        <w:bottom w:val="none" w:sz="0" w:space="0" w:color="auto"/>
        <w:right w:val="none" w:sz="0" w:space="0" w:color="auto"/>
      </w:divBdr>
    </w:div>
    <w:div w:id="1528374799">
      <w:bodyDiv w:val="1"/>
      <w:marLeft w:val="0"/>
      <w:marRight w:val="0"/>
      <w:marTop w:val="0"/>
      <w:marBottom w:val="0"/>
      <w:divBdr>
        <w:top w:val="none" w:sz="0" w:space="0" w:color="auto"/>
        <w:left w:val="none" w:sz="0" w:space="0" w:color="auto"/>
        <w:bottom w:val="none" w:sz="0" w:space="0" w:color="auto"/>
        <w:right w:val="none" w:sz="0" w:space="0" w:color="auto"/>
      </w:divBdr>
    </w:div>
    <w:div w:id="2033215949">
      <w:bodyDiv w:val="1"/>
      <w:marLeft w:val="0"/>
      <w:marRight w:val="0"/>
      <w:marTop w:val="0"/>
      <w:marBottom w:val="0"/>
      <w:divBdr>
        <w:top w:val="none" w:sz="0" w:space="0" w:color="auto"/>
        <w:left w:val="none" w:sz="0" w:space="0" w:color="auto"/>
        <w:bottom w:val="none" w:sz="0" w:space="0" w:color="auto"/>
        <w:right w:val="none" w:sz="0" w:space="0" w:color="auto"/>
      </w:divBdr>
    </w:div>
    <w:div w:id="2091151605">
      <w:bodyDiv w:val="1"/>
      <w:marLeft w:val="0"/>
      <w:marRight w:val="0"/>
      <w:marTop w:val="0"/>
      <w:marBottom w:val="0"/>
      <w:divBdr>
        <w:top w:val="none" w:sz="0" w:space="0" w:color="auto"/>
        <w:left w:val="none" w:sz="0" w:space="0" w:color="auto"/>
        <w:bottom w:val="none" w:sz="0" w:space="0" w:color="auto"/>
        <w:right w:val="none" w:sz="0" w:space="0" w:color="auto"/>
      </w:divBdr>
      <w:divsChild>
        <w:div w:id="2048678545">
          <w:marLeft w:val="0"/>
          <w:marRight w:val="0"/>
          <w:marTop w:val="0"/>
          <w:marBottom w:val="0"/>
          <w:divBdr>
            <w:top w:val="none" w:sz="0" w:space="0" w:color="auto"/>
            <w:left w:val="none" w:sz="0" w:space="0" w:color="auto"/>
            <w:bottom w:val="single" w:sz="6" w:space="23" w:color="E1E4E6"/>
            <w:right w:val="none" w:sz="0" w:space="0" w:color="auto"/>
          </w:divBdr>
          <w:divsChild>
            <w:div w:id="1214392362">
              <w:marLeft w:val="0"/>
              <w:marRight w:val="0"/>
              <w:marTop w:val="450"/>
              <w:marBottom w:val="0"/>
              <w:divBdr>
                <w:top w:val="none" w:sz="0" w:space="0" w:color="auto"/>
                <w:left w:val="none" w:sz="0" w:space="0" w:color="auto"/>
                <w:bottom w:val="none" w:sz="0" w:space="0" w:color="auto"/>
                <w:right w:val="none" w:sz="0" w:space="0" w:color="auto"/>
              </w:divBdr>
              <w:divsChild>
                <w:div w:id="254823311">
                  <w:marLeft w:val="0"/>
                  <w:marRight w:val="0"/>
                  <w:marTop w:val="0"/>
                  <w:marBottom w:val="0"/>
                  <w:divBdr>
                    <w:top w:val="none" w:sz="0" w:space="0" w:color="auto"/>
                    <w:left w:val="none" w:sz="0" w:space="0" w:color="auto"/>
                    <w:bottom w:val="none" w:sz="0" w:space="0" w:color="auto"/>
                    <w:right w:val="none" w:sz="0" w:space="0" w:color="auto"/>
                  </w:divBdr>
                  <w:divsChild>
                    <w:div w:id="262803130">
                      <w:marLeft w:val="0"/>
                      <w:marRight w:val="0"/>
                      <w:marTop w:val="0"/>
                      <w:marBottom w:val="0"/>
                      <w:divBdr>
                        <w:top w:val="none" w:sz="0" w:space="0" w:color="auto"/>
                        <w:left w:val="none" w:sz="0" w:space="0" w:color="auto"/>
                        <w:bottom w:val="none" w:sz="0" w:space="0" w:color="auto"/>
                        <w:right w:val="none" w:sz="0" w:space="0" w:color="auto"/>
                      </w:divBdr>
                      <w:divsChild>
                        <w:div w:id="946081273">
                          <w:marLeft w:val="0"/>
                          <w:marRight w:val="0"/>
                          <w:marTop w:val="0"/>
                          <w:marBottom w:val="0"/>
                          <w:divBdr>
                            <w:top w:val="none" w:sz="0" w:space="0" w:color="auto"/>
                            <w:left w:val="none" w:sz="0" w:space="0" w:color="auto"/>
                            <w:bottom w:val="none" w:sz="0" w:space="0" w:color="auto"/>
                            <w:right w:val="none" w:sz="0" w:space="0" w:color="auto"/>
                          </w:divBdr>
                          <w:divsChild>
                            <w:div w:id="74862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61820.2024.2405550" TargetMode="External"/><Relationship Id="rId13" Type="http://schemas.openxmlformats.org/officeDocument/2006/relationships/hyperlink" Target="https://doi.org/10.7812/TPP/04.889" TargetMode="External"/><Relationship Id="rId18" Type="http://schemas.openxmlformats.org/officeDocument/2006/relationships/hyperlink" Target="https://psycnet.apa.org/doi/10.1016/0030-5073(76)90038-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kingsfund.org.uk/insight-and-analysis/data-and-charts/integrated-care-systems-health-and-care-act" TargetMode="External"/><Relationship Id="rId17" Type="http://schemas.openxmlformats.org/officeDocument/2006/relationships/hyperlink" Target="https://www.legislation.gov.uk/anaw/2014/4/contents" TargetMode="External"/><Relationship Id="rId2" Type="http://schemas.openxmlformats.org/officeDocument/2006/relationships/numbering" Target="numbering.xml"/><Relationship Id="rId16" Type="http://schemas.openxmlformats.org/officeDocument/2006/relationships/hyperlink" Target="https://webarchive.nationalarchives.gov.uk/ukgwa/20250511091243/https://www.longtermplan.nhs.uk/" TargetMode="External"/><Relationship Id="rId20" Type="http://schemas.openxmlformats.org/officeDocument/2006/relationships/hyperlink" Target="https://www.legislation.gov.uk/ukpga/2014/29/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2/31/contents" TargetMode="External"/><Relationship Id="rId5" Type="http://schemas.openxmlformats.org/officeDocument/2006/relationships/webSettings" Target="webSettings.xml"/><Relationship Id="rId15" Type="http://schemas.openxmlformats.org/officeDocument/2006/relationships/hyperlink" Target="https://doi.org/10.1111/j.1365-2648.2006.04042.x" TargetMode="External"/><Relationship Id="rId23" Type="http://schemas.openxmlformats.org/officeDocument/2006/relationships/theme" Target="theme/theme1.xml"/><Relationship Id="rId10" Type="http://schemas.openxmlformats.org/officeDocument/2006/relationships/hyperlink" Target="https://doi.org/10.1186/1472-6963-14-271" TargetMode="External"/><Relationship Id="rId19" Type="http://schemas.openxmlformats.org/officeDocument/2006/relationships/hyperlink" Target="https://www.legislation.gov.uk/anaw/2015/2/contents" TargetMode="External"/><Relationship Id="rId4" Type="http://schemas.openxmlformats.org/officeDocument/2006/relationships/settings" Target="settings.xml"/><Relationship Id="rId9" Type="http://schemas.openxmlformats.org/officeDocument/2006/relationships/hyperlink" Target="https://doi.org/10.1080/15265161.2019.1665402" TargetMode="External"/><Relationship Id="rId14" Type="http://schemas.openxmlformats.org/officeDocument/2006/relationships/hyperlink" Target="https://doi.org/10.1177/1744987124128142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A5ACC-DD8A-47DE-BEEA-3475035CE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2668</Words>
  <Characters>15212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Stacilee</dc:creator>
  <cp:lastModifiedBy>Dell</cp:lastModifiedBy>
  <cp:revision>19</cp:revision>
  <dcterms:created xsi:type="dcterms:W3CDTF">2026-07-24T18:21:00Z</dcterms:created>
  <dcterms:modified xsi:type="dcterms:W3CDTF">2026-07-25T10:44:00Z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eebb98f6-7e6a-48af-857a-671f4aa1792c</vt:lpwstr>
  </property>
</Properties>
</file>