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C59C2" w14:textId="77777777" w:rsidR="00D35311" w:rsidRDefault="00D35311" w:rsidP="00D35311">
      <w:pPr>
        <w:jc w:val="center"/>
        <w:rPr>
          <w:rFonts w:ascii="Arial" w:hAnsi="Arial" w:cs="Arial"/>
        </w:rPr>
      </w:pPr>
    </w:p>
    <w:p w14:paraId="6E82606F" w14:textId="77777777" w:rsidR="00D35311" w:rsidRDefault="00D35311" w:rsidP="00D35311">
      <w:pPr>
        <w:jc w:val="center"/>
        <w:rPr>
          <w:rFonts w:ascii="Arial" w:hAnsi="Arial" w:cs="Arial"/>
        </w:rPr>
      </w:pPr>
    </w:p>
    <w:p w14:paraId="7EAD181E" w14:textId="77777777" w:rsidR="00D35311" w:rsidRDefault="00D35311" w:rsidP="00D35311">
      <w:pPr>
        <w:jc w:val="center"/>
        <w:rPr>
          <w:rFonts w:ascii="Arial" w:hAnsi="Arial" w:cs="Arial"/>
        </w:rPr>
      </w:pPr>
    </w:p>
    <w:p w14:paraId="2F64AEF5" w14:textId="77777777" w:rsidR="00D35311" w:rsidRDefault="00D35311" w:rsidP="00D35311">
      <w:pPr>
        <w:jc w:val="center"/>
        <w:rPr>
          <w:rFonts w:ascii="Arial" w:hAnsi="Arial" w:cs="Arial"/>
        </w:rPr>
      </w:pPr>
    </w:p>
    <w:p w14:paraId="33BDC1E4" w14:textId="6E97E231" w:rsidR="00D35311" w:rsidRDefault="00D35311" w:rsidP="00D35311">
      <w:pPr>
        <w:jc w:val="center"/>
        <w:rPr>
          <w:rFonts w:ascii="Arial" w:hAnsi="Arial" w:cs="Arial"/>
        </w:rPr>
      </w:pPr>
    </w:p>
    <w:p w14:paraId="53CD5BAC" w14:textId="0842C8A7" w:rsidR="00D35311" w:rsidRDefault="00D35311" w:rsidP="00D35311">
      <w:pPr>
        <w:jc w:val="center"/>
        <w:rPr>
          <w:rFonts w:ascii="Arial" w:hAnsi="Arial" w:cs="Arial"/>
        </w:rPr>
      </w:pPr>
    </w:p>
    <w:p w14:paraId="0518691E" w14:textId="14854B17" w:rsidR="00D35311" w:rsidRDefault="00D35311" w:rsidP="00D35311">
      <w:pPr>
        <w:jc w:val="center"/>
        <w:rPr>
          <w:rFonts w:ascii="Arial" w:hAnsi="Arial" w:cs="Arial"/>
        </w:rPr>
      </w:pPr>
    </w:p>
    <w:p w14:paraId="589E64C1" w14:textId="4F8C312E" w:rsidR="00D35311" w:rsidRDefault="00D35311" w:rsidP="00D35311">
      <w:pPr>
        <w:jc w:val="center"/>
        <w:rPr>
          <w:rFonts w:ascii="Arial" w:hAnsi="Arial" w:cs="Arial"/>
        </w:rPr>
      </w:pPr>
    </w:p>
    <w:p w14:paraId="50478F39" w14:textId="644E4B8E" w:rsidR="00D35311" w:rsidRDefault="00D35311" w:rsidP="00D35311">
      <w:pPr>
        <w:jc w:val="center"/>
        <w:rPr>
          <w:rFonts w:ascii="Arial" w:hAnsi="Arial" w:cs="Arial"/>
        </w:rPr>
      </w:pPr>
    </w:p>
    <w:p w14:paraId="2AB57C3A" w14:textId="0F6B774B" w:rsidR="00D35311" w:rsidRDefault="00D35311" w:rsidP="00D35311">
      <w:pPr>
        <w:jc w:val="center"/>
        <w:rPr>
          <w:rFonts w:ascii="Arial" w:hAnsi="Arial" w:cs="Arial"/>
        </w:rPr>
      </w:pPr>
    </w:p>
    <w:p w14:paraId="28CC30E5" w14:textId="3C7C80F5" w:rsidR="00D35311" w:rsidRDefault="00D35311" w:rsidP="00D35311">
      <w:pPr>
        <w:jc w:val="center"/>
        <w:rPr>
          <w:rFonts w:ascii="Arial" w:hAnsi="Arial" w:cs="Arial"/>
        </w:rPr>
      </w:pPr>
    </w:p>
    <w:p w14:paraId="0F6C0096" w14:textId="3D5F3C34" w:rsidR="00D35311" w:rsidRDefault="00D35311" w:rsidP="00D35311">
      <w:pPr>
        <w:jc w:val="center"/>
        <w:rPr>
          <w:rFonts w:ascii="Arial" w:hAnsi="Arial" w:cs="Arial"/>
        </w:rPr>
      </w:pPr>
    </w:p>
    <w:p w14:paraId="09957C33" w14:textId="46CA53D2" w:rsidR="00D35311" w:rsidRDefault="00D35311" w:rsidP="00D35311">
      <w:pPr>
        <w:jc w:val="center"/>
        <w:rPr>
          <w:rFonts w:ascii="Arial" w:hAnsi="Arial" w:cs="Arial"/>
        </w:rPr>
      </w:pPr>
    </w:p>
    <w:p w14:paraId="5AFE67F8" w14:textId="6CE77646" w:rsidR="00D35311" w:rsidRDefault="00D35311" w:rsidP="00D35311">
      <w:pPr>
        <w:jc w:val="center"/>
        <w:rPr>
          <w:rFonts w:ascii="Arial" w:hAnsi="Arial" w:cs="Arial"/>
        </w:rPr>
      </w:pPr>
    </w:p>
    <w:p w14:paraId="06B14BD3" w14:textId="5AB6A2CF" w:rsidR="00D35311" w:rsidRDefault="00D35311" w:rsidP="00D35311">
      <w:pPr>
        <w:jc w:val="center"/>
        <w:rPr>
          <w:rFonts w:ascii="Arial" w:hAnsi="Arial" w:cs="Arial"/>
        </w:rPr>
      </w:pPr>
    </w:p>
    <w:p w14:paraId="2B90D224" w14:textId="6DDA7AFA" w:rsidR="00D35311" w:rsidRDefault="00D35311" w:rsidP="00D35311">
      <w:pPr>
        <w:jc w:val="center"/>
        <w:rPr>
          <w:rFonts w:ascii="Arial" w:hAnsi="Arial" w:cs="Arial"/>
        </w:rPr>
      </w:pPr>
    </w:p>
    <w:p w14:paraId="71ACC918" w14:textId="0CAB9CBA" w:rsidR="00D35311" w:rsidRDefault="00D35311" w:rsidP="00D35311">
      <w:pPr>
        <w:jc w:val="center"/>
        <w:rPr>
          <w:rFonts w:ascii="Arial" w:hAnsi="Arial" w:cs="Arial"/>
        </w:rPr>
      </w:pPr>
    </w:p>
    <w:p w14:paraId="2EA83A8D" w14:textId="06DB08CB" w:rsidR="00D35311" w:rsidRDefault="00D35311" w:rsidP="00D35311">
      <w:pPr>
        <w:jc w:val="center"/>
        <w:rPr>
          <w:rFonts w:ascii="Arial" w:hAnsi="Arial" w:cs="Arial"/>
        </w:rPr>
      </w:pPr>
    </w:p>
    <w:p w14:paraId="1BED17DC" w14:textId="71B90AAA" w:rsidR="00D35311" w:rsidRDefault="00D35311" w:rsidP="00D35311">
      <w:pPr>
        <w:jc w:val="center"/>
        <w:rPr>
          <w:rFonts w:ascii="Arial" w:hAnsi="Arial" w:cs="Arial"/>
        </w:rPr>
      </w:pPr>
    </w:p>
    <w:p w14:paraId="62DB215A" w14:textId="0B9B74CE" w:rsidR="00D35311" w:rsidRDefault="00D35311" w:rsidP="00D35311">
      <w:pPr>
        <w:jc w:val="center"/>
        <w:rPr>
          <w:rFonts w:ascii="Arial" w:hAnsi="Arial" w:cs="Arial"/>
        </w:rPr>
      </w:pPr>
    </w:p>
    <w:p w14:paraId="65DCC705" w14:textId="77777777" w:rsidR="00D35311" w:rsidRDefault="00D35311" w:rsidP="00D35311">
      <w:pPr>
        <w:jc w:val="center"/>
        <w:rPr>
          <w:rFonts w:ascii="Arial" w:hAnsi="Arial" w:cs="Arial"/>
        </w:rPr>
      </w:pPr>
    </w:p>
    <w:p w14:paraId="2CE4C7F1" w14:textId="77777777" w:rsidR="00D35311" w:rsidRDefault="00D35311" w:rsidP="00D35311">
      <w:pPr>
        <w:jc w:val="center"/>
        <w:rPr>
          <w:rFonts w:ascii="Arial" w:hAnsi="Arial" w:cs="Arial"/>
        </w:rPr>
      </w:pPr>
    </w:p>
    <w:p w14:paraId="5C0D16AF" w14:textId="77777777" w:rsidR="00D35311" w:rsidRDefault="00D35311" w:rsidP="00D35311">
      <w:pPr>
        <w:jc w:val="center"/>
        <w:rPr>
          <w:rFonts w:ascii="Arial" w:hAnsi="Arial" w:cs="Arial"/>
        </w:rPr>
      </w:pPr>
    </w:p>
    <w:p w14:paraId="1A3F06C4" w14:textId="61CBEFE5" w:rsidR="00D35311" w:rsidRDefault="00D35311" w:rsidP="00D35311">
      <w:pPr>
        <w:jc w:val="center"/>
        <w:rPr>
          <w:rFonts w:ascii="Arial" w:hAnsi="Arial" w:cs="Arial"/>
        </w:rPr>
      </w:pPr>
      <w:r w:rsidRPr="008C2277">
        <w:rPr>
          <w:rFonts w:ascii="Arial" w:hAnsi="Arial" w:cs="Arial"/>
        </w:rPr>
        <w:t>Part A</w:t>
      </w:r>
      <w:r>
        <w:rPr>
          <w:rFonts w:ascii="Arial" w:hAnsi="Arial" w:cs="Arial"/>
        </w:rPr>
        <w:t>:</w:t>
      </w:r>
    </w:p>
    <w:p w14:paraId="10FF1F99" w14:textId="385D77C7" w:rsidR="00D35311" w:rsidRPr="00D35311" w:rsidRDefault="00D35311" w:rsidP="00D35311">
      <w:pPr>
        <w:jc w:val="center"/>
        <w:rPr>
          <w:rFonts w:ascii="Arial" w:hAnsi="Arial" w:cs="Arial"/>
          <w:i/>
          <w:iCs/>
        </w:rPr>
      </w:pPr>
      <w:r w:rsidRPr="00D35311">
        <w:rPr>
          <w:rFonts w:ascii="Arial" w:hAnsi="Arial" w:cs="Arial"/>
          <w:i/>
          <w:iCs/>
        </w:rPr>
        <w:t>Critically evaluate the processes and procedures adopted by the First Attending Officer at a crime scene to reduce the possibilities of cross contamination.</w:t>
      </w:r>
    </w:p>
    <w:p w14:paraId="455502C8" w14:textId="695892B6" w:rsidR="00D35311" w:rsidRDefault="00D35311" w:rsidP="00D35311">
      <w:pPr>
        <w:jc w:val="center"/>
        <w:rPr>
          <w:rFonts w:ascii="Arial" w:hAnsi="Arial" w:cs="Arial"/>
        </w:rPr>
      </w:pPr>
    </w:p>
    <w:p w14:paraId="06014B14" w14:textId="7AA9F483" w:rsidR="00D35311" w:rsidRDefault="00D35311" w:rsidP="00D35311">
      <w:pPr>
        <w:jc w:val="center"/>
        <w:rPr>
          <w:rFonts w:ascii="Arial" w:hAnsi="Arial" w:cs="Arial"/>
        </w:rPr>
      </w:pPr>
    </w:p>
    <w:p w14:paraId="651632E9" w14:textId="1FABEF16" w:rsidR="00D35311" w:rsidRDefault="00D35311" w:rsidP="00D35311">
      <w:pPr>
        <w:jc w:val="center"/>
        <w:rPr>
          <w:rFonts w:ascii="Arial" w:hAnsi="Arial" w:cs="Arial"/>
        </w:rPr>
      </w:pPr>
    </w:p>
    <w:p w14:paraId="21FFDBB0" w14:textId="6E57401D" w:rsidR="00D35311" w:rsidRDefault="00D35311" w:rsidP="00D35311">
      <w:pPr>
        <w:jc w:val="center"/>
        <w:rPr>
          <w:rFonts w:ascii="Arial" w:hAnsi="Arial" w:cs="Arial"/>
        </w:rPr>
      </w:pPr>
      <w:r>
        <w:rPr>
          <w:rFonts w:ascii="Arial" w:hAnsi="Arial" w:cs="Arial"/>
        </w:rPr>
        <w:t>Student ID: 1905889 | Word Count:</w:t>
      </w:r>
      <w:r w:rsidR="00167868">
        <w:rPr>
          <w:rFonts w:ascii="Arial" w:hAnsi="Arial" w:cs="Arial"/>
        </w:rPr>
        <w:t xml:space="preserve"> 1,360</w:t>
      </w:r>
    </w:p>
    <w:p w14:paraId="5E3E2F8B" w14:textId="12B2C8D5" w:rsidR="00D35311" w:rsidRDefault="00D35311" w:rsidP="00D35311">
      <w:pPr>
        <w:rPr>
          <w:rFonts w:ascii="Arial" w:hAnsi="Arial" w:cs="Arial"/>
        </w:rPr>
      </w:pPr>
    </w:p>
    <w:p w14:paraId="6FCF44FB" w14:textId="7D963476" w:rsidR="00D35311" w:rsidRDefault="00D35311" w:rsidP="00D35311">
      <w:pPr>
        <w:rPr>
          <w:rFonts w:ascii="Arial" w:hAnsi="Arial" w:cs="Arial"/>
        </w:rPr>
      </w:pPr>
    </w:p>
    <w:p w14:paraId="066786A3" w14:textId="6BC02052" w:rsidR="00D35311" w:rsidRDefault="00D35311" w:rsidP="00D35311">
      <w:pPr>
        <w:jc w:val="center"/>
        <w:rPr>
          <w:rFonts w:ascii="Arial" w:hAnsi="Arial" w:cs="Arial"/>
        </w:rPr>
      </w:pPr>
    </w:p>
    <w:p w14:paraId="67838606" w14:textId="3BB9932F" w:rsidR="00D35311" w:rsidRDefault="00D35311" w:rsidP="00D35311">
      <w:pPr>
        <w:rPr>
          <w:rFonts w:ascii="Arial" w:hAnsi="Arial" w:cs="Arial"/>
        </w:rPr>
      </w:pPr>
    </w:p>
    <w:p w14:paraId="59504757" w14:textId="77CDC991" w:rsidR="00D35311" w:rsidRDefault="00D35311" w:rsidP="00D35311">
      <w:pPr>
        <w:rPr>
          <w:rFonts w:ascii="Arial" w:hAnsi="Arial" w:cs="Arial"/>
        </w:rPr>
      </w:pPr>
    </w:p>
    <w:p w14:paraId="2CBAAE45" w14:textId="10BC6ACE" w:rsidR="00D35311" w:rsidRDefault="00D35311" w:rsidP="00D35311">
      <w:pPr>
        <w:rPr>
          <w:rFonts w:ascii="Arial" w:hAnsi="Arial" w:cs="Arial"/>
        </w:rPr>
      </w:pPr>
    </w:p>
    <w:p w14:paraId="275A1D3B" w14:textId="47202358" w:rsidR="00D35311" w:rsidRDefault="00D35311" w:rsidP="00D35311">
      <w:pPr>
        <w:rPr>
          <w:rFonts w:ascii="Arial" w:hAnsi="Arial" w:cs="Arial"/>
        </w:rPr>
      </w:pPr>
    </w:p>
    <w:p w14:paraId="36F8C8AD" w14:textId="0137694C" w:rsidR="00D35311" w:rsidRDefault="00D35311" w:rsidP="00D35311">
      <w:pPr>
        <w:rPr>
          <w:rFonts w:ascii="Arial" w:hAnsi="Arial" w:cs="Arial"/>
        </w:rPr>
      </w:pPr>
    </w:p>
    <w:p w14:paraId="45CF30EC" w14:textId="38949CEF" w:rsidR="00D35311" w:rsidRDefault="00D35311" w:rsidP="00D35311">
      <w:pPr>
        <w:rPr>
          <w:rFonts w:ascii="Arial" w:hAnsi="Arial" w:cs="Arial"/>
        </w:rPr>
      </w:pPr>
    </w:p>
    <w:p w14:paraId="385561E7" w14:textId="3E99B608" w:rsidR="00D35311" w:rsidRDefault="00D35311" w:rsidP="00D35311">
      <w:pPr>
        <w:rPr>
          <w:rFonts w:ascii="Arial" w:hAnsi="Arial" w:cs="Arial"/>
        </w:rPr>
      </w:pPr>
    </w:p>
    <w:p w14:paraId="29E925F4" w14:textId="09508FA2" w:rsidR="00D35311" w:rsidRDefault="00D35311" w:rsidP="00D35311">
      <w:pPr>
        <w:jc w:val="center"/>
        <w:rPr>
          <w:rFonts w:ascii="Arial" w:hAnsi="Arial" w:cs="Arial"/>
        </w:rPr>
      </w:pPr>
      <w:r>
        <w:fldChar w:fldCharType="begin"/>
      </w:r>
      <w:r>
        <w:instrText xml:space="preserve"> INCLUDEPICTURE "/var/folders/33/5w97q6ld31s0jdjgr_cd171h0000gn/T/com.microsoft.Word/WebArchiveCopyPasteTempFiles/UWTSD-Logo.png" \* MERGEFORMATINET </w:instrText>
      </w:r>
      <w:r>
        <w:fldChar w:fldCharType="separate"/>
      </w:r>
      <w:r>
        <w:rPr>
          <w:noProof/>
        </w:rPr>
        <w:drawing>
          <wp:inline distT="0" distB="0" distL="0" distR="0" wp14:anchorId="72A2EE13" wp14:editId="6F943FE4">
            <wp:extent cx="2373772" cy="787400"/>
            <wp:effectExtent l="0" t="0" r="1270" b="0"/>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81152" cy="789848"/>
                    </a:xfrm>
                    <a:prstGeom prst="rect">
                      <a:avLst/>
                    </a:prstGeom>
                    <a:noFill/>
                    <a:ln>
                      <a:noFill/>
                    </a:ln>
                  </pic:spPr>
                </pic:pic>
              </a:graphicData>
            </a:graphic>
          </wp:inline>
        </w:drawing>
      </w:r>
      <w:r>
        <w:fldChar w:fldCharType="end"/>
      </w:r>
    </w:p>
    <w:p w14:paraId="053A73C2" w14:textId="1D7E489D" w:rsidR="00D35311" w:rsidRDefault="00D35311" w:rsidP="00D35311"/>
    <w:p w14:paraId="705CA6D5" w14:textId="2D793C6E" w:rsidR="00D35311" w:rsidRDefault="00D35311" w:rsidP="00D35311">
      <w:pPr>
        <w:rPr>
          <w:rFonts w:ascii="Arial" w:hAnsi="Arial" w:cs="Arial"/>
        </w:rPr>
      </w:pPr>
    </w:p>
    <w:p w14:paraId="1F1015F7" w14:textId="47275B94" w:rsidR="00D35311" w:rsidRDefault="00D35311" w:rsidP="00D35311">
      <w:pPr>
        <w:rPr>
          <w:rFonts w:ascii="Arial" w:hAnsi="Arial" w:cs="Arial"/>
        </w:rPr>
      </w:pPr>
    </w:p>
    <w:p w14:paraId="4BF1151B" w14:textId="7AC38C90" w:rsidR="00D35311" w:rsidRDefault="00D35311" w:rsidP="00D35311">
      <w:pPr>
        <w:rPr>
          <w:rFonts w:ascii="Arial" w:hAnsi="Arial" w:cs="Arial"/>
        </w:rPr>
      </w:pPr>
    </w:p>
    <w:p w14:paraId="3AF475C3" w14:textId="4DE257C8" w:rsidR="00D35311" w:rsidRDefault="00D35311" w:rsidP="00D35311">
      <w:pPr>
        <w:jc w:val="center"/>
        <w:rPr>
          <w:rFonts w:ascii="Arial" w:hAnsi="Arial" w:cs="Arial"/>
        </w:rPr>
      </w:pPr>
    </w:p>
    <w:p w14:paraId="313D455C" w14:textId="08F70C26" w:rsidR="006675CA" w:rsidRDefault="006F52E5" w:rsidP="00FE6DF8">
      <w:pPr>
        <w:spacing w:line="480" w:lineRule="auto"/>
        <w:jc w:val="both"/>
        <w:rPr>
          <w:rFonts w:ascii="Arial" w:hAnsi="Arial" w:cs="Arial"/>
        </w:rPr>
      </w:pPr>
      <w:r w:rsidRPr="00FE6DF8">
        <w:rPr>
          <w:rFonts w:ascii="Arial" w:hAnsi="Arial" w:cs="Arial"/>
        </w:rPr>
        <w:lastRenderedPageBreak/>
        <w:t xml:space="preserve">As provided by Gehl and </w:t>
      </w:r>
      <w:proofErr w:type="spellStart"/>
      <w:r w:rsidRPr="00FE6DF8">
        <w:rPr>
          <w:rFonts w:ascii="Arial" w:hAnsi="Arial" w:cs="Arial"/>
        </w:rPr>
        <w:t>Plecas</w:t>
      </w:r>
      <w:proofErr w:type="spellEnd"/>
      <w:r w:rsidRPr="00FE6DF8">
        <w:rPr>
          <w:rFonts w:ascii="Arial" w:hAnsi="Arial" w:cs="Arial"/>
        </w:rPr>
        <w:t xml:space="preserve"> (2017), the evidence that derives from a crime scene plays a crucial role in offering a depiction of events. The evidence comprises of witness testaments, photographs, physical </w:t>
      </w:r>
      <w:proofErr w:type="gramStart"/>
      <w:r w:rsidRPr="00FE6DF8">
        <w:rPr>
          <w:rFonts w:ascii="Arial" w:hAnsi="Arial" w:cs="Arial"/>
        </w:rPr>
        <w:t>exhibits</w:t>
      </w:r>
      <w:proofErr w:type="gramEnd"/>
      <w:r w:rsidRPr="00FE6DF8">
        <w:rPr>
          <w:rFonts w:ascii="Arial" w:hAnsi="Arial" w:cs="Arial"/>
        </w:rPr>
        <w:t xml:space="preserve"> and the examination of those exhibits, along with the examination of the overall crime scene itself (Gehl and </w:t>
      </w:r>
      <w:proofErr w:type="spellStart"/>
      <w:r w:rsidRPr="00FE6DF8">
        <w:rPr>
          <w:rFonts w:ascii="Arial" w:hAnsi="Arial" w:cs="Arial"/>
        </w:rPr>
        <w:t>Plecas</w:t>
      </w:r>
      <w:proofErr w:type="spellEnd"/>
      <w:r w:rsidRPr="00FE6DF8">
        <w:rPr>
          <w:rFonts w:ascii="Arial" w:hAnsi="Arial" w:cs="Arial"/>
        </w:rPr>
        <w:t xml:space="preserve">, 2017). Of all the different police roles, Mclean and Hillier (2011) </w:t>
      </w:r>
      <w:r w:rsidR="00AD5840" w:rsidRPr="00FE6DF8">
        <w:rPr>
          <w:rFonts w:ascii="Arial" w:hAnsi="Arial" w:cs="Arial"/>
        </w:rPr>
        <w:t>offer</w:t>
      </w:r>
      <w:r w:rsidRPr="00FE6DF8">
        <w:rPr>
          <w:rFonts w:ascii="Arial" w:hAnsi="Arial" w:cs="Arial"/>
        </w:rPr>
        <w:t xml:space="preserve"> that one of the most significant responsibilities any officer could have </w:t>
      </w:r>
      <w:proofErr w:type="gramStart"/>
      <w:r w:rsidRPr="00FE6DF8">
        <w:rPr>
          <w:rFonts w:ascii="Arial" w:hAnsi="Arial" w:cs="Arial"/>
        </w:rPr>
        <w:t>is</w:t>
      </w:r>
      <w:proofErr w:type="gramEnd"/>
      <w:r w:rsidRPr="00FE6DF8">
        <w:rPr>
          <w:rFonts w:ascii="Arial" w:hAnsi="Arial" w:cs="Arial"/>
        </w:rPr>
        <w:t xml:space="preserve"> that of the First Attending Officer, hereon, referred to as an FAO. The capability of the FAO to correctly perform their duties is critical to ensuring that evidence is not destroyed for it to be used to determine the events of the crime; identify suspects or victims; aid in establishing any proof elements of crimes; support testimonies and help vindicate the innocent (Mclean and Hillier, 2011). As presented, a large responsibility is placed on the FAO due to the simple notion that errors made may never be amended and therefore, adhering to crucial processes and procedures is vital to reduce the possibility of cross-contamination and ultimately, preserve the crime scene (Forensic Science Regulator, 2020).</w:t>
      </w:r>
    </w:p>
    <w:p w14:paraId="0899D67D" w14:textId="77777777" w:rsidR="00766412" w:rsidRDefault="00766412" w:rsidP="00FE6DF8">
      <w:pPr>
        <w:spacing w:line="480" w:lineRule="auto"/>
        <w:jc w:val="both"/>
        <w:rPr>
          <w:rFonts w:ascii="Arial" w:hAnsi="Arial" w:cs="Arial"/>
        </w:rPr>
      </w:pPr>
    </w:p>
    <w:p w14:paraId="74A04005" w14:textId="79FE29BE" w:rsidR="00C449FB" w:rsidRDefault="00E30DB2" w:rsidP="00FE6DF8">
      <w:pPr>
        <w:spacing w:line="480" w:lineRule="auto"/>
        <w:jc w:val="both"/>
        <w:rPr>
          <w:rFonts w:ascii="Arial" w:hAnsi="Arial" w:cs="Arial"/>
        </w:rPr>
      </w:pPr>
      <w:r w:rsidRPr="006648F1">
        <w:rPr>
          <w:rFonts w:ascii="Arial" w:hAnsi="Arial" w:cs="Arial"/>
        </w:rPr>
        <w:t>Once the scene has been made safe and any emergencies have been dealt with, the importance of the Golden Hour surfaces. Blackburn et al. (2016) explain the Golden Hour as the initial period of any incident where there is a degree of necessity to preserve a scene quickly so that evidence and be protected or collected while it is still new and undamaged.</w:t>
      </w:r>
      <w:r w:rsidR="00C449FB" w:rsidRPr="006648F1">
        <w:rPr>
          <w:rFonts w:ascii="Arial" w:hAnsi="Arial" w:cs="Arial"/>
        </w:rPr>
        <w:t xml:space="preserve"> In the most important context to the subject of this paper, FAOs must ensure that the crime scene is made safe and secured to prevent the destruction of evidence or cross-contamination.</w:t>
      </w:r>
      <w:r w:rsidR="006648F1" w:rsidRPr="006648F1">
        <w:rPr>
          <w:rFonts w:ascii="Arial" w:hAnsi="Arial" w:cs="Arial"/>
        </w:rPr>
        <w:t xml:space="preserve"> Moving, touching, and walking on the evidence located at the scene would risk eradicating confidence in the evidence about those who remain in the scene</w:t>
      </w:r>
      <w:r w:rsidR="00C75051">
        <w:rPr>
          <w:rFonts w:ascii="Arial" w:hAnsi="Arial" w:cs="Arial"/>
        </w:rPr>
        <w:t xml:space="preserve"> </w:t>
      </w:r>
      <w:r w:rsidR="006648F1" w:rsidRPr="006648F1">
        <w:rPr>
          <w:rFonts w:ascii="Arial" w:hAnsi="Arial" w:cs="Arial"/>
        </w:rPr>
        <w:t>(</w:t>
      </w:r>
      <w:proofErr w:type="spellStart"/>
      <w:r w:rsidR="006648F1" w:rsidRPr="006648F1">
        <w:rPr>
          <w:rFonts w:ascii="Arial" w:hAnsi="Arial" w:cs="Arial"/>
        </w:rPr>
        <w:t>Arifi</w:t>
      </w:r>
      <w:proofErr w:type="spellEnd"/>
      <w:r w:rsidR="006648F1" w:rsidRPr="006648F1">
        <w:rPr>
          <w:rFonts w:ascii="Arial" w:hAnsi="Arial" w:cs="Arial"/>
        </w:rPr>
        <w:t xml:space="preserve">, 2015). </w:t>
      </w:r>
      <w:r w:rsidR="00C449FB" w:rsidRPr="006648F1">
        <w:rPr>
          <w:rFonts w:ascii="Arial" w:hAnsi="Arial" w:cs="Arial"/>
        </w:rPr>
        <w:t xml:space="preserve"> </w:t>
      </w:r>
      <w:proofErr w:type="spellStart"/>
      <w:r w:rsidR="00C449FB" w:rsidRPr="006648F1">
        <w:rPr>
          <w:rFonts w:ascii="Arial" w:hAnsi="Arial" w:cs="Arial"/>
        </w:rPr>
        <w:t>Locard’s</w:t>
      </w:r>
      <w:proofErr w:type="spellEnd"/>
      <w:r w:rsidR="00C449FB" w:rsidRPr="006648F1">
        <w:rPr>
          <w:rFonts w:ascii="Arial" w:hAnsi="Arial" w:cs="Arial"/>
        </w:rPr>
        <w:t xml:space="preserve"> Exchange Principle offers further </w:t>
      </w:r>
      <w:r w:rsidR="00C449FB" w:rsidRPr="006648F1">
        <w:rPr>
          <w:rFonts w:ascii="Arial" w:hAnsi="Arial" w:cs="Arial"/>
        </w:rPr>
        <w:lastRenderedPageBreak/>
        <w:t>reinforcement that scenes must be preserved, and strict procedures implemented as every person who attends a scene will bring and take something with them and in consequence, impact the state of the evidence (</w:t>
      </w:r>
      <w:proofErr w:type="spellStart"/>
      <w:r w:rsidR="00C449FB" w:rsidRPr="006648F1">
        <w:rPr>
          <w:rFonts w:ascii="Arial" w:hAnsi="Arial" w:cs="Arial"/>
        </w:rPr>
        <w:t>Horswell</w:t>
      </w:r>
      <w:proofErr w:type="spellEnd"/>
      <w:r w:rsidR="00C449FB" w:rsidRPr="006648F1">
        <w:rPr>
          <w:rFonts w:ascii="Arial" w:hAnsi="Arial" w:cs="Arial"/>
        </w:rPr>
        <w:t xml:space="preserve"> and Fowler, 2004). </w:t>
      </w:r>
      <w:proofErr w:type="spellStart"/>
      <w:r w:rsidR="00C449FB" w:rsidRPr="006648F1">
        <w:rPr>
          <w:rFonts w:ascii="Arial" w:hAnsi="Arial" w:cs="Arial"/>
        </w:rPr>
        <w:t>Locard’s</w:t>
      </w:r>
      <w:proofErr w:type="spellEnd"/>
      <w:r w:rsidR="00C449FB" w:rsidRPr="006648F1">
        <w:rPr>
          <w:rFonts w:ascii="Arial" w:hAnsi="Arial" w:cs="Arial"/>
        </w:rPr>
        <w:t xml:space="preserve"> theory in turn has influenced the techniques of crime scene management and therefore, reiterating the importance of FAOs ensuring that the correct procedures are followed (</w:t>
      </w:r>
      <w:proofErr w:type="spellStart"/>
      <w:r w:rsidR="00C449FB" w:rsidRPr="006648F1">
        <w:rPr>
          <w:rFonts w:ascii="Arial" w:hAnsi="Arial" w:cs="Arial"/>
        </w:rPr>
        <w:t>Horswell</w:t>
      </w:r>
      <w:proofErr w:type="spellEnd"/>
      <w:r w:rsidR="00C449FB" w:rsidRPr="006648F1">
        <w:rPr>
          <w:rFonts w:ascii="Arial" w:hAnsi="Arial" w:cs="Arial"/>
        </w:rPr>
        <w:t xml:space="preserve"> and Fowler, 2004).</w:t>
      </w:r>
    </w:p>
    <w:p w14:paraId="482BB049" w14:textId="77777777" w:rsidR="00167868" w:rsidRDefault="00167868" w:rsidP="00DC3D43">
      <w:pPr>
        <w:pStyle w:val="NormalWeb"/>
        <w:spacing w:line="480" w:lineRule="auto"/>
        <w:jc w:val="both"/>
        <w:rPr>
          <w:rFonts w:ascii="Arial" w:hAnsi="Arial" w:cs="Arial"/>
          <w:kern w:val="36"/>
        </w:rPr>
      </w:pPr>
      <w:r w:rsidRPr="00167868">
        <w:rPr>
          <w:rFonts w:ascii="Arial" w:hAnsi="Arial" w:cs="Arial"/>
          <w:kern w:val="36"/>
        </w:rPr>
        <w:t xml:space="preserve">Precautionary measures should be taken immediately after the </w:t>
      </w:r>
      <w:proofErr w:type="gramStart"/>
      <w:r w:rsidRPr="00167868">
        <w:rPr>
          <w:rFonts w:ascii="Arial" w:hAnsi="Arial" w:cs="Arial"/>
          <w:kern w:val="36"/>
        </w:rPr>
        <w:t>aforementioned actions</w:t>
      </w:r>
      <w:proofErr w:type="gramEnd"/>
      <w:r w:rsidRPr="00167868">
        <w:rPr>
          <w:rFonts w:ascii="Arial" w:hAnsi="Arial" w:cs="Arial"/>
          <w:kern w:val="36"/>
        </w:rPr>
        <w:t xml:space="preserve"> by establishing crime scene perimeters appropriately marked or using alternative items or even different obstacles just to make it impossible for unauthorised persons to enter that scene and tamper with anything (College of Policing, 2021). Additionally, by creating perimeters and cordoning off the scene, it allows personnel to be mindful of their behaviours and how to proceed in an area identified as part of the crime scene. As demonstrated by the JonBenet Ramsey case, which saw a 6-year-old missing and later discovered murdered in the basement of her family home, crucial mistakes were made as the FAO did not initially manage the scene effectively and only cordoned off the victim’s bedroom rather than the entire house (</w:t>
      </w:r>
      <w:proofErr w:type="spellStart"/>
      <w:r w:rsidRPr="00167868">
        <w:rPr>
          <w:rFonts w:ascii="Arial" w:hAnsi="Arial" w:cs="Arial"/>
          <w:kern w:val="36"/>
        </w:rPr>
        <w:t>Mohney</w:t>
      </w:r>
      <w:proofErr w:type="spellEnd"/>
      <w:r w:rsidRPr="00167868">
        <w:rPr>
          <w:rFonts w:ascii="Arial" w:hAnsi="Arial" w:cs="Arial"/>
          <w:kern w:val="36"/>
        </w:rPr>
        <w:t xml:space="preserve">, 2015).  These actions proved to be a fundamental error as hindsight has identified masses of evidence were lost due to poor scene management plus the absence of proper documentation and regulation of who was able to enter the house and the crime scene itself – thus, in line with </w:t>
      </w:r>
      <w:proofErr w:type="spellStart"/>
      <w:r w:rsidRPr="00167868">
        <w:rPr>
          <w:rFonts w:ascii="Arial" w:hAnsi="Arial" w:cs="Arial"/>
          <w:kern w:val="36"/>
        </w:rPr>
        <w:t>Locard’s</w:t>
      </w:r>
      <w:proofErr w:type="spellEnd"/>
      <w:r w:rsidRPr="00167868">
        <w:rPr>
          <w:rFonts w:ascii="Arial" w:hAnsi="Arial" w:cs="Arial"/>
          <w:kern w:val="36"/>
        </w:rPr>
        <w:t xml:space="preserve"> Exchange Principle, destroying the credibility of evidence through disruption and cross-contamination (</w:t>
      </w:r>
      <w:proofErr w:type="spellStart"/>
      <w:r w:rsidRPr="00167868">
        <w:rPr>
          <w:rFonts w:ascii="Arial" w:hAnsi="Arial" w:cs="Arial"/>
          <w:kern w:val="36"/>
        </w:rPr>
        <w:t>Mohney</w:t>
      </w:r>
      <w:proofErr w:type="spellEnd"/>
      <w:r w:rsidRPr="00167868">
        <w:rPr>
          <w:rFonts w:ascii="Arial" w:hAnsi="Arial" w:cs="Arial"/>
          <w:kern w:val="36"/>
        </w:rPr>
        <w:t xml:space="preserve">, 2015).  </w:t>
      </w:r>
    </w:p>
    <w:p w14:paraId="4DCCD1CE" w14:textId="77777777" w:rsidR="00167868" w:rsidRDefault="00167868" w:rsidP="00894514">
      <w:pPr>
        <w:pStyle w:val="NormalWeb"/>
        <w:spacing w:line="480" w:lineRule="auto"/>
        <w:jc w:val="both"/>
        <w:rPr>
          <w:rFonts w:ascii="Arial" w:hAnsi="Arial" w:cs="Arial"/>
        </w:rPr>
      </w:pPr>
      <w:r w:rsidRPr="00167868">
        <w:rPr>
          <w:rFonts w:ascii="Arial" w:hAnsi="Arial" w:cs="Arial"/>
        </w:rPr>
        <w:t xml:space="preserve">As well as securing the scene, FAOs are expected to document the arrival, entry and exit of all persons who have entered the scene, including the name, time of entry and exit, the reason for attending the scene and ensuring that some form of PPE is worn </w:t>
      </w:r>
      <w:r w:rsidRPr="00167868">
        <w:rPr>
          <w:rFonts w:ascii="Arial" w:hAnsi="Arial" w:cs="Arial"/>
        </w:rPr>
        <w:lastRenderedPageBreak/>
        <w:t xml:space="preserve">(Forensic Science Regulator, 2020).  The Evening Standard (2012) published an article reporting that two police officers who worked on the Madeline McCann case revealed that the FAO did not ‘seal off’ the crime scene - which consequently saw complete strangers as well as Madeline’s parents, their friends, and several unnecessary police officers to enter the crime scene, walk around and pick-up and move items without wearing PPE or under any supervision.  Again, contaminating and destroying potential evidence.  The Police Service of Northern Ireland (2014), PSNI for short, adds that the FAO must adopt a ‘prudent’ approach when positioning cordons as the extent of the crime scene may not immediately be apparent as well as regulating who accesses a crime scene. As displayed by the mistakes made in the JonBenet case where the ‘official’ scene cordons were kept small and evidence outside the remit being damaged, a wide cordon area can later be reviewed and reduced if deemed appropriate and non-detrimental to any potential evidence (Police Service of Northern Ireland, 2014).  While the procedure of documenting and regulating those who access the scene allows a basis for determining who could, in any way, damage the scene and evidence (Forensic Science Regulator, 2020). As displayed by the McCann case, the FAO failed to do so and allowed for evidence, which may have been able to solve the still-unsolved case, to be contaminated since people were allowed access to the scene without regulation. </w:t>
      </w:r>
    </w:p>
    <w:p w14:paraId="17B0AA1D" w14:textId="77777777" w:rsidR="00167868" w:rsidRDefault="00167868" w:rsidP="00AA4622">
      <w:pPr>
        <w:spacing w:line="480" w:lineRule="auto"/>
        <w:jc w:val="both"/>
        <w:rPr>
          <w:rFonts w:ascii="Arial" w:hAnsi="Arial" w:cs="Arial"/>
          <w:kern w:val="36"/>
        </w:rPr>
      </w:pPr>
      <w:r w:rsidRPr="00167868">
        <w:rPr>
          <w:rFonts w:ascii="Arial" w:hAnsi="Arial" w:cs="Arial"/>
          <w:kern w:val="36"/>
        </w:rPr>
        <w:t xml:space="preserve">As defined by Gooch and Williams (2007), a Common Approach Path is a nominated route into and out of a crime scene, set up to lessen disruption to the surrounding area. In the infamous O.J Simpson case, no Common Approach Path was established by the FAOs due to them arriving two hours later than expected and therefore in a rush to make up time (Wecht and Kaufmann, 2008). Additionally, the FAOs failed to wear PPE which meant that evidence was destroyed and even led to bloody footprints from </w:t>
      </w:r>
      <w:r w:rsidRPr="00167868">
        <w:rPr>
          <w:rFonts w:ascii="Arial" w:hAnsi="Arial" w:cs="Arial"/>
          <w:kern w:val="36"/>
        </w:rPr>
        <w:lastRenderedPageBreak/>
        <w:t xml:space="preserve">officers left around the scene and thus, ruining the integrity of the scene (Wecht and Kaufmann, 2008). </w:t>
      </w:r>
    </w:p>
    <w:p w14:paraId="4FFAB250" w14:textId="77777777" w:rsidR="00167868" w:rsidRDefault="00167868" w:rsidP="00796A3F">
      <w:pPr>
        <w:pStyle w:val="NormalWeb"/>
        <w:spacing w:line="480" w:lineRule="auto"/>
        <w:jc w:val="both"/>
        <w:rPr>
          <w:rFonts w:ascii="Arial" w:hAnsi="Arial" w:cs="Arial"/>
        </w:rPr>
      </w:pPr>
      <w:r w:rsidRPr="00167868">
        <w:rPr>
          <w:rFonts w:ascii="Arial" w:hAnsi="Arial" w:cs="Arial"/>
        </w:rPr>
        <w:t xml:space="preserve">Sutton, </w:t>
      </w:r>
      <w:proofErr w:type="spellStart"/>
      <w:proofErr w:type="gramStart"/>
      <w:r w:rsidRPr="00167868">
        <w:rPr>
          <w:rFonts w:ascii="Arial" w:hAnsi="Arial" w:cs="Arial"/>
        </w:rPr>
        <w:t>Trueman</w:t>
      </w:r>
      <w:proofErr w:type="spellEnd"/>
      <w:proofErr w:type="gramEnd"/>
      <w:r w:rsidRPr="00167868">
        <w:rPr>
          <w:rFonts w:ascii="Arial" w:hAnsi="Arial" w:cs="Arial"/>
        </w:rPr>
        <w:t xml:space="preserve"> and Moran (2016) have published that Chief Constables frequently review how crime scenes can be better preserved to allow for greater successful forensic recovery with a key and reoccurring topic being the importance of police officers to spend more time with forensic teams to develop better understandings of the importance of scene preservation. The findings further provide that if these relationships are built and understandings are developed, then fewer mistakes are expected to be made with officers demonstrating a greater sense of due diligence and implementation of an ‘investigative mindset’ – a principle further explored in Part B (Sutton, </w:t>
      </w:r>
      <w:proofErr w:type="spellStart"/>
      <w:proofErr w:type="gramStart"/>
      <w:r w:rsidRPr="00167868">
        <w:rPr>
          <w:rFonts w:ascii="Arial" w:hAnsi="Arial" w:cs="Arial"/>
        </w:rPr>
        <w:t>Trueman</w:t>
      </w:r>
      <w:proofErr w:type="spellEnd"/>
      <w:proofErr w:type="gramEnd"/>
      <w:r w:rsidRPr="00167868">
        <w:rPr>
          <w:rFonts w:ascii="Arial" w:hAnsi="Arial" w:cs="Arial"/>
        </w:rPr>
        <w:t xml:space="preserve"> and Moran, 2016). Additionally, further significance is placed on the National Decision Model, which the College of Policing (2014) say can be utilised in all operational and non-operational situations. The Model is built upon the Code of Ethics and six key elements which are centred on the Code of Ethics. In a summary, the National Decision Model allows decision-makers, in this case, FAOs, to structure a rationale of what they did upon arrival and why – with hopes that this will ensure all decisions are consistent and to consider the consequences of any failings (College of Policing, 2014). However, the College of Policing (2014) understand that in highly intense situations which can be distressing and quickly changing, FAOs may not be able to refer and recall all the elements of the National Decision Model and corresponding actions and behaviours. </w:t>
      </w:r>
    </w:p>
    <w:p w14:paraId="66D0B01E" w14:textId="7EB0C3FD" w:rsidR="0049378C" w:rsidRPr="00DC3D43" w:rsidRDefault="00167868" w:rsidP="0049378C">
      <w:pPr>
        <w:pStyle w:val="NormalWeb"/>
        <w:spacing w:line="480" w:lineRule="auto"/>
        <w:jc w:val="both"/>
        <w:rPr>
          <w:rFonts w:ascii="Arial" w:hAnsi="Arial" w:cs="Arial"/>
          <w:kern w:val="36"/>
        </w:rPr>
      </w:pPr>
      <w:r w:rsidRPr="00167868">
        <w:rPr>
          <w:rFonts w:ascii="Arial" w:hAnsi="Arial" w:cs="Arial"/>
          <w:kern w:val="36"/>
        </w:rPr>
        <w:t xml:space="preserve">In conclusion, as represented by the published writings of Mclean and Hillier (2011), the FAO plays an exceptionally fundamental role in any investigation. As represented by the cases of Madeline McCann, JonBenet Ramsey and O.J Simpson, if FAOs do </w:t>
      </w:r>
      <w:r w:rsidRPr="00167868">
        <w:rPr>
          <w:rFonts w:ascii="Arial" w:hAnsi="Arial" w:cs="Arial"/>
          <w:kern w:val="36"/>
        </w:rPr>
        <w:lastRenderedPageBreak/>
        <w:t>not accurately observe procedures and processes; irreplicable evidence can be lost and consequently, dwindling the probabilities of uncovering answers necessary to comprehend the events of the crime and those involved, as well as increasing the possibilities that suspects are able to evade conviction (</w:t>
      </w:r>
      <w:proofErr w:type="spellStart"/>
      <w:r w:rsidRPr="00167868">
        <w:rPr>
          <w:rFonts w:ascii="Arial" w:hAnsi="Arial" w:cs="Arial"/>
          <w:kern w:val="36"/>
        </w:rPr>
        <w:t>Horswell</w:t>
      </w:r>
      <w:proofErr w:type="spellEnd"/>
      <w:r w:rsidRPr="00167868">
        <w:rPr>
          <w:rFonts w:ascii="Arial" w:hAnsi="Arial" w:cs="Arial"/>
          <w:kern w:val="36"/>
        </w:rPr>
        <w:t xml:space="preserve"> and Fowler, 2004). The processes explored are limited to just a few of the actions expected to be followed by FOAs and the cases explored have been specifically chosen to display the results of procedures not correctly being followed and how that in turn, endangers the credibility of evidence through cross-contamination. In Part B of this paper, the specific forensic recovery processes are evaluated, and the impact of disturbing evidence is further explored.</w:t>
      </w:r>
    </w:p>
    <w:p w14:paraId="0B7D7063" w14:textId="664D35B1" w:rsidR="00905801" w:rsidRDefault="00905801" w:rsidP="00AA4622">
      <w:pPr>
        <w:spacing w:line="480" w:lineRule="auto"/>
        <w:jc w:val="both"/>
        <w:rPr>
          <w:rFonts w:ascii="Arial" w:hAnsi="Arial" w:cs="Arial"/>
        </w:rPr>
      </w:pPr>
    </w:p>
    <w:p w14:paraId="3B11BC31" w14:textId="326D6511" w:rsidR="00905801" w:rsidRDefault="00905801" w:rsidP="00AA4622">
      <w:pPr>
        <w:spacing w:line="480" w:lineRule="auto"/>
        <w:jc w:val="both"/>
        <w:rPr>
          <w:rFonts w:ascii="Arial" w:hAnsi="Arial" w:cs="Arial"/>
        </w:rPr>
      </w:pPr>
    </w:p>
    <w:p w14:paraId="29CAF8AC" w14:textId="6AB29A80" w:rsidR="00905801" w:rsidRDefault="00905801" w:rsidP="00AA4622">
      <w:pPr>
        <w:spacing w:line="480" w:lineRule="auto"/>
        <w:jc w:val="both"/>
        <w:rPr>
          <w:rFonts w:ascii="Arial" w:hAnsi="Arial" w:cs="Arial"/>
        </w:rPr>
      </w:pPr>
    </w:p>
    <w:p w14:paraId="60DE0D4B" w14:textId="41B0EC8F" w:rsidR="00905801" w:rsidRDefault="00905801" w:rsidP="00AA4622">
      <w:pPr>
        <w:spacing w:line="480" w:lineRule="auto"/>
        <w:jc w:val="both"/>
        <w:rPr>
          <w:rFonts w:ascii="Arial" w:hAnsi="Arial" w:cs="Arial"/>
        </w:rPr>
      </w:pPr>
    </w:p>
    <w:p w14:paraId="3B6FFC85" w14:textId="52375A99" w:rsidR="00905801" w:rsidRDefault="00905801" w:rsidP="00AA4622">
      <w:pPr>
        <w:spacing w:line="480" w:lineRule="auto"/>
        <w:jc w:val="both"/>
        <w:rPr>
          <w:rFonts w:ascii="Arial" w:hAnsi="Arial" w:cs="Arial"/>
        </w:rPr>
      </w:pPr>
    </w:p>
    <w:p w14:paraId="309B8915" w14:textId="59E6BAE0" w:rsidR="00905801" w:rsidRDefault="00905801" w:rsidP="00AA4622">
      <w:pPr>
        <w:spacing w:line="480" w:lineRule="auto"/>
        <w:jc w:val="both"/>
        <w:rPr>
          <w:rFonts w:ascii="Arial" w:hAnsi="Arial" w:cs="Arial"/>
        </w:rPr>
      </w:pPr>
    </w:p>
    <w:p w14:paraId="039C11D3" w14:textId="15647517" w:rsidR="00905801" w:rsidRDefault="00905801" w:rsidP="00AA4622">
      <w:pPr>
        <w:spacing w:line="480" w:lineRule="auto"/>
        <w:jc w:val="both"/>
        <w:rPr>
          <w:rFonts w:ascii="Arial" w:hAnsi="Arial" w:cs="Arial"/>
        </w:rPr>
      </w:pPr>
    </w:p>
    <w:p w14:paraId="49ECB7FD" w14:textId="195B4D70" w:rsidR="00905801" w:rsidRDefault="00905801" w:rsidP="00AA4622">
      <w:pPr>
        <w:spacing w:line="480" w:lineRule="auto"/>
        <w:jc w:val="both"/>
        <w:rPr>
          <w:rFonts w:ascii="Arial" w:hAnsi="Arial" w:cs="Arial"/>
        </w:rPr>
      </w:pPr>
    </w:p>
    <w:p w14:paraId="5EB68413" w14:textId="1AF5A432" w:rsidR="00905801" w:rsidRDefault="00905801" w:rsidP="00AA4622">
      <w:pPr>
        <w:spacing w:line="480" w:lineRule="auto"/>
        <w:jc w:val="both"/>
        <w:rPr>
          <w:rFonts w:ascii="Arial" w:hAnsi="Arial" w:cs="Arial"/>
        </w:rPr>
      </w:pPr>
    </w:p>
    <w:p w14:paraId="5CA8DD17" w14:textId="5536ADC5" w:rsidR="00905801" w:rsidRDefault="00905801" w:rsidP="00AA4622">
      <w:pPr>
        <w:spacing w:line="480" w:lineRule="auto"/>
        <w:jc w:val="both"/>
        <w:rPr>
          <w:rFonts w:ascii="Arial" w:hAnsi="Arial" w:cs="Arial"/>
        </w:rPr>
      </w:pPr>
    </w:p>
    <w:p w14:paraId="2DB5466B" w14:textId="1E5B4746" w:rsidR="00905801" w:rsidRDefault="00905801" w:rsidP="00AA4622">
      <w:pPr>
        <w:spacing w:line="480" w:lineRule="auto"/>
        <w:jc w:val="both"/>
        <w:rPr>
          <w:rFonts w:ascii="Arial" w:hAnsi="Arial" w:cs="Arial"/>
        </w:rPr>
      </w:pPr>
    </w:p>
    <w:p w14:paraId="04EDFCC7" w14:textId="77777777" w:rsidR="00AA4622" w:rsidRDefault="00AA4622" w:rsidP="00AA4622">
      <w:pPr>
        <w:jc w:val="both"/>
        <w:rPr>
          <w:rFonts w:ascii="Arial" w:hAnsi="Arial" w:cs="Arial"/>
          <w:highlight w:val="green"/>
        </w:rPr>
      </w:pPr>
    </w:p>
    <w:p w14:paraId="5FA8FF95" w14:textId="77777777" w:rsidR="00AA4622" w:rsidRDefault="00AA4622" w:rsidP="00AA4622">
      <w:pPr>
        <w:jc w:val="both"/>
        <w:rPr>
          <w:rFonts w:ascii="Arial" w:hAnsi="Arial" w:cs="Arial"/>
          <w:highlight w:val="green"/>
        </w:rPr>
      </w:pPr>
    </w:p>
    <w:p w14:paraId="514CC3BF" w14:textId="77777777" w:rsidR="00AA4622" w:rsidRDefault="00AA4622" w:rsidP="00AA4622">
      <w:pPr>
        <w:jc w:val="both"/>
        <w:rPr>
          <w:rFonts w:ascii="Arial" w:hAnsi="Arial" w:cs="Arial"/>
          <w:highlight w:val="green"/>
        </w:rPr>
      </w:pPr>
    </w:p>
    <w:p w14:paraId="4CD286D7" w14:textId="77777777" w:rsidR="003420F1" w:rsidRDefault="003420F1" w:rsidP="00AA4622">
      <w:pPr>
        <w:pStyle w:val="NormalWeb"/>
        <w:jc w:val="both"/>
        <w:rPr>
          <w:rFonts w:ascii="Arial" w:hAnsi="Arial" w:cs="Arial"/>
          <w:highlight w:val="red"/>
        </w:rPr>
      </w:pPr>
    </w:p>
    <w:p w14:paraId="5DB82F74" w14:textId="77777777" w:rsidR="00167868" w:rsidRDefault="00167868" w:rsidP="00167868">
      <w:pPr>
        <w:rPr>
          <w:rFonts w:ascii="Arial" w:hAnsi="Arial" w:cs="Arial"/>
          <w:b/>
          <w:bCs/>
        </w:rPr>
      </w:pPr>
    </w:p>
    <w:p w14:paraId="39105466" w14:textId="242FED88" w:rsidR="00167868" w:rsidRPr="00167868" w:rsidRDefault="00D35311" w:rsidP="00167868">
      <w:pPr>
        <w:rPr>
          <w:rFonts w:ascii="Arial" w:hAnsi="Arial" w:cs="Arial"/>
          <w:b/>
          <w:bCs/>
        </w:rPr>
      </w:pPr>
      <w:r w:rsidRPr="00D35311">
        <w:rPr>
          <w:rFonts w:ascii="Arial" w:hAnsi="Arial" w:cs="Arial"/>
          <w:b/>
          <w:bCs/>
        </w:rPr>
        <w:lastRenderedPageBreak/>
        <w:t>Reference List (Part A)</w:t>
      </w:r>
    </w:p>
    <w:p w14:paraId="26A30F63" w14:textId="3F8D20CB" w:rsidR="00167868" w:rsidRPr="00167868" w:rsidRDefault="00167868" w:rsidP="00167868">
      <w:pPr>
        <w:rPr>
          <w:rFonts w:ascii="Arial" w:hAnsi="Arial" w:cs="Arial"/>
          <w:sz w:val="20"/>
          <w:szCs w:val="20"/>
        </w:rPr>
      </w:pPr>
      <w:r w:rsidRPr="00167868">
        <w:rPr>
          <w:rFonts w:ascii="Arial" w:hAnsi="Arial" w:cs="Arial"/>
          <w:sz w:val="20"/>
          <w:szCs w:val="20"/>
          <w:shd w:val="clear" w:color="auto" w:fill="FFFFFF"/>
        </w:rPr>
        <w:t>‌</w:t>
      </w:r>
    </w:p>
    <w:p w14:paraId="5892097A" w14:textId="77777777" w:rsidR="00167868" w:rsidRPr="00167868" w:rsidRDefault="00167868" w:rsidP="00167868">
      <w:pPr>
        <w:rPr>
          <w:rFonts w:ascii="Arial" w:hAnsi="Arial" w:cs="Arial"/>
          <w:sz w:val="20"/>
          <w:szCs w:val="20"/>
        </w:rPr>
      </w:pPr>
      <w:r w:rsidRPr="00167868">
        <w:rPr>
          <w:rFonts w:ascii="Arial" w:hAnsi="Arial" w:cs="Arial"/>
          <w:sz w:val="20"/>
          <w:szCs w:val="20"/>
          <w:shd w:val="clear" w:color="auto" w:fill="FFFFFF"/>
        </w:rPr>
        <w:t>‌</w:t>
      </w:r>
    </w:p>
    <w:p w14:paraId="75827638" w14:textId="457E5105" w:rsidR="00167868" w:rsidRDefault="00167868" w:rsidP="00167868">
      <w:pPr>
        <w:pStyle w:val="ListParagraph"/>
        <w:numPr>
          <w:ilvl w:val="0"/>
          <w:numId w:val="10"/>
        </w:numPr>
        <w:rPr>
          <w:rFonts w:ascii="Arial" w:hAnsi="Arial" w:cs="Arial"/>
          <w:sz w:val="20"/>
          <w:szCs w:val="20"/>
        </w:rPr>
      </w:pPr>
      <w:r w:rsidRPr="00167868">
        <w:rPr>
          <w:rFonts w:ascii="Arial" w:hAnsi="Arial" w:cs="Arial"/>
          <w:sz w:val="20"/>
          <w:szCs w:val="20"/>
          <w:shd w:val="clear" w:color="auto" w:fill="FFFFFF"/>
        </w:rPr>
        <w:t>‌</w:t>
      </w:r>
      <w:r w:rsidRPr="00167868">
        <w:rPr>
          <w:rFonts w:ascii="Arial" w:hAnsi="Arial" w:cs="Arial"/>
          <w:sz w:val="20"/>
          <w:szCs w:val="20"/>
        </w:rPr>
        <w:t xml:space="preserve"> Forensic Science Regulator (2020).</w:t>
      </w:r>
      <w:r w:rsidRPr="00167868">
        <w:rPr>
          <w:rStyle w:val="apple-converted-space"/>
          <w:rFonts w:ascii="Arial" w:hAnsi="Arial" w:cs="Arial"/>
          <w:color w:val="000000"/>
          <w:sz w:val="20"/>
          <w:szCs w:val="20"/>
        </w:rPr>
        <w:t> </w:t>
      </w:r>
      <w:r w:rsidRPr="00167868">
        <w:rPr>
          <w:rFonts w:ascii="Arial" w:hAnsi="Arial" w:cs="Arial"/>
          <w:i/>
          <w:iCs/>
          <w:sz w:val="20"/>
          <w:szCs w:val="20"/>
        </w:rPr>
        <w:t xml:space="preserve">Forensic Science Regulator Guidance </w:t>
      </w:r>
      <w:proofErr w:type="gramStart"/>
      <w:r w:rsidRPr="00167868">
        <w:rPr>
          <w:rFonts w:ascii="Arial" w:hAnsi="Arial" w:cs="Arial"/>
          <w:i/>
          <w:iCs/>
          <w:sz w:val="20"/>
          <w:szCs w:val="20"/>
        </w:rPr>
        <w:t>The</w:t>
      </w:r>
      <w:proofErr w:type="gramEnd"/>
      <w:r w:rsidRPr="00167868">
        <w:rPr>
          <w:rFonts w:ascii="Arial" w:hAnsi="Arial" w:cs="Arial"/>
          <w:i/>
          <w:iCs/>
          <w:sz w:val="20"/>
          <w:szCs w:val="20"/>
        </w:rPr>
        <w:t xml:space="preserve"> Control and Avoidance of Contamination in Scene Examination involving DNA Evidence Recovery FSR-G-206 Issue 2</w:t>
      </w:r>
      <w:r w:rsidRPr="00167868">
        <w:rPr>
          <w:rFonts w:ascii="Arial" w:hAnsi="Arial" w:cs="Arial"/>
          <w:sz w:val="20"/>
          <w:szCs w:val="20"/>
        </w:rPr>
        <w:t xml:space="preserve">. Available at: </w:t>
      </w:r>
      <w:hyperlink r:id="rId6" w:history="1">
        <w:r w:rsidRPr="00167868">
          <w:rPr>
            <w:rStyle w:val="Hyperlink"/>
            <w:rFonts w:ascii="Arial" w:hAnsi="Arial" w:cs="Arial"/>
            <w:sz w:val="20"/>
            <w:szCs w:val="20"/>
          </w:rPr>
          <w:t>https://assets.publishing.service.gov.uk/government/uploads/system/uploads/attachment_data/file/915221/FSR_G-206_Issue_2_Final.pdf</w:t>
        </w:r>
      </w:hyperlink>
      <w:r w:rsidRPr="00167868">
        <w:rPr>
          <w:rFonts w:ascii="Arial" w:hAnsi="Arial" w:cs="Arial"/>
          <w:sz w:val="20"/>
          <w:szCs w:val="20"/>
        </w:rPr>
        <w:t>. (Accessed: 21.02.22).</w:t>
      </w:r>
    </w:p>
    <w:p w14:paraId="19F6F666" w14:textId="77777777" w:rsidR="00167868" w:rsidRPr="00167868" w:rsidRDefault="00167868" w:rsidP="00167868">
      <w:pPr>
        <w:pStyle w:val="ListParagraph"/>
        <w:rPr>
          <w:rFonts w:ascii="Arial" w:hAnsi="Arial" w:cs="Arial"/>
          <w:sz w:val="20"/>
          <w:szCs w:val="20"/>
        </w:rPr>
      </w:pPr>
    </w:p>
    <w:p w14:paraId="28FE2793" w14:textId="325768C5" w:rsidR="00167868" w:rsidRDefault="00167868" w:rsidP="00167868">
      <w:pPr>
        <w:pStyle w:val="ListParagraph"/>
        <w:numPr>
          <w:ilvl w:val="0"/>
          <w:numId w:val="10"/>
        </w:numPr>
        <w:rPr>
          <w:rFonts w:ascii="Arial" w:hAnsi="Arial" w:cs="Arial"/>
          <w:sz w:val="20"/>
          <w:szCs w:val="20"/>
        </w:rPr>
      </w:pPr>
      <w:proofErr w:type="spellStart"/>
      <w:r w:rsidRPr="00167868">
        <w:rPr>
          <w:rFonts w:ascii="Arial" w:hAnsi="Arial" w:cs="Arial"/>
          <w:sz w:val="20"/>
          <w:szCs w:val="20"/>
        </w:rPr>
        <w:t>Arifi</w:t>
      </w:r>
      <w:proofErr w:type="spellEnd"/>
      <w:r w:rsidRPr="00167868">
        <w:rPr>
          <w:rFonts w:ascii="Arial" w:hAnsi="Arial" w:cs="Arial"/>
          <w:sz w:val="20"/>
          <w:szCs w:val="20"/>
        </w:rPr>
        <w:t>, B. (2015). ‘Preservation of the Crime Scene’,</w:t>
      </w:r>
      <w:r w:rsidRPr="00167868">
        <w:rPr>
          <w:rStyle w:val="apple-converted-space"/>
          <w:rFonts w:ascii="Arial" w:hAnsi="Arial" w:cs="Arial"/>
          <w:color w:val="000000"/>
          <w:sz w:val="20"/>
          <w:szCs w:val="20"/>
        </w:rPr>
        <w:t> </w:t>
      </w:r>
      <w:r w:rsidRPr="00167868">
        <w:rPr>
          <w:rFonts w:ascii="Arial" w:hAnsi="Arial" w:cs="Arial"/>
          <w:i/>
          <w:iCs/>
          <w:sz w:val="20"/>
          <w:szCs w:val="20"/>
        </w:rPr>
        <w:t>Sociology Study</w:t>
      </w:r>
      <w:r w:rsidRPr="00167868">
        <w:rPr>
          <w:rFonts w:ascii="Arial" w:hAnsi="Arial" w:cs="Arial"/>
          <w:sz w:val="20"/>
          <w:szCs w:val="20"/>
        </w:rPr>
        <w:t>, 5(8), pp.628–632. Available at: http://www.davidpublisher.com/Public/uploads/Contribute/5684c6afe0e34.pdf (Accessed: 21.02.22).</w:t>
      </w:r>
    </w:p>
    <w:p w14:paraId="5E5B0C81" w14:textId="77777777" w:rsidR="00167868" w:rsidRPr="00167868" w:rsidRDefault="00167868" w:rsidP="00167868">
      <w:pPr>
        <w:rPr>
          <w:rFonts w:ascii="Arial" w:hAnsi="Arial" w:cs="Arial"/>
          <w:sz w:val="20"/>
          <w:szCs w:val="20"/>
        </w:rPr>
      </w:pPr>
    </w:p>
    <w:p w14:paraId="3940F52A" w14:textId="70D4CF90" w:rsidR="00167868" w:rsidRDefault="00167868" w:rsidP="00167868">
      <w:pPr>
        <w:pStyle w:val="ListParagraph"/>
        <w:numPr>
          <w:ilvl w:val="0"/>
          <w:numId w:val="10"/>
        </w:numPr>
        <w:rPr>
          <w:rFonts w:ascii="Arial" w:hAnsi="Arial" w:cs="Arial"/>
          <w:sz w:val="20"/>
          <w:szCs w:val="20"/>
        </w:rPr>
      </w:pPr>
      <w:r w:rsidRPr="00167868">
        <w:rPr>
          <w:rFonts w:ascii="Arial" w:hAnsi="Arial" w:cs="Arial"/>
          <w:sz w:val="20"/>
          <w:szCs w:val="20"/>
          <w:shd w:val="clear" w:color="auto" w:fill="FFFFFF"/>
        </w:rPr>
        <w:t>‌</w:t>
      </w:r>
      <w:r w:rsidRPr="00167868">
        <w:rPr>
          <w:rFonts w:ascii="Arial" w:hAnsi="Arial" w:cs="Arial"/>
          <w:sz w:val="20"/>
          <w:szCs w:val="20"/>
        </w:rPr>
        <w:t xml:space="preserve">Blackburn, B., </w:t>
      </w:r>
      <w:proofErr w:type="spellStart"/>
      <w:r w:rsidRPr="00167868">
        <w:rPr>
          <w:rFonts w:ascii="Arial" w:hAnsi="Arial" w:cs="Arial"/>
          <w:sz w:val="20"/>
          <w:szCs w:val="20"/>
        </w:rPr>
        <w:t>Graca</w:t>
      </w:r>
      <w:proofErr w:type="spellEnd"/>
      <w:r w:rsidRPr="00167868">
        <w:rPr>
          <w:rFonts w:ascii="Arial" w:hAnsi="Arial" w:cs="Arial"/>
          <w:sz w:val="20"/>
          <w:szCs w:val="20"/>
        </w:rPr>
        <w:t xml:space="preserve">, S., Lawton-Barrett, K., Gilbert, P., Hooper, G., Jones, G., </w:t>
      </w:r>
      <w:proofErr w:type="spellStart"/>
      <w:r w:rsidRPr="00167868">
        <w:rPr>
          <w:rFonts w:ascii="Arial" w:hAnsi="Arial" w:cs="Arial"/>
          <w:sz w:val="20"/>
          <w:szCs w:val="20"/>
        </w:rPr>
        <w:t>Lerpiniere</w:t>
      </w:r>
      <w:proofErr w:type="spellEnd"/>
      <w:r w:rsidRPr="00167868">
        <w:rPr>
          <w:rFonts w:ascii="Arial" w:hAnsi="Arial" w:cs="Arial"/>
          <w:sz w:val="20"/>
          <w:szCs w:val="20"/>
        </w:rPr>
        <w:t xml:space="preserve">, P., McCormack, T., Mitchell, S., Nunn, J., O’Neill, M., Owens, J., </w:t>
      </w:r>
      <w:proofErr w:type="spellStart"/>
      <w:r w:rsidRPr="00167868">
        <w:rPr>
          <w:rFonts w:ascii="Arial" w:hAnsi="Arial" w:cs="Arial"/>
          <w:sz w:val="20"/>
          <w:szCs w:val="20"/>
        </w:rPr>
        <w:t>Straine</w:t>
      </w:r>
      <w:proofErr w:type="spellEnd"/>
      <w:r w:rsidRPr="00167868">
        <w:rPr>
          <w:rFonts w:ascii="Arial" w:hAnsi="Arial" w:cs="Arial"/>
          <w:sz w:val="20"/>
          <w:szCs w:val="20"/>
        </w:rPr>
        <w:t xml:space="preserve">-Francis, V., Underwood, R. and Wood, D. (2016) Oxford: Oxford University Press. Available at: </w:t>
      </w:r>
      <w:hyperlink r:id="rId7" w:history="1">
        <w:r w:rsidRPr="00167868">
          <w:rPr>
            <w:rStyle w:val="Hyperlink"/>
            <w:rFonts w:ascii="Arial" w:hAnsi="Arial" w:cs="Arial"/>
            <w:sz w:val="20"/>
            <w:szCs w:val="20"/>
          </w:rPr>
          <w:t>https://repository.canterbury.ac.uk/item/887v2/blackstone-s-handbook-for-policing-students-2017</w:t>
        </w:r>
      </w:hyperlink>
      <w:r w:rsidRPr="00167868">
        <w:rPr>
          <w:rFonts w:ascii="Arial" w:hAnsi="Arial" w:cs="Arial"/>
          <w:sz w:val="20"/>
          <w:szCs w:val="20"/>
        </w:rPr>
        <w:t xml:space="preserve">  (Accessed: 21.02.22).</w:t>
      </w:r>
    </w:p>
    <w:p w14:paraId="2F2BC15F" w14:textId="77777777" w:rsidR="00167868" w:rsidRPr="00167868" w:rsidRDefault="00167868" w:rsidP="00167868">
      <w:pPr>
        <w:pStyle w:val="ListParagraph"/>
        <w:rPr>
          <w:rFonts w:ascii="Arial" w:hAnsi="Arial" w:cs="Arial"/>
          <w:sz w:val="20"/>
          <w:szCs w:val="20"/>
        </w:rPr>
      </w:pPr>
    </w:p>
    <w:p w14:paraId="0C0A2008" w14:textId="3CA62F4E" w:rsidR="00167868" w:rsidRDefault="00167868" w:rsidP="00167868">
      <w:pPr>
        <w:pStyle w:val="ListParagraph"/>
        <w:numPr>
          <w:ilvl w:val="0"/>
          <w:numId w:val="10"/>
        </w:numPr>
        <w:rPr>
          <w:rFonts w:ascii="Arial" w:hAnsi="Arial" w:cs="Arial"/>
          <w:sz w:val="20"/>
          <w:szCs w:val="20"/>
        </w:rPr>
      </w:pPr>
      <w:r w:rsidRPr="00167868">
        <w:rPr>
          <w:rFonts w:ascii="Arial" w:hAnsi="Arial" w:cs="Arial"/>
          <w:sz w:val="20"/>
          <w:szCs w:val="20"/>
        </w:rPr>
        <w:t>College of Police (2021).</w:t>
      </w:r>
      <w:r w:rsidRPr="00167868">
        <w:rPr>
          <w:rStyle w:val="apple-converted-space"/>
          <w:rFonts w:ascii="Arial" w:hAnsi="Arial" w:cs="Arial"/>
          <w:color w:val="000000"/>
          <w:sz w:val="20"/>
          <w:szCs w:val="20"/>
        </w:rPr>
        <w:t> </w:t>
      </w:r>
      <w:r w:rsidRPr="00167868">
        <w:rPr>
          <w:rFonts w:ascii="Arial" w:hAnsi="Arial" w:cs="Arial"/>
          <w:i/>
          <w:iCs/>
          <w:sz w:val="20"/>
          <w:szCs w:val="20"/>
        </w:rPr>
        <w:t>Managing investigations</w:t>
      </w:r>
      <w:r w:rsidRPr="00167868">
        <w:rPr>
          <w:rFonts w:ascii="Arial" w:hAnsi="Arial" w:cs="Arial"/>
          <w:sz w:val="20"/>
          <w:szCs w:val="20"/>
        </w:rPr>
        <w:t xml:space="preserve">. Available at: </w:t>
      </w:r>
      <w:hyperlink r:id="rId8" w:anchor="securing-the-scene" w:history="1">
        <w:r w:rsidRPr="00167868">
          <w:rPr>
            <w:rStyle w:val="Hyperlink"/>
            <w:rFonts w:ascii="Arial" w:hAnsi="Arial" w:cs="Arial"/>
            <w:sz w:val="20"/>
            <w:szCs w:val="20"/>
          </w:rPr>
          <w:t>https://www.app.college.police.uk/app-content/investigations/managing-investigations/#securing-the-scene</w:t>
        </w:r>
      </w:hyperlink>
      <w:r w:rsidRPr="00167868">
        <w:rPr>
          <w:rFonts w:ascii="Arial" w:hAnsi="Arial" w:cs="Arial"/>
          <w:sz w:val="20"/>
          <w:szCs w:val="20"/>
        </w:rPr>
        <w:t xml:space="preserve"> (Accessed: 21.02.22).</w:t>
      </w:r>
    </w:p>
    <w:p w14:paraId="4E719C5A" w14:textId="77777777" w:rsidR="00167868" w:rsidRPr="00167868" w:rsidRDefault="00167868" w:rsidP="00167868">
      <w:pPr>
        <w:rPr>
          <w:rFonts w:ascii="Arial" w:hAnsi="Arial" w:cs="Arial"/>
          <w:sz w:val="20"/>
          <w:szCs w:val="20"/>
        </w:rPr>
      </w:pPr>
    </w:p>
    <w:p w14:paraId="7B7B893A" w14:textId="18047F9F" w:rsidR="00167868" w:rsidRPr="00167868" w:rsidRDefault="00167868" w:rsidP="00167868">
      <w:pPr>
        <w:pStyle w:val="ListParagraph"/>
        <w:numPr>
          <w:ilvl w:val="0"/>
          <w:numId w:val="10"/>
        </w:numPr>
        <w:rPr>
          <w:rFonts w:ascii="Arial" w:hAnsi="Arial" w:cs="Arial"/>
          <w:color w:val="000000"/>
          <w:sz w:val="20"/>
          <w:szCs w:val="20"/>
        </w:rPr>
      </w:pPr>
      <w:r w:rsidRPr="00167868">
        <w:rPr>
          <w:rFonts w:ascii="Arial" w:hAnsi="Arial" w:cs="Arial"/>
          <w:color w:val="000000"/>
          <w:sz w:val="20"/>
          <w:szCs w:val="20"/>
          <w:shd w:val="clear" w:color="auto" w:fill="FFFFFF"/>
        </w:rPr>
        <w:t>‌</w:t>
      </w:r>
      <w:r w:rsidRPr="00167868">
        <w:rPr>
          <w:rFonts w:ascii="Arial" w:hAnsi="Arial" w:cs="Arial"/>
          <w:color w:val="000000"/>
          <w:sz w:val="20"/>
          <w:szCs w:val="20"/>
        </w:rPr>
        <w:t>College Of Policing (2013). </w:t>
      </w:r>
      <w:r w:rsidRPr="00167868">
        <w:rPr>
          <w:rFonts w:ascii="Arial" w:hAnsi="Arial" w:cs="Arial"/>
          <w:i/>
          <w:iCs/>
          <w:color w:val="000000"/>
          <w:sz w:val="20"/>
          <w:szCs w:val="20"/>
        </w:rPr>
        <w:t>National Decision Model</w:t>
      </w:r>
      <w:r w:rsidRPr="00167868">
        <w:rPr>
          <w:rFonts w:ascii="Arial" w:hAnsi="Arial" w:cs="Arial"/>
          <w:color w:val="000000"/>
          <w:sz w:val="20"/>
          <w:szCs w:val="20"/>
        </w:rPr>
        <w:t xml:space="preserve">. Available at: https://www.app.college.police.uk/app-content/national-decision-model/the-national-decision-model/ </w:t>
      </w:r>
      <w:r w:rsidRPr="00167868">
        <w:rPr>
          <w:rFonts w:ascii="Arial" w:hAnsi="Arial" w:cs="Arial"/>
          <w:sz w:val="20"/>
          <w:szCs w:val="20"/>
        </w:rPr>
        <w:t xml:space="preserve">(Accessed 22.02.22). </w:t>
      </w:r>
    </w:p>
    <w:p w14:paraId="7FA0BE3D" w14:textId="77777777" w:rsidR="00167868" w:rsidRPr="00167868" w:rsidRDefault="00167868" w:rsidP="00167868">
      <w:pPr>
        <w:rPr>
          <w:rFonts w:ascii="Arial" w:hAnsi="Arial" w:cs="Arial"/>
          <w:color w:val="000000"/>
          <w:sz w:val="20"/>
          <w:szCs w:val="20"/>
        </w:rPr>
      </w:pPr>
    </w:p>
    <w:p w14:paraId="4D4C6A5C" w14:textId="30A9B033" w:rsidR="00167868" w:rsidRDefault="00167868" w:rsidP="00167868">
      <w:pPr>
        <w:pStyle w:val="ListParagraph"/>
        <w:numPr>
          <w:ilvl w:val="0"/>
          <w:numId w:val="10"/>
        </w:numPr>
        <w:rPr>
          <w:rFonts w:ascii="Arial" w:hAnsi="Arial" w:cs="Arial"/>
          <w:sz w:val="20"/>
          <w:szCs w:val="20"/>
        </w:rPr>
      </w:pPr>
      <w:r w:rsidRPr="00167868">
        <w:rPr>
          <w:rFonts w:ascii="Arial" w:hAnsi="Arial" w:cs="Arial"/>
          <w:sz w:val="20"/>
          <w:szCs w:val="20"/>
        </w:rPr>
        <w:t>Evening Standard (2012). </w:t>
      </w:r>
      <w:r w:rsidRPr="00167868">
        <w:rPr>
          <w:rFonts w:ascii="Arial" w:hAnsi="Arial" w:cs="Arial"/>
          <w:i/>
          <w:iCs/>
          <w:sz w:val="20"/>
          <w:szCs w:val="20"/>
        </w:rPr>
        <w:t>Police 'looked on as Madeleine crime scene was trampled by circus of</w:t>
      </w:r>
      <w:r w:rsidRPr="00167868">
        <w:rPr>
          <w:rFonts w:ascii="Arial" w:hAnsi="Arial" w:cs="Arial"/>
          <w:sz w:val="20"/>
          <w:szCs w:val="20"/>
        </w:rPr>
        <w:t xml:space="preserve">. Available at: </w:t>
      </w:r>
      <w:hyperlink r:id="rId9" w:history="1">
        <w:r w:rsidRPr="00167868">
          <w:rPr>
            <w:rStyle w:val="Hyperlink"/>
            <w:rFonts w:ascii="Arial" w:hAnsi="Arial" w:cs="Arial"/>
            <w:sz w:val="20"/>
            <w:szCs w:val="20"/>
          </w:rPr>
          <w:t>https://www.standard.co.uk/hp/front/police-looked-on-as-madeleine-crime-scene-was-trampled-by-circus-of-people-6664376.html</w:t>
        </w:r>
      </w:hyperlink>
      <w:r w:rsidRPr="00167868">
        <w:rPr>
          <w:rFonts w:ascii="Arial" w:hAnsi="Arial" w:cs="Arial"/>
          <w:sz w:val="20"/>
          <w:szCs w:val="20"/>
        </w:rPr>
        <w:t xml:space="preserve"> (Accessed 22.02.22).</w:t>
      </w:r>
    </w:p>
    <w:p w14:paraId="78D95842" w14:textId="77777777" w:rsidR="00167868" w:rsidRPr="00167868" w:rsidRDefault="00167868" w:rsidP="00167868">
      <w:pPr>
        <w:rPr>
          <w:rFonts w:ascii="Arial" w:hAnsi="Arial" w:cs="Arial"/>
          <w:sz w:val="20"/>
          <w:szCs w:val="20"/>
        </w:rPr>
      </w:pPr>
    </w:p>
    <w:p w14:paraId="079921AB" w14:textId="1D489227" w:rsidR="00167868" w:rsidRDefault="00167868" w:rsidP="00167868">
      <w:pPr>
        <w:pStyle w:val="ListParagraph"/>
        <w:numPr>
          <w:ilvl w:val="0"/>
          <w:numId w:val="10"/>
        </w:numPr>
        <w:rPr>
          <w:rFonts w:ascii="Arial" w:hAnsi="Arial" w:cs="Arial"/>
          <w:sz w:val="20"/>
          <w:szCs w:val="20"/>
        </w:rPr>
      </w:pPr>
      <w:r w:rsidRPr="00167868">
        <w:rPr>
          <w:rFonts w:ascii="Arial" w:hAnsi="Arial" w:cs="Arial"/>
          <w:sz w:val="20"/>
          <w:szCs w:val="20"/>
        </w:rPr>
        <w:t xml:space="preserve">Gehl, R. and </w:t>
      </w:r>
      <w:proofErr w:type="spellStart"/>
      <w:r w:rsidRPr="00167868">
        <w:rPr>
          <w:rFonts w:ascii="Arial" w:hAnsi="Arial" w:cs="Arial"/>
          <w:sz w:val="20"/>
          <w:szCs w:val="20"/>
        </w:rPr>
        <w:t>Plecas</w:t>
      </w:r>
      <w:proofErr w:type="spellEnd"/>
      <w:r w:rsidRPr="00167868">
        <w:rPr>
          <w:rFonts w:ascii="Arial" w:hAnsi="Arial" w:cs="Arial"/>
          <w:sz w:val="20"/>
          <w:szCs w:val="20"/>
        </w:rPr>
        <w:t>, D. (2017).</w:t>
      </w:r>
      <w:r w:rsidRPr="00167868">
        <w:rPr>
          <w:rStyle w:val="apple-converted-space"/>
          <w:rFonts w:ascii="Arial" w:hAnsi="Arial" w:cs="Arial"/>
          <w:color w:val="000000"/>
          <w:sz w:val="20"/>
          <w:szCs w:val="20"/>
        </w:rPr>
        <w:t> </w:t>
      </w:r>
      <w:r w:rsidRPr="00167868">
        <w:rPr>
          <w:rFonts w:ascii="Arial" w:hAnsi="Arial" w:cs="Arial"/>
          <w:i/>
          <w:iCs/>
          <w:sz w:val="20"/>
          <w:szCs w:val="20"/>
        </w:rPr>
        <w:t xml:space="preserve">Introduction to Criminal Investigation: Processes, Practices and Thinking. </w:t>
      </w:r>
      <w:r w:rsidRPr="00167868">
        <w:rPr>
          <w:rFonts w:ascii="Arial" w:hAnsi="Arial" w:cs="Arial"/>
          <w:sz w:val="20"/>
          <w:szCs w:val="20"/>
        </w:rPr>
        <w:t xml:space="preserve">Available at: </w:t>
      </w:r>
      <w:hyperlink r:id="rId10" w:history="1">
        <w:r w:rsidRPr="00167868">
          <w:rPr>
            <w:rStyle w:val="Hyperlink"/>
            <w:rFonts w:ascii="Arial" w:hAnsi="Arial" w:cs="Arial"/>
            <w:sz w:val="20"/>
            <w:szCs w:val="20"/>
          </w:rPr>
          <w:t>https://pressbooks.bccampus.ca/criminalinvestigation/</w:t>
        </w:r>
      </w:hyperlink>
      <w:r w:rsidRPr="00167868">
        <w:rPr>
          <w:rFonts w:ascii="Arial" w:hAnsi="Arial" w:cs="Arial"/>
          <w:sz w:val="20"/>
          <w:szCs w:val="20"/>
        </w:rPr>
        <w:t xml:space="preserve"> (Accessed: 21.02.22). </w:t>
      </w:r>
    </w:p>
    <w:p w14:paraId="041BAF0C" w14:textId="77777777" w:rsidR="00167868" w:rsidRPr="00167868" w:rsidRDefault="00167868" w:rsidP="00167868">
      <w:pPr>
        <w:rPr>
          <w:rFonts w:ascii="Arial" w:hAnsi="Arial" w:cs="Arial"/>
          <w:sz w:val="20"/>
          <w:szCs w:val="20"/>
        </w:rPr>
      </w:pPr>
    </w:p>
    <w:p w14:paraId="18AD5339" w14:textId="46D0A35E" w:rsidR="00167868" w:rsidRDefault="00167868" w:rsidP="00167868">
      <w:pPr>
        <w:pStyle w:val="ListParagraph"/>
        <w:numPr>
          <w:ilvl w:val="0"/>
          <w:numId w:val="10"/>
        </w:numPr>
        <w:rPr>
          <w:rFonts w:ascii="Arial" w:hAnsi="Arial" w:cs="Arial"/>
          <w:sz w:val="20"/>
          <w:szCs w:val="20"/>
        </w:rPr>
      </w:pPr>
      <w:r w:rsidRPr="00167868">
        <w:rPr>
          <w:rFonts w:ascii="Arial" w:hAnsi="Arial" w:cs="Arial"/>
          <w:color w:val="000000"/>
          <w:sz w:val="20"/>
          <w:szCs w:val="20"/>
        </w:rPr>
        <w:t xml:space="preserve">Gooch, G. and Williams, M. (2007) </w:t>
      </w:r>
      <w:r w:rsidRPr="00167868">
        <w:rPr>
          <w:rFonts w:ascii="Arial" w:hAnsi="Arial" w:cs="Arial"/>
          <w:i/>
          <w:iCs/>
          <w:color w:val="000000"/>
          <w:sz w:val="20"/>
          <w:szCs w:val="20"/>
        </w:rPr>
        <w:t xml:space="preserve">A Dictionary of Law Enforcement. </w:t>
      </w:r>
      <w:r w:rsidRPr="00167868">
        <w:rPr>
          <w:rFonts w:ascii="Arial" w:hAnsi="Arial" w:cs="Arial"/>
          <w:color w:val="000000"/>
          <w:sz w:val="20"/>
          <w:szCs w:val="20"/>
        </w:rPr>
        <w:t xml:space="preserve">Available at: </w:t>
      </w:r>
      <w:hyperlink r:id="rId11" w:history="1">
        <w:r w:rsidRPr="00167868">
          <w:rPr>
            <w:rStyle w:val="Hyperlink"/>
            <w:rFonts w:ascii="Arial" w:hAnsi="Arial" w:cs="Arial"/>
            <w:sz w:val="20"/>
            <w:szCs w:val="20"/>
          </w:rPr>
          <w:t>https://www.oxfordreference.com/view/10.1093/acref/9780192807021.001.0001/acref-9780192807021</w:t>
        </w:r>
      </w:hyperlink>
      <w:r w:rsidRPr="00167868">
        <w:rPr>
          <w:rFonts w:ascii="Arial" w:hAnsi="Arial" w:cs="Arial"/>
          <w:color w:val="000000"/>
          <w:sz w:val="20"/>
          <w:szCs w:val="20"/>
        </w:rPr>
        <w:t xml:space="preserve"> </w:t>
      </w:r>
      <w:r w:rsidRPr="00167868">
        <w:rPr>
          <w:rFonts w:ascii="Arial" w:hAnsi="Arial" w:cs="Arial"/>
          <w:sz w:val="20"/>
          <w:szCs w:val="20"/>
        </w:rPr>
        <w:t>(Accessed 22.02.22).</w:t>
      </w:r>
    </w:p>
    <w:p w14:paraId="4D182736" w14:textId="77777777" w:rsidR="00167868" w:rsidRPr="00167868" w:rsidRDefault="00167868" w:rsidP="00167868">
      <w:pPr>
        <w:rPr>
          <w:rFonts w:ascii="Arial" w:hAnsi="Arial" w:cs="Arial"/>
          <w:sz w:val="20"/>
          <w:szCs w:val="20"/>
        </w:rPr>
      </w:pPr>
    </w:p>
    <w:p w14:paraId="4C5E6ABA" w14:textId="4E3E8F5A" w:rsidR="00167868" w:rsidRDefault="00167868" w:rsidP="00167868">
      <w:pPr>
        <w:pStyle w:val="ListParagraph"/>
        <w:numPr>
          <w:ilvl w:val="0"/>
          <w:numId w:val="10"/>
        </w:numPr>
        <w:rPr>
          <w:rFonts w:ascii="Arial" w:hAnsi="Arial" w:cs="Arial"/>
          <w:sz w:val="20"/>
          <w:szCs w:val="20"/>
        </w:rPr>
      </w:pPr>
      <w:proofErr w:type="spellStart"/>
      <w:r w:rsidRPr="00167868">
        <w:rPr>
          <w:rFonts w:ascii="Arial" w:hAnsi="Arial" w:cs="Arial"/>
          <w:sz w:val="20"/>
          <w:szCs w:val="20"/>
        </w:rPr>
        <w:t>Horswell</w:t>
      </w:r>
      <w:proofErr w:type="spellEnd"/>
      <w:r w:rsidRPr="00167868">
        <w:rPr>
          <w:rFonts w:ascii="Arial" w:hAnsi="Arial" w:cs="Arial"/>
          <w:sz w:val="20"/>
          <w:szCs w:val="20"/>
        </w:rPr>
        <w:t xml:space="preserve">, J. and Fowler, C., 2004. Associative evidence–the </w:t>
      </w:r>
      <w:proofErr w:type="spellStart"/>
      <w:r w:rsidRPr="00167868">
        <w:rPr>
          <w:rFonts w:ascii="Arial" w:hAnsi="Arial" w:cs="Arial"/>
          <w:sz w:val="20"/>
          <w:szCs w:val="20"/>
        </w:rPr>
        <w:t>Locard</w:t>
      </w:r>
      <w:proofErr w:type="spellEnd"/>
      <w:r w:rsidRPr="00167868">
        <w:rPr>
          <w:rFonts w:ascii="Arial" w:hAnsi="Arial" w:cs="Arial"/>
          <w:sz w:val="20"/>
          <w:szCs w:val="20"/>
        </w:rPr>
        <w:t xml:space="preserve"> exchange principle. In The Practice </w:t>
      </w:r>
      <w:proofErr w:type="gramStart"/>
      <w:r w:rsidRPr="00167868">
        <w:rPr>
          <w:rFonts w:ascii="Arial" w:hAnsi="Arial" w:cs="Arial"/>
          <w:sz w:val="20"/>
          <w:szCs w:val="20"/>
        </w:rPr>
        <w:t>Of</w:t>
      </w:r>
      <w:proofErr w:type="gramEnd"/>
      <w:r w:rsidRPr="00167868">
        <w:rPr>
          <w:rFonts w:ascii="Arial" w:hAnsi="Arial" w:cs="Arial"/>
          <w:sz w:val="20"/>
          <w:szCs w:val="20"/>
        </w:rPr>
        <w:t xml:space="preserve"> Crime Scene Investigation (pp. 77-88). CRC Press.</w:t>
      </w:r>
    </w:p>
    <w:p w14:paraId="510E432A" w14:textId="77777777" w:rsidR="00167868" w:rsidRPr="00167868" w:rsidRDefault="00167868" w:rsidP="00167868">
      <w:pPr>
        <w:rPr>
          <w:rFonts w:ascii="Arial" w:hAnsi="Arial" w:cs="Arial"/>
          <w:sz w:val="20"/>
          <w:szCs w:val="20"/>
        </w:rPr>
      </w:pPr>
    </w:p>
    <w:p w14:paraId="5D31442D" w14:textId="4230DE1B" w:rsidR="00167868" w:rsidRDefault="00167868" w:rsidP="00167868">
      <w:pPr>
        <w:pStyle w:val="ListParagraph"/>
        <w:numPr>
          <w:ilvl w:val="0"/>
          <w:numId w:val="10"/>
        </w:numPr>
        <w:rPr>
          <w:rFonts w:ascii="Arial" w:hAnsi="Arial" w:cs="Arial"/>
          <w:sz w:val="20"/>
          <w:szCs w:val="20"/>
        </w:rPr>
      </w:pPr>
      <w:r w:rsidRPr="00167868">
        <w:rPr>
          <w:rFonts w:ascii="Arial" w:hAnsi="Arial" w:cs="Arial"/>
          <w:sz w:val="20"/>
          <w:szCs w:val="20"/>
        </w:rPr>
        <w:t>Mclean, F. and Hillier, J. (2011).</w:t>
      </w:r>
      <w:r w:rsidRPr="00167868">
        <w:rPr>
          <w:rStyle w:val="apple-converted-space"/>
          <w:rFonts w:ascii="Arial" w:hAnsi="Arial" w:cs="Arial"/>
          <w:color w:val="000000"/>
          <w:sz w:val="20"/>
          <w:szCs w:val="20"/>
        </w:rPr>
        <w:t> </w:t>
      </w:r>
      <w:r w:rsidRPr="00167868">
        <w:rPr>
          <w:rFonts w:ascii="Arial" w:hAnsi="Arial" w:cs="Arial"/>
          <w:i/>
          <w:iCs/>
          <w:sz w:val="20"/>
          <w:szCs w:val="20"/>
        </w:rPr>
        <w:t>An observational study of response and neighbourhood officers</w:t>
      </w:r>
      <w:r w:rsidRPr="00167868">
        <w:rPr>
          <w:rFonts w:ascii="Arial" w:hAnsi="Arial" w:cs="Arial"/>
          <w:sz w:val="20"/>
          <w:szCs w:val="20"/>
        </w:rPr>
        <w:t xml:space="preserve">. Available at: </w:t>
      </w:r>
      <w:hyperlink r:id="rId12" w:history="1">
        <w:r w:rsidRPr="00167868">
          <w:rPr>
            <w:rStyle w:val="Hyperlink"/>
            <w:rFonts w:ascii="Arial" w:hAnsi="Arial" w:cs="Arial"/>
            <w:sz w:val="20"/>
            <w:szCs w:val="20"/>
          </w:rPr>
          <w:t>https://whatworks.college.police.uk/Research/Documents/An_observational_study_of_response_and_neighbourhood_officers.pdf</w:t>
        </w:r>
      </w:hyperlink>
      <w:r w:rsidRPr="00167868">
        <w:rPr>
          <w:rFonts w:ascii="Arial" w:hAnsi="Arial" w:cs="Arial"/>
          <w:sz w:val="20"/>
          <w:szCs w:val="20"/>
        </w:rPr>
        <w:t xml:space="preserve"> (Accessed: 21.02.22). </w:t>
      </w:r>
    </w:p>
    <w:p w14:paraId="67C59323" w14:textId="77777777" w:rsidR="00167868" w:rsidRPr="00167868" w:rsidRDefault="00167868" w:rsidP="00167868">
      <w:pPr>
        <w:rPr>
          <w:rFonts w:ascii="Arial" w:hAnsi="Arial" w:cs="Arial"/>
          <w:sz w:val="20"/>
          <w:szCs w:val="20"/>
        </w:rPr>
      </w:pPr>
    </w:p>
    <w:p w14:paraId="46114DAF" w14:textId="4AD95E62" w:rsidR="00167868" w:rsidRDefault="00167868" w:rsidP="00167868">
      <w:pPr>
        <w:pStyle w:val="ListParagraph"/>
        <w:numPr>
          <w:ilvl w:val="0"/>
          <w:numId w:val="10"/>
        </w:numPr>
        <w:rPr>
          <w:rFonts w:ascii="Arial" w:hAnsi="Arial" w:cs="Arial"/>
          <w:sz w:val="20"/>
          <w:szCs w:val="20"/>
        </w:rPr>
      </w:pPr>
      <w:proofErr w:type="spellStart"/>
      <w:r w:rsidRPr="00167868">
        <w:rPr>
          <w:rFonts w:ascii="Arial" w:hAnsi="Arial" w:cs="Arial"/>
          <w:sz w:val="20"/>
          <w:szCs w:val="20"/>
        </w:rPr>
        <w:t>Mohney</w:t>
      </w:r>
      <w:proofErr w:type="spellEnd"/>
      <w:r w:rsidRPr="00167868">
        <w:rPr>
          <w:rFonts w:ascii="Arial" w:hAnsi="Arial" w:cs="Arial"/>
          <w:sz w:val="20"/>
          <w:szCs w:val="20"/>
        </w:rPr>
        <w:t>, G. (2015).</w:t>
      </w:r>
      <w:r w:rsidRPr="00167868">
        <w:rPr>
          <w:rStyle w:val="apple-converted-space"/>
          <w:rFonts w:ascii="Arial" w:hAnsi="Arial" w:cs="Arial"/>
          <w:color w:val="000000"/>
          <w:sz w:val="20"/>
          <w:szCs w:val="20"/>
        </w:rPr>
        <w:t> </w:t>
      </w:r>
      <w:r w:rsidRPr="00167868">
        <w:rPr>
          <w:rFonts w:ascii="Arial" w:hAnsi="Arial" w:cs="Arial"/>
          <w:i/>
          <w:iCs/>
          <w:sz w:val="20"/>
          <w:szCs w:val="20"/>
        </w:rPr>
        <w:t>A Look Inside the Mistakes in JonBenet Ramsey Investigation Noted by Former Police Chief</w:t>
      </w:r>
      <w:r w:rsidRPr="00167868">
        <w:rPr>
          <w:rFonts w:ascii="Arial" w:hAnsi="Arial" w:cs="Arial"/>
          <w:sz w:val="20"/>
          <w:szCs w:val="20"/>
        </w:rPr>
        <w:t xml:space="preserve">. Available at: </w:t>
      </w:r>
      <w:hyperlink r:id="rId13" w:history="1">
        <w:r w:rsidRPr="00167868">
          <w:rPr>
            <w:rStyle w:val="Hyperlink"/>
            <w:rFonts w:ascii="Arial" w:hAnsi="Arial" w:cs="Arial"/>
            <w:sz w:val="20"/>
            <w:szCs w:val="20"/>
          </w:rPr>
          <w:t>https://abcnews.go.com/US/inside-mistakes-jonbenet-ramsey-investigation-noted-police-chief/story?id=29247378</w:t>
        </w:r>
      </w:hyperlink>
      <w:r w:rsidRPr="00167868">
        <w:rPr>
          <w:rFonts w:ascii="Arial" w:hAnsi="Arial" w:cs="Arial"/>
          <w:sz w:val="20"/>
          <w:szCs w:val="20"/>
        </w:rPr>
        <w:t xml:space="preserve"> (Accessed 22.02.22).</w:t>
      </w:r>
    </w:p>
    <w:p w14:paraId="1006B942" w14:textId="77777777" w:rsidR="00167868" w:rsidRPr="00167868" w:rsidRDefault="00167868" w:rsidP="00167868">
      <w:pPr>
        <w:rPr>
          <w:rFonts w:ascii="Arial" w:hAnsi="Arial" w:cs="Arial"/>
          <w:sz w:val="20"/>
          <w:szCs w:val="20"/>
        </w:rPr>
      </w:pPr>
    </w:p>
    <w:p w14:paraId="20DE1C86" w14:textId="30F7C79F" w:rsidR="00167868" w:rsidRDefault="00167868" w:rsidP="00167868">
      <w:pPr>
        <w:pStyle w:val="ListParagraph"/>
        <w:numPr>
          <w:ilvl w:val="0"/>
          <w:numId w:val="10"/>
        </w:numPr>
        <w:rPr>
          <w:rFonts w:ascii="Arial" w:hAnsi="Arial" w:cs="Arial"/>
          <w:sz w:val="20"/>
          <w:szCs w:val="20"/>
        </w:rPr>
      </w:pPr>
      <w:r w:rsidRPr="00167868">
        <w:rPr>
          <w:rFonts w:ascii="Arial" w:hAnsi="Arial" w:cs="Arial"/>
          <w:sz w:val="20"/>
          <w:szCs w:val="20"/>
        </w:rPr>
        <w:t>Police Service of Northern Ireland (2014). </w:t>
      </w:r>
      <w:r w:rsidRPr="00167868">
        <w:rPr>
          <w:rFonts w:ascii="Arial" w:hAnsi="Arial" w:cs="Arial"/>
          <w:i/>
          <w:iCs/>
          <w:sz w:val="20"/>
          <w:szCs w:val="20"/>
        </w:rPr>
        <w:t xml:space="preserve">Duties Of Personnel Attending </w:t>
      </w:r>
      <w:r>
        <w:rPr>
          <w:rFonts w:ascii="Arial" w:hAnsi="Arial" w:cs="Arial"/>
          <w:i/>
          <w:iCs/>
          <w:sz w:val="20"/>
          <w:szCs w:val="20"/>
        </w:rPr>
        <w:t>a</w:t>
      </w:r>
      <w:r w:rsidRPr="00167868">
        <w:rPr>
          <w:rFonts w:ascii="Arial" w:hAnsi="Arial" w:cs="Arial"/>
          <w:i/>
          <w:iCs/>
          <w:sz w:val="20"/>
          <w:szCs w:val="20"/>
        </w:rPr>
        <w:t xml:space="preserve"> Serious Crime Scene</w:t>
      </w:r>
      <w:r w:rsidRPr="00167868">
        <w:rPr>
          <w:rFonts w:ascii="Arial" w:hAnsi="Arial" w:cs="Arial"/>
          <w:sz w:val="20"/>
          <w:szCs w:val="20"/>
        </w:rPr>
        <w:t xml:space="preserve">.  Available at: </w:t>
      </w:r>
      <w:hyperlink r:id="rId14" w:history="1">
        <w:r w:rsidRPr="00167868">
          <w:rPr>
            <w:rStyle w:val="Hyperlink"/>
            <w:rFonts w:ascii="Arial" w:hAnsi="Arial" w:cs="Arial"/>
            <w:sz w:val="20"/>
            <w:szCs w:val="20"/>
          </w:rPr>
          <w:t>https://www.psni.police.uk/globalassets/advice--information/our-publications/policies-and-service-procedures/service_procedure_47-04.pdf</w:t>
        </w:r>
      </w:hyperlink>
      <w:r w:rsidRPr="00167868">
        <w:rPr>
          <w:rFonts w:ascii="Arial" w:hAnsi="Arial" w:cs="Arial"/>
          <w:sz w:val="20"/>
          <w:szCs w:val="20"/>
        </w:rPr>
        <w:t xml:space="preserve">  (Accessed 22.02.22).</w:t>
      </w:r>
    </w:p>
    <w:p w14:paraId="558189E4" w14:textId="77777777" w:rsidR="00167868" w:rsidRPr="00167868" w:rsidRDefault="00167868" w:rsidP="00167868">
      <w:pPr>
        <w:rPr>
          <w:rFonts w:ascii="Arial" w:hAnsi="Arial" w:cs="Arial"/>
          <w:sz w:val="20"/>
          <w:szCs w:val="20"/>
        </w:rPr>
      </w:pPr>
    </w:p>
    <w:p w14:paraId="03F91461" w14:textId="08878987" w:rsidR="00167868" w:rsidRPr="00167868" w:rsidRDefault="00167868" w:rsidP="00167868">
      <w:pPr>
        <w:pStyle w:val="ListParagraph"/>
        <w:numPr>
          <w:ilvl w:val="0"/>
          <w:numId w:val="10"/>
        </w:numPr>
        <w:rPr>
          <w:rFonts w:ascii="Arial" w:hAnsi="Arial" w:cs="Arial"/>
          <w:color w:val="000000"/>
          <w:sz w:val="20"/>
          <w:szCs w:val="20"/>
        </w:rPr>
      </w:pPr>
      <w:r w:rsidRPr="00167868">
        <w:rPr>
          <w:rFonts w:ascii="Arial" w:hAnsi="Arial" w:cs="Arial"/>
          <w:color w:val="000000"/>
          <w:sz w:val="20"/>
          <w:szCs w:val="20"/>
        </w:rPr>
        <w:t xml:space="preserve">Sutton, R., </w:t>
      </w:r>
      <w:proofErr w:type="spellStart"/>
      <w:r w:rsidRPr="00167868">
        <w:rPr>
          <w:rFonts w:ascii="Arial" w:hAnsi="Arial" w:cs="Arial"/>
          <w:color w:val="000000"/>
          <w:sz w:val="20"/>
          <w:szCs w:val="20"/>
        </w:rPr>
        <w:t>Trueman</w:t>
      </w:r>
      <w:proofErr w:type="spellEnd"/>
      <w:r w:rsidRPr="00167868">
        <w:rPr>
          <w:rFonts w:ascii="Arial" w:hAnsi="Arial" w:cs="Arial"/>
          <w:color w:val="000000"/>
          <w:sz w:val="20"/>
          <w:szCs w:val="20"/>
        </w:rPr>
        <w:t>, K. and Moran, C. (2017). </w:t>
      </w:r>
      <w:r w:rsidRPr="00167868">
        <w:rPr>
          <w:rFonts w:ascii="Arial" w:hAnsi="Arial" w:cs="Arial"/>
          <w:i/>
          <w:iCs/>
          <w:color w:val="000000"/>
          <w:sz w:val="20"/>
          <w:szCs w:val="20"/>
        </w:rPr>
        <w:t>Crime scene management: scene specific methods.</w:t>
      </w:r>
      <w:r w:rsidRPr="00167868">
        <w:rPr>
          <w:rFonts w:ascii="Arial" w:hAnsi="Arial" w:cs="Arial"/>
          <w:color w:val="000000"/>
          <w:sz w:val="20"/>
          <w:szCs w:val="20"/>
        </w:rPr>
        <w:t> Chichester, West Sussex: Wiley Blackwell.</w:t>
      </w:r>
    </w:p>
    <w:p w14:paraId="058F7C99" w14:textId="77777777" w:rsidR="00167868" w:rsidRPr="00167868" w:rsidRDefault="00167868" w:rsidP="00167868">
      <w:pPr>
        <w:pStyle w:val="ListParagraph"/>
        <w:numPr>
          <w:ilvl w:val="0"/>
          <w:numId w:val="10"/>
        </w:numPr>
        <w:rPr>
          <w:rFonts w:ascii="Arial" w:hAnsi="Arial" w:cs="Arial"/>
          <w:color w:val="000000"/>
          <w:sz w:val="20"/>
          <w:szCs w:val="20"/>
        </w:rPr>
      </w:pPr>
      <w:r w:rsidRPr="00167868">
        <w:rPr>
          <w:rFonts w:ascii="Arial" w:hAnsi="Arial" w:cs="Arial"/>
          <w:color w:val="000000"/>
          <w:sz w:val="20"/>
          <w:szCs w:val="20"/>
        </w:rPr>
        <w:t>Wecht, C.H. and Kaufmann, D. (2008). </w:t>
      </w:r>
      <w:r w:rsidRPr="00167868">
        <w:rPr>
          <w:rFonts w:ascii="Arial" w:hAnsi="Arial" w:cs="Arial"/>
          <w:i/>
          <w:iCs/>
          <w:color w:val="000000"/>
          <w:sz w:val="20"/>
          <w:szCs w:val="20"/>
        </w:rPr>
        <w:t xml:space="preserve">A question of murder: Compelling cases from a famed forensic pathologist. </w:t>
      </w:r>
      <w:r w:rsidRPr="00167868">
        <w:rPr>
          <w:rFonts w:ascii="Arial" w:hAnsi="Arial" w:cs="Arial"/>
          <w:color w:val="000000"/>
          <w:sz w:val="20"/>
          <w:szCs w:val="20"/>
        </w:rPr>
        <w:t>Amherst, New York: Prometheus Books.</w:t>
      </w:r>
    </w:p>
    <w:p w14:paraId="49002876" w14:textId="411CB80C" w:rsidR="00B47EE3" w:rsidRPr="00B47EE3" w:rsidRDefault="00B47EE3" w:rsidP="00B47EE3"/>
    <w:p w14:paraId="65878431" w14:textId="77777777" w:rsidR="003115C1" w:rsidRDefault="003115C1" w:rsidP="00EC5620">
      <w:pPr>
        <w:pStyle w:val="NormalWeb"/>
        <w:shd w:val="clear" w:color="auto" w:fill="FFFFFF"/>
        <w:spacing w:before="0" w:beforeAutospacing="0" w:after="240" w:afterAutospacing="0" w:line="360" w:lineRule="atLeast"/>
        <w:rPr>
          <w:color w:val="000000"/>
        </w:rPr>
      </w:pPr>
    </w:p>
    <w:p w14:paraId="0DDC3E76" w14:textId="77777777" w:rsidR="00EC5620" w:rsidRDefault="00EC5620" w:rsidP="00EC5620">
      <w:r>
        <w:rPr>
          <w:color w:val="000000"/>
          <w:shd w:val="clear" w:color="auto" w:fill="FFFFFF"/>
        </w:rPr>
        <w:t>‌</w:t>
      </w:r>
    </w:p>
    <w:p w14:paraId="7FF2DD79" w14:textId="77777777" w:rsidR="00EC5620" w:rsidRPr="00E30DB2" w:rsidRDefault="00EC5620" w:rsidP="006648F1"/>
    <w:p w14:paraId="1206563A" w14:textId="77777777" w:rsidR="006648F1" w:rsidRPr="00E30DB2" w:rsidRDefault="006648F1" w:rsidP="006648F1">
      <w:r w:rsidRPr="00E30DB2">
        <w:rPr>
          <w:color w:val="000000"/>
          <w:shd w:val="clear" w:color="auto" w:fill="FFFFFF"/>
        </w:rPr>
        <w:t>‌</w:t>
      </w:r>
    </w:p>
    <w:p w14:paraId="48376163" w14:textId="18269CEE" w:rsidR="00D35311" w:rsidRDefault="00D35311" w:rsidP="006648F1">
      <w:pPr>
        <w:pStyle w:val="NormalWeb"/>
        <w:shd w:val="clear" w:color="auto" w:fill="FFFFFF"/>
        <w:spacing w:before="0" w:beforeAutospacing="0" w:after="240" w:afterAutospacing="0" w:line="360" w:lineRule="atLeast"/>
        <w:rPr>
          <w:rFonts w:ascii="Arial" w:hAnsi="Arial" w:cs="Arial"/>
        </w:rPr>
      </w:pPr>
    </w:p>
    <w:p w14:paraId="0369823D" w14:textId="01B612FD" w:rsidR="00D35311" w:rsidRDefault="00D35311" w:rsidP="00D35311">
      <w:pPr>
        <w:rPr>
          <w:rFonts w:ascii="Arial" w:hAnsi="Arial" w:cs="Arial"/>
        </w:rPr>
      </w:pPr>
    </w:p>
    <w:p w14:paraId="4103298F" w14:textId="315E2EE4" w:rsidR="00D35311" w:rsidRDefault="00D35311" w:rsidP="00D35311">
      <w:pPr>
        <w:rPr>
          <w:rFonts w:ascii="Arial" w:hAnsi="Arial" w:cs="Arial"/>
        </w:rPr>
      </w:pPr>
    </w:p>
    <w:p w14:paraId="0539A671" w14:textId="0FB2E6B7" w:rsidR="00D35311" w:rsidRDefault="00D35311" w:rsidP="00D35311">
      <w:pPr>
        <w:rPr>
          <w:rFonts w:ascii="Arial" w:hAnsi="Arial" w:cs="Arial"/>
        </w:rPr>
      </w:pPr>
    </w:p>
    <w:p w14:paraId="5D49ADA8" w14:textId="77777777" w:rsidR="00D35311" w:rsidRDefault="00D35311" w:rsidP="00D35311">
      <w:pPr>
        <w:rPr>
          <w:rFonts w:ascii="Arial" w:hAnsi="Arial" w:cs="Arial"/>
        </w:rPr>
      </w:pPr>
    </w:p>
    <w:p w14:paraId="56F07AE0" w14:textId="77777777" w:rsidR="00D35311" w:rsidRDefault="00D35311" w:rsidP="00D35311">
      <w:pPr>
        <w:jc w:val="center"/>
        <w:rPr>
          <w:rFonts w:ascii="Arial" w:hAnsi="Arial" w:cs="Arial"/>
        </w:rPr>
      </w:pPr>
    </w:p>
    <w:p w14:paraId="62A6DAA9" w14:textId="77777777" w:rsidR="00D35311" w:rsidRDefault="00D35311" w:rsidP="00D35311">
      <w:pPr>
        <w:jc w:val="center"/>
        <w:rPr>
          <w:rFonts w:ascii="Arial" w:hAnsi="Arial" w:cs="Arial"/>
        </w:rPr>
      </w:pPr>
    </w:p>
    <w:p w14:paraId="361F65D4" w14:textId="77777777" w:rsidR="00D35311" w:rsidRDefault="00D35311" w:rsidP="00D35311">
      <w:pPr>
        <w:jc w:val="center"/>
        <w:rPr>
          <w:rFonts w:ascii="Arial" w:hAnsi="Arial" w:cs="Arial"/>
        </w:rPr>
      </w:pPr>
    </w:p>
    <w:p w14:paraId="6D924716" w14:textId="77777777" w:rsidR="00D35311" w:rsidRDefault="00D35311" w:rsidP="00D35311">
      <w:pPr>
        <w:jc w:val="center"/>
        <w:rPr>
          <w:rFonts w:ascii="Arial" w:hAnsi="Arial" w:cs="Arial"/>
        </w:rPr>
      </w:pPr>
    </w:p>
    <w:p w14:paraId="1FBE055D" w14:textId="77777777" w:rsidR="00D35311" w:rsidRDefault="00D35311" w:rsidP="00D35311">
      <w:pPr>
        <w:jc w:val="center"/>
        <w:rPr>
          <w:rFonts w:ascii="Arial" w:hAnsi="Arial" w:cs="Arial"/>
        </w:rPr>
      </w:pPr>
    </w:p>
    <w:p w14:paraId="57E089B0" w14:textId="77777777" w:rsidR="00D35311" w:rsidRDefault="00D35311" w:rsidP="00D35311">
      <w:pPr>
        <w:jc w:val="center"/>
        <w:rPr>
          <w:rFonts w:ascii="Arial" w:hAnsi="Arial" w:cs="Arial"/>
        </w:rPr>
      </w:pPr>
    </w:p>
    <w:p w14:paraId="0423E2C9" w14:textId="77777777" w:rsidR="00D35311" w:rsidRPr="008C2277" w:rsidRDefault="00D35311" w:rsidP="00D35311">
      <w:pPr>
        <w:rPr>
          <w:rFonts w:ascii="Arial" w:hAnsi="Arial" w:cs="Arial"/>
        </w:rPr>
      </w:pPr>
    </w:p>
    <w:p w14:paraId="6FBFF8B5" w14:textId="77777777" w:rsidR="00D35311" w:rsidRPr="008C2277" w:rsidRDefault="00D35311" w:rsidP="00D35311">
      <w:pPr>
        <w:rPr>
          <w:rFonts w:ascii="Arial" w:hAnsi="Arial" w:cs="Arial"/>
        </w:rPr>
      </w:pPr>
    </w:p>
    <w:p w14:paraId="6FF70300" w14:textId="77777777" w:rsidR="00D35311" w:rsidRDefault="00D35311" w:rsidP="00D35311">
      <w:pPr>
        <w:jc w:val="center"/>
        <w:rPr>
          <w:rFonts w:ascii="Arial" w:hAnsi="Arial" w:cs="Arial"/>
        </w:rPr>
      </w:pPr>
      <w:r w:rsidRPr="008C2277">
        <w:rPr>
          <w:rFonts w:ascii="Arial" w:hAnsi="Arial" w:cs="Arial"/>
        </w:rPr>
        <w:t>Part B.</w:t>
      </w:r>
    </w:p>
    <w:p w14:paraId="546304AF" w14:textId="56D46BF5" w:rsidR="00D35311" w:rsidRPr="00D35311" w:rsidRDefault="00D35311" w:rsidP="00D35311">
      <w:pPr>
        <w:jc w:val="center"/>
        <w:rPr>
          <w:rFonts w:ascii="Arial" w:hAnsi="Arial" w:cs="Arial"/>
          <w:i/>
          <w:iCs/>
        </w:rPr>
      </w:pPr>
      <w:r w:rsidRPr="00D35311">
        <w:rPr>
          <w:rFonts w:ascii="Arial" w:hAnsi="Arial" w:cs="Arial"/>
          <w:i/>
          <w:iCs/>
        </w:rPr>
        <w:t xml:space="preserve">Critically analyse the methods in practice for the recovery and examination of forensic evidence at crime scenes evaluating the legislation, strategies, </w:t>
      </w:r>
      <w:proofErr w:type="gramStart"/>
      <w:r w:rsidRPr="00D35311">
        <w:rPr>
          <w:rFonts w:ascii="Arial" w:hAnsi="Arial" w:cs="Arial"/>
          <w:i/>
          <w:iCs/>
        </w:rPr>
        <w:t>policies</w:t>
      </w:r>
      <w:proofErr w:type="gramEnd"/>
      <w:r w:rsidRPr="00D35311">
        <w:rPr>
          <w:rFonts w:ascii="Arial" w:hAnsi="Arial" w:cs="Arial"/>
          <w:i/>
          <w:iCs/>
        </w:rPr>
        <w:t xml:space="preserve"> and procedures with regard to forensic recovery and examination</w:t>
      </w:r>
      <w:r>
        <w:rPr>
          <w:rFonts w:ascii="Arial" w:hAnsi="Arial" w:cs="Arial"/>
          <w:i/>
          <w:iCs/>
        </w:rPr>
        <w:t xml:space="preserve">. </w:t>
      </w:r>
    </w:p>
    <w:p w14:paraId="75B79B1E" w14:textId="77777777" w:rsidR="00D35311" w:rsidRDefault="00D35311" w:rsidP="00D35311">
      <w:pPr>
        <w:jc w:val="center"/>
        <w:rPr>
          <w:rFonts w:ascii="Arial" w:hAnsi="Arial" w:cs="Arial"/>
        </w:rPr>
      </w:pPr>
    </w:p>
    <w:p w14:paraId="1FC6BD2B" w14:textId="77777777" w:rsidR="00D35311" w:rsidRDefault="00D35311" w:rsidP="00D35311">
      <w:pPr>
        <w:jc w:val="center"/>
        <w:rPr>
          <w:rFonts w:ascii="Arial" w:hAnsi="Arial" w:cs="Arial"/>
        </w:rPr>
      </w:pPr>
    </w:p>
    <w:p w14:paraId="2653EA6C" w14:textId="745D0870" w:rsidR="00D35311" w:rsidRDefault="00D35311" w:rsidP="00D35311">
      <w:pPr>
        <w:jc w:val="center"/>
        <w:rPr>
          <w:rFonts w:ascii="Arial" w:hAnsi="Arial" w:cs="Arial"/>
        </w:rPr>
      </w:pPr>
      <w:r>
        <w:rPr>
          <w:rFonts w:ascii="Arial" w:hAnsi="Arial" w:cs="Arial"/>
        </w:rPr>
        <w:t>Student ID: 1905889 | Word Count:</w:t>
      </w:r>
      <w:r w:rsidR="00C375C0">
        <w:rPr>
          <w:rFonts w:ascii="Arial" w:hAnsi="Arial" w:cs="Arial"/>
        </w:rPr>
        <w:t xml:space="preserve"> 1,3</w:t>
      </w:r>
      <w:r w:rsidR="00B731A8">
        <w:rPr>
          <w:rFonts w:ascii="Arial" w:hAnsi="Arial" w:cs="Arial"/>
        </w:rPr>
        <w:t>83</w:t>
      </w:r>
    </w:p>
    <w:p w14:paraId="7C54F5DE" w14:textId="77777777" w:rsidR="00D35311" w:rsidRDefault="00D35311" w:rsidP="00D35311">
      <w:pPr>
        <w:rPr>
          <w:rFonts w:ascii="Arial" w:hAnsi="Arial" w:cs="Arial"/>
        </w:rPr>
      </w:pPr>
    </w:p>
    <w:p w14:paraId="62692E2C" w14:textId="77777777" w:rsidR="00D35311" w:rsidRDefault="00D35311" w:rsidP="00D35311">
      <w:pPr>
        <w:rPr>
          <w:rFonts w:ascii="Arial" w:hAnsi="Arial" w:cs="Arial"/>
        </w:rPr>
      </w:pPr>
    </w:p>
    <w:p w14:paraId="781D36CE" w14:textId="77777777" w:rsidR="00D35311" w:rsidRDefault="00D35311" w:rsidP="00D35311">
      <w:pPr>
        <w:jc w:val="center"/>
        <w:rPr>
          <w:rFonts w:ascii="Arial" w:hAnsi="Arial" w:cs="Arial"/>
        </w:rPr>
      </w:pPr>
    </w:p>
    <w:p w14:paraId="13CC8176" w14:textId="77777777" w:rsidR="00D35311" w:rsidRDefault="00D35311" w:rsidP="00D35311">
      <w:pPr>
        <w:rPr>
          <w:rFonts w:ascii="Arial" w:hAnsi="Arial" w:cs="Arial"/>
        </w:rPr>
      </w:pPr>
    </w:p>
    <w:p w14:paraId="278F52D3" w14:textId="77777777" w:rsidR="00D35311" w:rsidRDefault="00D35311" w:rsidP="00D35311">
      <w:pPr>
        <w:rPr>
          <w:rFonts w:ascii="Arial" w:hAnsi="Arial" w:cs="Arial"/>
        </w:rPr>
      </w:pPr>
    </w:p>
    <w:p w14:paraId="40694304" w14:textId="77777777" w:rsidR="00D35311" w:rsidRDefault="00D35311" w:rsidP="00D35311">
      <w:pPr>
        <w:rPr>
          <w:rFonts w:ascii="Arial" w:hAnsi="Arial" w:cs="Arial"/>
        </w:rPr>
      </w:pPr>
    </w:p>
    <w:p w14:paraId="213CCC8B" w14:textId="77777777" w:rsidR="00D35311" w:rsidRDefault="00D35311" w:rsidP="00D35311">
      <w:pPr>
        <w:rPr>
          <w:rFonts w:ascii="Arial" w:hAnsi="Arial" w:cs="Arial"/>
        </w:rPr>
      </w:pPr>
    </w:p>
    <w:p w14:paraId="347FAD0A" w14:textId="77777777" w:rsidR="00D35311" w:rsidRDefault="00D35311" w:rsidP="00D35311">
      <w:pPr>
        <w:rPr>
          <w:rFonts w:ascii="Arial" w:hAnsi="Arial" w:cs="Arial"/>
        </w:rPr>
      </w:pPr>
    </w:p>
    <w:p w14:paraId="211E297C" w14:textId="77777777" w:rsidR="00D35311" w:rsidRDefault="00D35311" w:rsidP="00D35311">
      <w:pPr>
        <w:rPr>
          <w:rFonts w:ascii="Arial" w:hAnsi="Arial" w:cs="Arial"/>
        </w:rPr>
      </w:pPr>
    </w:p>
    <w:p w14:paraId="1D2A2D27" w14:textId="77777777" w:rsidR="00D35311" w:rsidRDefault="00D35311" w:rsidP="00D35311">
      <w:pPr>
        <w:rPr>
          <w:rFonts w:ascii="Arial" w:hAnsi="Arial" w:cs="Arial"/>
        </w:rPr>
      </w:pPr>
    </w:p>
    <w:p w14:paraId="7612DFFF" w14:textId="77777777" w:rsidR="00D35311" w:rsidRDefault="00D35311" w:rsidP="00D35311">
      <w:pPr>
        <w:jc w:val="center"/>
        <w:rPr>
          <w:rFonts w:ascii="Arial" w:hAnsi="Arial" w:cs="Arial"/>
        </w:rPr>
      </w:pPr>
      <w:r>
        <w:fldChar w:fldCharType="begin"/>
      </w:r>
      <w:r>
        <w:instrText xml:space="preserve"> INCLUDEPICTURE "/var/folders/33/5w97q6ld31s0jdjgr_cd171h0000gn/T/com.microsoft.Word/WebArchiveCopyPasteTempFiles/UWTSD-Logo.png" \* MERGEFORMATINET </w:instrText>
      </w:r>
      <w:r>
        <w:fldChar w:fldCharType="separate"/>
      </w:r>
      <w:r>
        <w:rPr>
          <w:noProof/>
        </w:rPr>
        <w:drawing>
          <wp:inline distT="0" distB="0" distL="0" distR="0" wp14:anchorId="4D2827A2" wp14:editId="18853E35">
            <wp:extent cx="2373772" cy="787400"/>
            <wp:effectExtent l="0" t="0" r="1270" b="0"/>
            <wp:docPr id="2" name="Picture 2"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81152" cy="789848"/>
                    </a:xfrm>
                    <a:prstGeom prst="rect">
                      <a:avLst/>
                    </a:prstGeom>
                    <a:noFill/>
                    <a:ln>
                      <a:noFill/>
                    </a:ln>
                  </pic:spPr>
                </pic:pic>
              </a:graphicData>
            </a:graphic>
          </wp:inline>
        </w:drawing>
      </w:r>
      <w:r>
        <w:fldChar w:fldCharType="end"/>
      </w:r>
    </w:p>
    <w:p w14:paraId="417045A5" w14:textId="0B2CA0E3" w:rsidR="00D35311" w:rsidRDefault="00D35311" w:rsidP="00D35311">
      <w:pPr>
        <w:rPr>
          <w:rFonts w:ascii="Arial" w:hAnsi="Arial" w:cs="Arial"/>
        </w:rPr>
      </w:pPr>
    </w:p>
    <w:p w14:paraId="4A24E50E" w14:textId="04741398" w:rsidR="00D35311" w:rsidRDefault="00D35311" w:rsidP="00D35311">
      <w:pPr>
        <w:rPr>
          <w:rFonts w:ascii="Arial" w:hAnsi="Arial" w:cs="Arial"/>
        </w:rPr>
      </w:pPr>
    </w:p>
    <w:p w14:paraId="742068F6" w14:textId="7D2C2EDB" w:rsidR="00D35311" w:rsidRDefault="00D35311" w:rsidP="00D35311">
      <w:pPr>
        <w:rPr>
          <w:rFonts w:ascii="Arial" w:hAnsi="Arial" w:cs="Arial"/>
        </w:rPr>
      </w:pPr>
    </w:p>
    <w:p w14:paraId="230E8E5B" w14:textId="00780A36" w:rsidR="00D35311" w:rsidRDefault="00D35311" w:rsidP="00D35311">
      <w:pPr>
        <w:rPr>
          <w:rFonts w:ascii="Arial" w:hAnsi="Arial" w:cs="Arial"/>
        </w:rPr>
      </w:pPr>
    </w:p>
    <w:p w14:paraId="182C623B" w14:textId="79C13624" w:rsidR="00D35311" w:rsidRDefault="00D35311" w:rsidP="00D35311">
      <w:pPr>
        <w:rPr>
          <w:rFonts w:ascii="Arial" w:hAnsi="Arial" w:cs="Arial"/>
        </w:rPr>
      </w:pPr>
    </w:p>
    <w:p w14:paraId="0446FE14" w14:textId="328DEBDB" w:rsidR="00D35311" w:rsidRDefault="00D35311" w:rsidP="00D35311">
      <w:pPr>
        <w:rPr>
          <w:rFonts w:ascii="Arial" w:hAnsi="Arial" w:cs="Arial"/>
        </w:rPr>
      </w:pPr>
    </w:p>
    <w:p w14:paraId="099DF8F1" w14:textId="0C63FADD" w:rsidR="00D35311" w:rsidRDefault="00D35311" w:rsidP="00D35311">
      <w:pPr>
        <w:rPr>
          <w:rFonts w:ascii="Arial" w:hAnsi="Arial" w:cs="Arial"/>
        </w:rPr>
      </w:pPr>
    </w:p>
    <w:p w14:paraId="729BA46F" w14:textId="58002059" w:rsidR="00D35311" w:rsidRDefault="00D35311" w:rsidP="00D35311">
      <w:pPr>
        <w:rPr>
          <w:rFonts w:ascii="Arial" w:hAnsi="Arial" w:cs="Arial"/>
        </w:rPr>
      </w:pPr>
    </w:p>
    <w:p w14:paraId="46111309" w14:textId="77777777" w:rsidR="00C375C0" w:rsidRPr="00C375C0" w:rsidRDefault="00C375C0" w:rsidP="00C375C0">
      <w:pPr>
        <w:spacing w:line="480" w:lineRule="auto"/>
        <w:jc w:val="both"/>
        <w:rPr>
          <w:color w:val="000000"/>
        </w:rPr>
      </w:pPr>
      <w:r w:rsidRPr="00C375C0">
        <w:rPr>
          <w:rFonts w:ascii="Arial" w:hAnsi="Arial" w:cs="Arial"/>
          <w:color w:val="000000"/>
        </w:rPr>
        <w:lastRenderedPageBreak/>
        <w:t xml:space="preserve">Page, Horsman, Sarna and Foster (2019) provide that virtually all crimes at some point during an investigation require input or influence from forensic teams to assist with evidence recovery and examination. Ludwig and Fraser (2014) add, the dependence on forensic evidence to sustain successful prosecution has never been greater, where in some cases such evidence may be the sole means of effectively investigating, policing crime </w:t>
      </w:r>
      <w:proofErr w:type="gramStart"/>
      <w:r w:rsidRPr="00C375C0">
        <w:rPr>
          <w:rFonts w:ascii="Arial" w:hAnsi="Arial" w:cs="Arial"/>
          <w:color w:val="000000"/>
        </w:rPr>
        <w:t>scenes</w:t>
      </w:r>
      <w:proofErr w:type="gramEnd"/>
      <w:r w:rsidRPr="00C375C0">
        <w:rPr>
          <w:rFonts w:ascii="Arial" w:hAnsi="Arial" w:cs="Arial"/>
          <w:color w:val="000000"/>
        </w:rPr>
        <w:t xml:space="preserve"> and assuring conviction. While judicial systems are now reliant on forensic evidence more than ever before, coincidingly, the techniques; policies, procedures and legislation encircling forensic recovery and examination are subject to equally elevated levels of scrutiny (Tully, 2017). While it is said to be comprehensible that police officers and senior leaders have an expansive range of prerogatives and a multitude of responsibilities, if the quality of forensic provisions is deemed as an insufficient priority to facilitate risks to be contained and quality standards to be upheld, then it will become unsustainable for forensics to play its essential role in criminal justice processes (Tully, 2017). This part of the paper, analyses elements in practice for the recovery and examination of forensic evidence at crime scenes.</w:t>
      </w:r>
    </w:p>
    <w:p w14:paraId="18141BAF" w14:textId="77777777" w:rsidR="00C375C0" w:rsidRPr="00C375C0" w:rsidRDefault="00C375C0" w:rsidP="00C375C0">
      <w:pPr>
        <w:spacing w:line="480" w:lineRule="auto"/>
        <w:jc w:val="both"/>
        <w:rPr>
          <w:color w:val="000000"/>
        </w:rPr>
      </w:pPr>
      <w:r w:rsidRPr="00C375C0">
        <w:rPr>
          <w:color w:val="000000"/>
        </w:rPr>
        <w:t> </w:t>
      </w:r>
    </w:p>
    <w:p w14:paraId="5676D320" w14:textId="56675563" w:rsidR="00C375C0" w:rsidRPr="00C375C0" w:rsidRDefault="00C375C0" w:rsidP="00C375C0">
      <w:pPr>
        <w:spacing w:line="480" w:lineRule="auto"/>
        <w:jc w:val="both"/>
        <w:rPr>
          <w:color w:val="000000"/>
        </w:rPr>
      </w:pPr>
      <w:r w:rsidRPr="00C375C0">
        <w:rPr>
          <w:rFonts w:ascii="Arial" w:hAnsi="Arial" w:cs="Arial"/>
          <w:color w:val="000000"/>
        </w:rPr>
        <w:t xml:space="preserve">Following </w:t>
      </w:r>
      <w:proofErr w:type="gramStart"/>
      <w:r w:rsidRPr="00C375C0">
        <w:rPr>
          <w:rFonts w:ascii="Arial" w:hAnsi="Arial" w:cs="Arial"/>
          <w:color w:val="000000"/>
        </w:rPr>
        <w:t>Part</w:t>
      </w:r>
      <w:proofErr w:type="gramEnd"/>
      <w:r w:rsidRPr="00C375C0">
        <w:rPr>
          <w:rFonts w:ascii="Arial" w:hAnsi="Arial" w:cs="Arial"/>
          <w:color w:val="000000"/>
        </w:rPr>
        <w:t xml:space="preserve"> A of this paper, once the First Attending Officers have identified</w:t>
      </w:r>
      <w:r w:rsidR="00B731A8">
        <w:rPr>
          <w:rFonts w:ascii="Arial" w:hAnsi="Arial" w:cs="Arial"/>
          <w:color w:val="000000"/>
        </w:rPr>
        <w:t xml:space="preserve">, </w:t>
      </w:r>
      <w:r w:rsidRPr="00C375C0">
        <w:rPr>
          <w:rFonts w:ascii="Arial" w:hAnsi="Arial" w:cs="Arial"/>
          <w:color w:val="000000"/>
        </w:rPr>
        <w:t xml:space="preserve">secured and preserved </w:t>
      </w:r>
      <w:r w:rsidR="00B731A8">
        <w:rPr>
          <w:rFonts w:ascii="Arial" w:hAnsi="Arial" w:cs="Arial"/>
          <w:color w:val="000000"/>
        </w:rPr>
        <w:t xml:space="preserve">the scene - </w:t>
      </w:r>
      <w:r w:rsidRPr="00C375C0">
        <w:rPr>
          <w:rFonts w:ascii="Arial" w:hAnsi="Arial" w:cs="Arial"/>
          <w:color w:val="000000"/>
        </w:rPr>
        <w:t xml:space="preserve">Crime Scene Investigators (CSI), Crime Scene Managers (CSM) and other forensic specialists - hereon collectively referred to as Forensic Specialists - will begin the process of recovering materials considered as evidence. The Criminal Procedure and Investigations Act (1996) provides a definition of ‘materials’ as items or information that is deemed relevant to an investigation and obtained </w:t>
      </w:r>
      <w:proofErr w:type="gramStart"/>
      <w:r w:rsidRPr="00C375C0">
        <w:rPr>
          <w:rFonts w:ascii="Arial" w:hAnsi="Arial" w:cs="Arial"/>
          <w:color w:val="000000"/>
        </w:rPr>
        <w:t>during the course of</w:t>
      </w:r>
      <w:proofErr w:type="gramEnd"/>
      <w:r w:rsidRPr="00C375C0">
        <w:rPr>
          <w:rFonts w:ascii="Arial" w:hAnsi="Arial" w:cs="Arial"/>
          <w:color w:val="000000"/>
        </w:rPr>
        <w:t xml:space="preserve">. The processes utilised are dependent on the type of crime that has been committed, the environment and the evidence contained at the scene (Ludwig and Fraser, 2014). A controlled variable is that Forensic </w:t>
      </w:r>
      <w:r w:rsidR="00B731A8" w:rsidRPr="00C375C0">
        <w:rPr>
          <w:rFonts w:ascii="Arial" w:hAnsi="Arial" w:cs="Arial"/>
          <w:color w:val="000000"/>
        </w:rPr>
        <w:t xml:space="preserve">Specialists </w:t>
      </w:r>
      <w:r w:rsidR="00B731A8" w:rsidRPr="00C375C0">
        <w:rPr>
          <w:rFonts w:ascii="Arial" w:hAnsi="Arial" w:cs="Arial"/>
          <w:color w:val="000000"/>
        </w:rPr>
        <w:lastRenderedPageBreak/>
        <w:t>must</w:t>
      </w:r>
      <w:r w:rsidRPr="00C375C0">
        <w:rPr>
          <w:rFonts w:ascii="Arial" w:hAnsi="Arial" w:cs="Arial"/>
          <w:color w:val="000000"/>
        </w:rPr>
        <w:t xml:space="preserve"> embrace methodical approaches and this typically begins by the establishing of the Point of Entry and Point of Egress - where the perpetrator entered and exited the scene (White, 2020).  From this point onwards, White (2020) provides that the remainder of the scene will be </w:t>
      </w:r>
      <w:r w:rsidR="00B731A8" w:rsidRPr="00C375C0">
        <w:rPr>
          <w:rFonts w:ascii="Arial" w:hAnsi="Arial" w:cs="Arial"/>
          <w:color w:val="000000"/>
        </w:rPr>
        <w:t>examined,</w:t>
      </w:r>
      <w:r w:rsidRPr="00C375C0">
        <w:rPr>
          <w:rFonts w:ascii="Arial" w:hAnsi="Arial" w:cs="Arial"/>
          <w:color w:val="000000"/>
        </w:rPr>
        <w:t xml:space="preserve"> and evidence will be systematically collated. </w:t>
      </w:r>
    </w:p>
    <w:p w14:paraId="278E6890" w14:textId="77777777" w:rsidR="00C375C0" w:rsidRPr="00C375C0" w:rsidRDefault="00C375C0" w:rsidP="00C375C0">
      <w:pPr>
        <w:spacing w:line="480" w:lineRule="auto"/>
        <w:jc w:val="both"/>
        <w:rPr>
          <w:color w:val="000000"/>
        </w:rPr>
      </w:pPr>
      <w:r w:rsidRPr="00C375C0">
        <w:rPr>
          <w:color w:val="000000"/>
        </w:rPr>
        <w:t> </w:t>
      </w:r>
    </w:p>
    <w:p w14:paraId="1D4E3268" w14:textId="615470F4" w:rsidR="00C375C0" w:rsidRPr="00C375C0" w:rsidRDefault="00C375C0" w:rsidP="00C375C0">
      <w:pPr>
        <w:spacing w:line="480" w:lineRule="auto"/>
        <w:jc w:val="both"/>
        <w:rPr>
          <w:color w:val="000000"/>
        </w:rPr>
      </w:pPr>
      <w:r w:rsidRPr="00C375C0">
        <w:rPr>
          <w:rFonts w:ascii="Arial" w:hAnsi="Arial" w:cs="Arial"/>
          <w:color w:val="000000"/>
        </w:rPr>
        <w:t xml:space="preserve">The Forensic Strategy, a global approach designed to examine the elements of cases to determine action forensic recovery strategies, enables the potential of material to be recovered and can help maximise </w:t>
      </w:r>
      <w:r w:rsidR="00B731A8">
        <w:rPr>
          <w:rFonts w:ascii="Arial" w:hAnsi="Arial" w:cs="Arial"/>
          <w:color w:val="000000"/>
        </w:rPr>
        <w:t>t</w:t>
      </w:r>
      <w:r w:rsidRPr="00C375C0">
        <w:rPr>
          <w:rFonts w:ascii="Arial" w:hAnsi="Arial" w:cs="Arial"/>
          <w:color w:val="000000"/>
        </w:rPr>
        <w:t xml:space="preserve">he clarification </w:t>
      </w:r>
      <w:r w:rsidR="00B731A8">
        <w:rPr>
          <w:rFonts w:ascii="Arial" w:hAnsi="Arial" w:cs="Arial"/>
          <w:color w:val="000000"/>
        </w:rPr>
        <w:t xml:space="preserve">and understandings </w:t>
      </w:r>
      <w:r w:rsidRPr="00C375C0">
        <w:rPr>
          <w:rFonts w:ascii="Arial" w:hAnsi="Arial" w:cs="Arial"/>
          <w:color w:val="000000"/>
        </w:rPr>
        <w:t xml:space="preserve">of circumstances; elimination or identification of suspects and corroboration of testimonies (White, 2020). However, in 2016 the BBC reported that MPs had solicitude regarding the vague and incoherent Strategy (BBC, 2016). The College of Policing (2022) provide that as part of procedures, scenes should be searched in an appropriate manner. A summary of the Investigative Mindset is provided in the Core Investigative Doctrine </w:t>
      </w:r>
      <w:proofErr w:type="gramStart"/>
      <w:r w:rsidRPr="00C375C0">
        <w:rPr>
          <w:rFonts w:ascii="Arial" w:hAnsi="Arial" w:cs="Arial"/>
          <w:color w:val="000000"/>
        </w:rPr>
        <w:t>2005, and</w:t>
      </w:r>
      <w:proofErr w:type="gramEnd"/>
      <w:r w:rsidRPr="00C375C0">
        <w:rPr>
          <w:rFonts w:ascii="Arial" w:hAnsi="Arial" w:cs="Arial"/>
          <w:color w:val="000000"/>
        </w:rPr>
        <w:t xml:space="preserve"> is broken down into five principles which include ‘examination - as a practice produced upon the systematic approach to collecting and evaluating material which is rudimentary to underpinning a successful investigation (Association of Chief Police Officers, 2004). Pepper (2010) says that by embracing the Investigative Mindset - Forensic Specialists should ensure that all evidence is correctly recovered.  At large scenes, Pepper (2010) explains that a formal strategy for the forensic response must be complied by Forensic Specialists and as an example, would entail the recovery search techniques that would be used. There are multiple search patterns but the most common, as weighed by Miller (2018), are strip, grid, quadrant and spiral. Selecting a search pattern is critical and relies on the location, size of the area, and the noticeable actions of the suspect, victim, and any others having access to the scene, that is, witnesses (</w:t>
      </w:r>
      <w:proofErr w:type="spellStart"/>
      <w:r w:rsidRPr="00C375C0">
        <w:rPr>
          <w:rFonts w:ascii="Arial" w:hAnsi="Arial" w:cs="Arial"/>
          <w:color w:val="000000"/>
        </w:rPr>
        <w:t>Saferstein</w:t>
      </w:r>
      <w:proofErr w:type="spellEnd"/>
      <w:r w:rsidRPr="00C375C0">
        <w:rPr>
          <w:rFonts w:ascii="Arial" w:hAnsi="Arial" w:cs="Arial"/>
          <w:color w:val="000000"/>
        </w:rPr>
        <w:t xml:space="preserve"> 2004). The number of personnel available </w:t>
      </w:r>
      <w:r w:rsidRPr="00C375C0">
        <w:rPr>
          <w:rFonts w:ascii="Arial" w:hAnsi="Arial" w:cs="Arial"/>
          <w:color w:val="000000"/>
        </w:rPr>
        <w:lastRenderedPageBreak/>
        <w:t>also influences the type of search pattern utilised, with some methods requiring more personnel than others, particularly when working on a larger scene (</w:t>
      </w:r>
      <w:proofErr w:type="spellStart"/>
      <w:r w:rsidRPr="00C375C0">
        <w:rPr>
          <w:rFonts w:ascii="Arial" w:hAnsi="Arial" w:cs="Arial"/>
          <w:color w:val="000000"/>
        </w:rPr>
        <w:t>Saferstein</w:t>
      </w:r>
      <w:proofErr w:type="spellEnd"/>
      <w:r w:rsidRPr="00C375C0">
        <w:rPr>
          <w:rFonts w:ascii="Arial" w:hAnsi="Arial" w:cs="Arial"/>
          <w:color w:val="000000"/>
        </w:rPr>
        <w:t xml:space="preserve"> 2004). </w:t>
      </w:r>
    </w:p>
    <w:p w14:paraId="5BF08E4E" w14:textId="77777777" w:rsidR="00C375C0" w:rsidRPr="00C375C0" w:rsidRDefault="00C375C0" w:rsidP="00C375C0">
      <w:pPr>
        <w:spacing w:line="480" w:lineRule="auto"/>
        <w:rPr>
          <w:color w:val="000000"/>
        </w:rPr>
      </w:pPr>
    </w:p>
    <w:p w14:paraId="36902DF6" w14:textId="7AA3C4FA" w:rsidR="00C375C0" w:rsidRPr="00C375C0" w:rsidRDefault="00C375C0" w:rsidP="00C375C0">
      <w:pPr>
        <w:spacing w:line="480" w:lineRule="auto"/>
        <w:jc w:val="both"/>
        <w:rPr>
          <w:color w:val="000000"/>
        </w:rPr>
      </w:pPr>
      <w:r w:rsidRPr="00C375C0">
        <w:rPr>
          <w:rFonts w:ascii="Arial" w:hAnsi="Arial" w:cs="Arial"/>
          <w:color w:val="000000"/>
        </w:rPr>
        <w:t>There are Codes of Practice and Conduct (</w:t>
      </w:r>
      <w:proofErr w:type="spellStart"/>
      <w:r w:rsidRPr="00C375C0">
        <w:rPr>
          <w:rFonts w:ascii="Arial" w:hAnsi="Arial" w:cs="Arial"/>
          <w:color w:val="000000"/>
        </w:rPr>
        <w:t>CoPD</w:t>
      </w:r>
      <w:proofErr w:type="spellEnd"/>
      <w:r w:rsidRPr="00C375C0">
        <w:rPr>
          <w:rFonts w:ascii="Arial" w:hAnsi="Arial" w:cs="Arial"/>
          <w:color w:val="000000"/>
        </w:rPr>
        <w:t xml:space="preserve">) for Forensic Specialists as set out by the Forensic Science Regulator with the aim to establish a quality level required within forensic investigations (Tully, 2021). The </w:t>
      </w:r>
      <w:proofErr w:type="spellStart"/>
      <w:r w:rsidRPr="00C375C0">
        <w:rPr>
          <w:rFonts w:ascii="Arial" w:hAnsi="Arial" w:cs="Arial"/>
          <w:color w:val="000000"/>
        </w:rPr>
        <w:t>CoPD</w:t>
      </w:r>
      <w:proofErr w:type="spellEnd"/>
      <w:r w:rsidRPr="00C375C0">
        <w:rPr>
          <w:rFonts w:ascii="Arial" w:hAnsi="Arial" w:cs="Arial"/>
          <w:color w:val="000000"/>
        </w:rPr>
        <w:t xml:space="preserve"> are enforced to set a stand</w:t>
      </w:r>
      <w:r w:rsidR="00B731A8">
        <w:rPr>
          <w:rFonts w:ascii="Arial" w:hAnsi="Arial" w:cs="Arial"/>
          <w:color w:val="000000"/>
        </w:rPr>
        <w:t xml:space="preserve">ard </w:t>
      </w:r>
      <w:r w:rsidRPr="00C375C0">
        <w:rPr>
          <w:rFonts w:ascii="Arial" w:hAnsi="Arial" w:cs="Arial"/>
          <w:color w:val="000000"/>
        </w:rPr>
        <w:t xml:space="preserve">and uphold the quality of forensic recovery; document control and the competency of Forensic Specialists (Tully, 2021). However, there are limitations as the </w:t>
      </w:r>
      <w:proofErr w:type="spellStart"/>
      <w:r w:rsidRPr="00C375C0">
        <w:rPr>
          <w:rFonts w:ascii="Arial" w:hAnsi="Arial" w:cs="Arial"/>
          <w:color w:val="000000"/>
        </w:rPr>
        <w:t>CoPD</w:t>
      </w:r>
      <w:proofErr w:type="spellEnd"/>
      <w:r w:rsidRPr="00C375C0">
        <w:rPr>
          <w:rFonts w:ascii="Arial" w:hAnsi="Arial" w:cs="Arial"/>
          <w:color w:val="000000"/>
        </w:rPr>
        <w:t xml:space="preserve"> do not specify how investigations should be undertaken - the methods used can be provider specific providing they are appropriately validated according to these standards (Page, Horsman, Sarna and Foster, 2019). Consequently, it is argued that provider-specific methods allow for inconsistency and in turn, a risk of conviction </w:t>
      </w:r>
      <w:r w:rsidR="00B731A8" w:rsidRPr="00C375C0">
        <w:rPr>
          <w:rFonts w:ascii="Arial" w:hAnsi="Arial" w:cs="Arial"/>
          <w:color w:val="000000"/>
        </w:rPr>
        <w:t>appeals being</w:t>
      </w:r>
      <w:r w:rsidRPr="00C375C0">
        <w:rPr>
          <w:rFonts w:ascii="Arial" w:hAnsi="Arial" w:cs="Arial"/>
          <w:color w:val="000000"/>
        </w:rPr>
        <w:t xml:space="preserve"> made based on the forensic evidence recovered and examined (National Academy of Sciences, 2009). </w:t>
      </w:r>
    </w:p>
    <w:p w14:paraId="54401839" w14:textId="77777777" w:rsidR="00C375C0" w:rsidRPr="00C375C0" w:rsidRDefault="00C375C0" w:rsidP="00C375C0">
      <w:pPr>
        <w:spacing w:line="480" w:lineRule="auto"/>
        <w:rPr>
          <w:color w:val="000000"/>
        </w:rPr>
      </w:pPr>
    </w:p>
    <w:p w14:paraId="39EE2517" w14:textId="3CA838DE" w:rsidR="00C375C0" w:rsidRPr="00C375C0" w:rsidRDefault="00C375C0" w:rsidP="00C375C0">
      <w:pPr>
        <w:spacing w:line="480" w:lineRule="auto"/>
        <w:jc w:val="both"/>
        <w:rPr>
          <w:color w:val="000000"/>
        </w:rPr>
      </w:pPr>
      <w:r w:rsidRPr="00C375C0">
        <w:rPr>
          <w:rFonts w:ascii="Arial" w:hAnsi="Arial" w:cs="Arial"/>
          <w:color w:val="000000"/>
        </w:rPr>
        <w:t xml:space="preserve">Drawing focus to specific recovery methods, when collecting DNA at a crime scene, it is sometimes difficult to obtain samples that are not contaminated with another person’s DNA, making results unreliable (Press, 2019). Over time, DNA degrades. When undertaking a fingerprint recovery, historically there has been little consistency in practice and quantity of contemporaneous information recorded at the time of examination, due to time constraints in operational working (Press, 2019). In the public inquiry into the Shirley McKie fingerprint scandal, it was discovered that the fingerprint mark had been </w:t>
      </w:r>
      <w:r w:rsidR="00B731A8">
        <w:rPr>
          <w:rFonts w:ascii="Arial" w:hAnsi="Arial" w:cs="Arial"/>
          <w:color w:val="000000"/>
        </w:rPr>
        <w:t>incorrectly identified</w:t>
      </w:r>
      <w:r w:rsidRPr="00C375C0">
        <w:rPr>
          <w:rFonts w:ascii="Arial" w:hAnsi="Arial" w:cs="Arial"/>
          <w:color w:val="000000"/>
        </w:rPr>
        <w:t xml:space="preserve"> as Ms McKie’s and </w:t>
      </w:r>
      <w:r w:rsidR="00B731A8">
        <w:rPr>
          <w:rFonts w:ascii="Arial" w:hAnsi="Arial" w:cs="Arial"/>
          <w:color w:val="000000"/>
        </w:rPr>
        <w:t xml:space="preserve">the mistake </w:t>
      </w:r>
      <w:r w:rsidRPr="00C375C0">
        <w:rPr>
          <w:rFonts w:ascii="Arial" w:hAnsi="Arial" w:cs="Arial"/>
          <w:color w:val="000000"/>
        </w:rPr>
        <w:t xml:space="preserve">was put down as the result of ‘human error’ which in turn, unmasked the weaknesses in the policies and procedures encircling recovery and examination of forensic evidence (BBC News, </w:t>
      </w:r>
      <w:r w:rsidRPr="00C375C0">
        <w:rPr>
          <w:rFonts w:ascii="Arial" w:hAnsi="Arial" w:cs="Arial"/>
          <w:color w:val="000000"/>
        </w:rPr>
        <w:lastRenderedPageBreak/>
        <w:t xml:space="preserve">2011).  However, </w:t>
      </w:r>
      <w:proofErr w:type="spellStart"/>
      <w:r w:rsidRPr="00C375C0">
        <w:rPr>
          <w:rFonts w:ascii="Arial" w:hAnsi="Arial" w:cs="Arial"/>
          <w:color w:val="000000"/>
        </w:rPr>
        <w:t>Rennison</w:t>
      </w:r>
      <w:proofErr w:type="spellEnd"/>
      <w:r w:rsidRPr="00C375C0">
        <w:rPr>
          <w:rFonts w:ascii="Arial" w:hAnsi="Arial" w:cs="Arial"/>
          <w:color w:val="000000"/>
        </w:rPr>
        <w:t xml:space="preserve"> and Pugh (2011) provide reassurance that in the United Kingdom, a methodology for fingerprint examination referred to as ACE-V has been widely adopted and provides a structure</w:t>
      </w:r>
      <w:r w:rsidR="00B731A8">
        <w:rPr>
          <w:rFonts w:ascii="Arial" w:hAnsi="Arial" w:cs="Arial"/>
          <w:color w:val="000000"/>
        </w:rPr>
        <w:t xml:space="preserve">d </w:t>
      </w:r>
      <w:r w:rsidRPr="00C375C0">
        <w:rPr>
          <w:rFonts w:ascii="Arial" w:hAnsi="Arial" w:cs="Arial"/>
          <w:color w:val="000000"/>
        </w:rPr>
        <w:t xml:space="preserve">approach to examination that </w:t>
      </w:r>
      <w:r w:rsidR="00B731A8" w:rsidRPr="00C375C0">
        <w:rPr>
          <w:rFonts w:ascii="Arial" w:hAnsi="Arial" w:cs="Arial"/>
          <w:color w:val="000000"/>
        </w:rPr>
        <w:t>offers</w:t>
      </w:r>
      <w:r w:rsidRPr="00C375C0">
        <w:rPr>
          <w:rFonts w:ascii="Arial" w:hAnsi="Arial" w:cs="Arial"/>
          <w:color w:val="000000"/>
        </w:rPr>
        <w:t xml:space="preserve"> some degree of safeguarding against discrepancies and incorrect results by implementing a secondary verification process and ensuring Forensic Specialists are wholly competent in Fingerprint recovery techniques. Despite this, as shown, errors are still manageable and therefore, questioning whether forensic approaches require more technological development as well as a review of policies and procedures to reduce the risks made by humans (Press, 2019). It should be noted that DNA recovery is just one prime example of a contentious area out of many different forms of forensic recovery.</w:t>
      </w:r>
    </w:p>
    <w:p w14:paraId="0011A9CB" w14:textId="77777777" w:rsidR="00C375C0" w:rsidRPr="00C375C0" w:rsidRDefault="00C375C0" w:rsidP="00C375C0">
      <w:pPr>
        <w:spacing w:line="480" w:lineRule="auto"/>
        <w:rPr>
          <w:color w:val="000000"/>
        </w:rPr>
      </w:pPr>
    </w:p>
    <w:p w14:paraId="40AB7A55" w14:textId="1A03490F" w:rsidR="00C375C0" w:rsidRPr="00C375C0" w:rsidRDefault="00C375C0" w:rsidP="00C375C0">
      <w:pPr>
        <w:spacing w:line="480" w:lineRule="auto"/>
        <w:jc w:val="both"/>
        <w:rPr>
          <w:color w:val="000000"/>
        </w:rPr>
      </w:pPr>
      <w:r w:rsidRPr="00C375C0">
        <w:rPr>
          <w:rFonts w:ascii="Arial" w:hAnsi="Arial" w:cs="Arial"/>
          <w:color w:val="000000"/>
        </w:rPr>
        <w:t xml:space="preserve">Williams (2012) provides that reliability in the procedures used and the confidence in Forensic Specialist’s competencies can be improved </w:t>
      </w:r>
      <w:proofErr w:type="gramStart"/>
      <w:r w:rsidRPr="00C375C0">
        <w:rPr>
          <w:rFonts w:ascii="Arial" w:hAnsi="Arial" w:cs="Arial"/>
          <w:color w:val="000000"/>
        </w:rPr>
        <w:t>by the use of</w:t>
      </w:r>
      <w:proofErr w:type="gramEnd"/>
      <w:r w:rsidRPr="00C375C0">
        <w:rPr>
          <w:rFonts w:ascii="Arial" w:hAnsi="Arial" w:cs="Arial"/>
          <w:color w:val="000000"/>
        </w:rPr>
        <w:t xml:space="preserve"> dual tool verification. Such advice presupposes that any potential problems are due to the tool's validity rather than the practitioner. The problem is that, while both tools may produce the same result (as one would like), </w:t>
      </w:r>
      <w:proofErr w:type="gramStart"/>
      <w:r w:rsidRPr="00C375C0">
        <w:rPr>
          <w:rFonts w:ascii="Arial" w:hAnsi="Arial" w:cs="Arial"/>
          <w:color w:val="000000"/>
        </w:rPr>
        <w:t>dual-tooling</w:t>
      </w:r>
      <w:proofErr w:type="gramEnd"/>
      <w:r w:rsidRPr="00C375C0">
        <w:rPr>
          <w:rFonts w:ascii="Arial" w:hAnsi="Arial" w:cs="Arial"/>
          <w:color w:val="000000"/>
        </w:rPr>
        <w:t xml:space="preserve"> is unlikely to preclude evidence misinterpretation during the examination process (Williams, 2012). The idea of 'dual-examining' is put forward for discussion. </w:t>
      </w:r>
      <w:proofErr w:type="gramStart"/>
      <w:r w:rsidRPr="00C375C0">
        <w:rPr>
          <w:rFonts w:ascii="Arial" w:hAnsi="Arial" w:cs="Arial"/>
          <w:color w:val="000000"/>
        </w:rPr>
        <w:t>Dual-examining</w:t>
      </w:r>
      <w:proofErr w:type="gramEnd"/>
      <w:r w:rsidRPr="00C375C0">
        <w:rPr>
          <w:rFonts w:ascii="Arial" w:hAnsi="Arial" w:cs="Arial"/>
          <w:color w:val="000000"/>
        </w:rPr>
        <w:t>, while not a complete answer, demands that each part of the examination and recovery process be divided among two practitioners who are responsible for distinct aspects of the process (</w:t>
      </w:r>
      <w:proofErr w:type="spellStart"/>
      <w:r w:rsidRPr="00C375C0">
        <w:rPr>
          <w:rFonts w:ascii="Arial" w:hAnsi="Arial" w:cs="Arial"/>
          <w:color w:val="000000"/>
        </w:rPr>
        <w:t>Rennison</w:t>
      </w:r>
      <w:proofErr w:type="spellEnd"/>
      <w:r w:rsidRPr="00C375C0">
        <w:rPr>
          <w:rFonts w:ascii="Arial" w:hAnsi="Arial" w:cs="Arial"/>
          <w:color w:val="000000"/>
        </w:rPr>
        <w:t xml:space="preserve"> and Pugh, 2011). </w:t>
      </w:r>
      <w:r w:rsidR="00B731A8">
        <w:rPr>
          <w:rFonts w:ascii="Arial" w:hAnsi="Arial" w:cs="Arial"/>
          <w:color w:val="000000"/>
        </w:rPr>
        <w:t xml:space="preserve">Furthermore, </w:t>
      </w:r>
      <w:proofErr w:type="gramStart"/>
      <w:r w:rsidR="00B731A8">
        <w:rPr>
          <w:rFonts w:ascii="Arial" w:hAnsi="Arial" w:cs="Arial"/>
          <w:color w:val="000000"/>
        </w:rPr>
        <w:t>d</w:t>
      </w:r>
      <w:r w:rsidRPr="00C375C0">
        <w:rPr>
          <w:rFonts w:ascii="Arial" w:hAnsi="Arial" w:cs="Arial"/>
          <w:color w:val="000000"/>
        </w:rPr>
        <w:t>ual-responsibility</w:t>
      </w:r>
      <w:proofErr w:type="gramEnd"/>
      <w:r w:rsidRPr="00C375C0">
        <w:rPr>
          <w:rFonts w:ascii="Arial" w:hAnsi="Arial" w:cs="Arial"/>
          <w:color w:val="000000"/>
        </w:rPr>
        <w:t xml:space="preserve"> is established to encourage scrutiny and participation at all phases of an investigation. Furthermore, since both practitioners tasked on recovery and examination, the task division will naturally develop a peer review relationship (Williams, 2012). </w:t>
      </w:r>
      <w:r w:rsidR="00B731A8">
        <w:rPr>
          <w:rFonts w:ascii="Arial" w:hAnsi="Arial" w:cs="Arial"/>
          <w:color w:val="000000"/>
        </w:rPr>
        <w:t>However, d</w:t>
      </w:r>
      <w:r w:rsidRPr="00C375C0">
        <w:rPr>
          <w:rFonts w:ascii="Arial" w:hAnsi="Arial" w:cs="Arial"/>
          <w:color w:val="000000"/>
        </w:rPr>
        <w:t xml:space="preserve">ual-recovery </w:t>
      </w:r>
      <w:r w:rsidRPr="00C375C0">
        <w:rPr>
          <w:rFonts w:ascii="Arial" w:hAnsi="Arial" w:cs="Arial"/>
          <w:color w:val="000000"/>
        </w:rPr>
        <w:lastRenderedPageBreak/>
        <w:t>and dual-examining does not duplicate the effort like a re-examination or hold the detrimental impact of not being able to recover the same evidence again</w:t>
      </w:r>
      <w:r w:rsidR="00B731A8">
        <w:rPr>
          <w:rFonts w:ascii="Arial" w:hAnsi="Arial" w:cs="Arial"/>
          <w:color w:val="000000"/>
        </w:rPr>
        <w:t xml:space="preserve"> if mistakes are made</w:t>
      </w:r>
      <w:r w:rsidRPr="00C375C0">
        <w:rPr>
          <w:rFonts w:ascii="Arial" w:hAnsi="Arial" w:cs="Arial"/>
          <w:color w:val="000000"/>
        </w:rPr>
        <w:t>, but it does have the added benefit of allowing many practitioners to participate during an investigation, exposing findings to twice the scrutiny and twice the discipline specific experience and investigatory knowledge (Ludwig and Fraser, 2014). In essence, this strategy is based on the idea that the more people participating, the better the likelihood of avoiding or detecting investigative errors (</w:t>
      </w:r>
      <w:proofErr w:type="spellStart"/>
      <w:r w:rsidRPr="00C375C0">
        <w:rPr>
          <w:rFonts w:ascii="Arial" w:hAnsi="Arial" w:cs="Arial"/>
          <w:color w:val="000000"/>
        </w:rPr>
        <w:t>Rennison</w:t>
      </w:r>
      <w:proofErr w:type="spellEnd"/>
      <w:r w:rsidRPr="00C375C0">
        <w:rPr>
          <w:rFonts w:ascii="Arial" w:hAnsi="Arial" w:cs="Arial"/>
          <w:color w:val="000000"/>
        </w:rPr>
        <w:t xml:space="preserve"> and Pugh, 2011).</w:t>
      </w:r>
    </w:p>
    <w:p w14:paraId="0D80E174" w14:textId="77777777" w:rsidR="00C375C0" w:rsidRPr="00C375C0" w:rsidRDefault="00C375C0" w:rsidP="00C375C0">
      <w:pPr>
        <w:spacing w:line="480" w:lineRule="auto"/>
        <w:rPr>
          <w:color w:val="000000"/>
        </w:rPr>
      </w:pPr>
    </w:p>
    <w:p w14:paraId="2455E6B3" w14:textId="77777777" w:rsidR="00C375C0" w:rsidRPr="00C375C0" w:rsidRDefault="00C375C0" w:rsidP="00C375C0">
      <w:pPr>
        <w:spacing w:before="240" w:after="240" w:line="480" w:lineRule="auto"/>
        <w:jc w:val="both"/>
        <w:rPr>
          <w:color w:val="000000"/>
        </w:rPr>
      </w:pPr>
      <w:r w:rsidRPr="00C375C0">
        <w:rPr>
          <w:rFonts w:ascii="Arial" w:hAnsi="Arial" w:cs="Arial"/>
          <w:color w:val="000000"/>
        </w:rPr>
        <w:t xml:space="preserve">In conclusion, despite the systematic approaches taken by Forensic Specialists in line with </w:t>
      </w:r>
      <w:proofErr w:type="spellStart"/>
      <w:r w:rsidRPr="00C375C0">
        <w:rPr>
          <w:rFonts w:ascii="Arial" w:hAnsi="Arial" w:cs="Arial"/>
          <w:color w:val="000000"/>
        </w:rPr>
        <w:t>CoPD</w:t>
      </w:r>
      <w:proofErr w:type="spellEnd"/>
      <w:r w:rsidRPr="00C375C0">
        <w:rPr>
          <w:rFonts w:ascii="Arial" w:hAnsi="Arial" w:cs="Arial"/>
          <w:color w:val="000000"/>
        </w:rPr>
        <w:t xml:space="preserve"> and Forensic Strategies, there appear to be flaws within recovery and examination processes as presented by Press (2019) and the Shirley McKie case (BBC News, 2011). Despite the efforts proposed by Tully (2021), it appears that the recommendations made by Williams (2012), albeit a decade old, should be reviewed </w:t>
      </w:r>
      <w:proofErr w:type="gramStart"/>
      <w:r w:rsidRPr="00C375C0">
        <w:rPr>
          <w:rFonts w:ascii="Arial" w:hAnsi="Arial" w:cs="Arial"/>
          <w:color w:val="000000"/>
        </w:rPr>
        <w:t>in order to</w:t>
      </w:r>
      <w:proofErr w:type="gramEnd"/>
      <w:r w:rsidRPr="00C375C0">
        <w:rPr>
          <w:rFonts w:ascii="Arial" w:hAnsi="Arial" w:cs="Arial"/>
          <w:color w:val="000000"/>
        </w:rPr>
        <w:t xml:space="preserve"> increase reliability, confidence and accountability in forensic recovery and examination processes to ensure the effectiveness of police investigations and criminal justice processes are maintained and upheld. Within this paper and the limited word count, only a limited number of procedures, policies and viewpoints are reviewed. Similarly, as are a few recommendations to ensure change and improve the forensic element within crime scene investigations. </w:t>
      </w:r>
    </w:p>
    <w:p w14:paraId="0E80266A" w14:textId="77777777" w:rsidR="00C375C0" w:rsidRPr="00C375C0" w:rsidRDefault="00C375C0" w:rsidP="00C375C0">
      <w:pPr>
        <w:spacing w:after="240"/>
      </w:pPr>
    </w:p>
    <w:p w14:paraId="24053368" w14:textId="77777777" w:rsidR="009D5B7F" w:rsidRDefault="009D5B7F" w:rsidP="00D35311">
      <w:pPr>
        <w:rPr>
          <w:rFonts w:ascii="Arial" w:hAnsi="Arial" w:cs="Arial"/>
          <w:b/>
          <w:bCs/>
        </w:rPr>
      </w:pPr>
    </w:p>
    <w:p w14:paraId="565EDE13" w14:textId="77777777" w:rsidR="009D5B7F" w:rsidRDefault="009D5B7F" w:rsidP="00D35311">
      <w:pPr>
        <w:rPr>
          <w:rFonts w:ascii="Arial" w:hAnsi="Arial" w:cs="Arial"/>
          <w:b/>
          <w:bCs/>
        </w:rPr>
      </w:pPr>
    </w:p>
    <w:p w14:paraId="4157BAF0" w14:textId="77777777" w:rsidR="009D5B7F" w:rsidRDefault="009D5B7F" w:rsidP="00D35311">
      <w:pPr>
        <w:rPr>
          <w:rFonts w:ascii="Arial" w:hAnsi="Arial" w:cs="Arial"/>
          <w:b/>
          <w:bCs/>
        </w:rPr>
      </w:pPr>
    </w:p>
    <w:p w14:paraId="1062337B" w14:textId="77777777" w:rsidR="009D5B7F" w:rsidRDefault="009D5B7F" w:rsidP="00D35311">
      <w:pPr>
        <w:rPr>
          <w:rFonts w:ascii="Arial" w:hAnsi="Arial" w:cs="Arial"/>
          <w:b/>
          <w:bCs/>
        </w:rPr>
      </w:pPr>
    </w:p>
    <w:p w14:paraId="7EE75349" w14:textId="77777777" w:rsidR="009D5B7F" w:rsidRDefault="009D5B7F" w:rsidP="00D35311">
      <w:pPr>
        <w:rPr>
          <w:rFonts w:ascii="Arial" w:hAnsi="Arial" w:cs="Arial"/>
          <w:b/>
          <w:bCs/>
        </w:rPr>
      </w:pPr>
    </w:p>
    <w:p w14:paraId="5A089E74" w14:textId="77777777" w:rsidR="009D5B7F" w:rsidRDefault="009D5B7F" w:rsidP="00D35311">
      <w:pPr>
        <w:rPr>
          <w:rFonts w:ascii="Arial" w:hAnsi="Arial" w:cs="Arial"/>
          <w:b/>
          <w:bCs/>
        </w:rPr>
      </w:pPr>
    </w:p>
    <w:p w14:paraId="6100CFDD" w14:textId="77777777" w:rsidR="009D5B7F" w:rsidRDefault="009D5B7F" w:rsidP="00D35311">
      <w:pPr>
        <w:rPr>
          <w:rFonts w:ascii="Arial" w:hAnsi="Arial" w:cs="Arial"/>
          <w:b/>
          <w:bCs/>
        </w:rPr>
      </w:pPr>
    </w:p>
    <w:p w14:paraId="51200B55" w14:textId="77777777" w:rsidR="009B55F5" w:rsidRDefault="009B55F5" w:rsidP="00D35311">
      <w:pPr>
        <w:rPr>
          <w:rFonts w:ascii="Arial" w:hAnsi="Arial" w:cs="Arial"/>
          <w:b/>
          <w:bCs/>
        </w:rPr>
      </w:pPr>
    </w:p>
    <w:p w14:paraId="18059A83" w14:textId="5A888312" w:rsidR="007E5032" w:rsidRDefault="00D35311" w:rsidP="009B55F5">
      <w:pPr>
        <w:rPr>
          <w:rFonts w:ascii="Arial" w:hAnsi="Arial" w:cs="Arial"/>
        </w:rPr>
      </w:pPr>
      <w:r w:rsidRPr="00D35311">
        <w:rPr>
          <w:rFonts w:ascii="Arial" w:hAnsi="Arial" w:cs="Arial"/>
          <w:b/>
          <w:bCs/>
        </w:rPr>
        <w:t xml:space="preserve">Reference List (Part </w:t>
      </w:r>
      <w:r>
        <w:rPr>
          <w:rFonts w:ascii="Arial" w:hAnsi="Arial" w:cs="Arial"/>
          <w:b/>
          <w:bCs/>
        </w:rPr>
        <w:t>B</w:t>
      </w:r>
      <w:r w:rsidRPr="00D35311">
        <w:rPr>
          <w:rFonts w:ascii="Arial" w:hAnsi="Arial" w:cs="Arial"/>
          <w:b/>
          <w:bCs/>
        </w:rPr>
        <w:t>)</w:t>
      </w:r>
      <w:r>
        <w:rPr>
          <w:rFonts w:ascii="Arial" w:hAnsi="Arial" w:cs="Arial"/>
        </w:rPr>
        <w:t xml:space="preserve"> </w:t>
      </w:r>
    </w:p>
    <w:p w14:paraId="42193AFB" w14:textId="5CF8892C" w:rsidR="00DE1DC2" w:rsidRDefault="00DE1DC2" w:rsidP="009B55F5">
      <w:pPr>
        <w:rPr>
          <w:rFonts w:ascii="Arial" w:hAnsi="Arial" w:cs="Arial"/>
        </w:rPr>
      </w:pPr>
    </w:p>
    <w:p w14:paraId="1047E760" w14:textId="0498C704"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sz w:val="20"/>
          <w:szCs w:val="20"/>
        </w:rPr>
        <w:t>Association of Chief Police Officers (2004). </w:t>
      </w:r>
      <w:r w:rsidRPr="00C375C0">
        <w:rPr>
          <w:rFonts w:ascii="Arial" w:hAnsi="Arial" w:cs="Arial"/>
          <w:i/>
          <w:iCs/>
          <w:sz w:val="20"/>
          <w:szCs w:val="20"/>
        </w:rPr>
        <w:t>Core Investigation Doctrine - a Freedom of Information request to College of Policing Limited</w:t>
      </w:r>
      <w:r w:rsidRPr="00C375C0">
        <w:rPr>
          <w:rFonts w:ascii="Arial" w:hAnsi="Arial" w:cs="Arial"/>
          <w:sz w:val="20"/>
          <w:szCs w:val="20"/>
        </w:rPr>
        <w:t xml:space="preserve"> Available at: </w:t>
      </w:r>
      <w:hyperlink r:id="rId15" w:history="1">
        <w:r w:rsidRPr="00C375C0">
          <w:rPr>
            <w:rStyle w:val="Hyperlink"/>
            <w:rFonts w:ascii="Arial" w:hAnsi="Arial" w:cs="Arial"/>
            <w:sz w:val="20"/>
            <w:szCs w:val="20"/>
          </w:rPr>
          <w:t>https://www.whatdotheyknow.com/request/387377/response/939365/attach/2/ACPO%202005%20Practice%20Advice%20on%20Core%20Investigative%20Doctrine%20002.pdf?cookie_passthrough=1</w:t>
        </w:r>
      </w:hyperlink>
      <w:r w:rsidRPr="00C375C0">
        <w:rPr>
          <w:rFonts w:ascii="Arial" w:hAnsi="Arial" w:cs="Arial"/>
          <w:sz w:val="20"/>
          <w:szCs w:val="20"/>
        </w:rPr>
        <w:t xml:space="preserve"> (Accessed 24 Feb. 2022). </w:t>
      </w:r>
    </w:p>
    <w:p w14:paraId="7417A0FE" w14:textId="77777777" w:rsidR="00C375C0" w:rsidRPr="00C375C0" w:rsidRDefault="00C375C0" w:rsidP="00C375C0">
      <w:pPr>
        <w:rPr>
          <w:rFonts w:ascii="Arial" w:hAnsi="Arial" w:cs="Arial"/>
          <w:sz w:val="20"/>
          <w:szCs w:val="20"/>
        </w:rPr>
      </w:pPr>
    </w:p>
    <w:p w14:paraId="31841881" w14:textId="4988277C"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sz w:val="20"/>
          <w:szCs w:val="20"/>
        </w:rPr>
        <w:t xml:space="preserve">BBC (2016). Forensic science strategy vague and incoherent, MPs say.  Available at: </w:t>
      </w:r>
      <w:hyperlink r:id="rId16" w:history="1">
        <w:r w:rsidRPr="00C375C0">
          <w:rPr>
            <w:rStyle w:val="Hyperlink"/>
            <w:rFonts w:ascii="Arial" w:hAnsi="Arial" w:cs="Arial"/>
            <w:sz w:val="20"/>
            <w:szCs w:val="20"/>
          </w:rPr>
          <w:t>https://www.bbc.co.uk/news/uk-37390923</w:t>
        </w:r>
      </w:hyperlink>
      <w:r w:rsidRPr="00C375C0">
        <w:rPr>
          <w:rFonts w:ascii="Arial" w:hAnsi="Arial" w:cs="Arial"/>
          <w:sz w:val="20"/>
          <w:szCs w:val="20"/>
        </w:rPr>
        <w:t xml:space="preserve"> (Accessed 24 Feb. 2022). </w:t>
      </w:r>
    </w:p>
    <w:p w14:paraId="075F9997" w14:textId="77777777" w:rsidR="00C375C0" w:rsidRPr="00C375C0" w:rsidRDefault="00C375C0" w:rsidP="00C375C0">
      <w:pPr>
        <w:rPr>
          <w:rFonts w:ascii="Arial" w:hAnsi="Arial" w:cs="Arial"/>
          <w:sz w:val="20"/>
          <w:szCs w:val="20"/>
        </w:rPr>
      </w:pPr>
    </w:p>
    <w:p w14:paraId="33ACE368" w14:textId="182C544D" w:rsidR="00C375C0" w:rsidRPr="00C375C0" w:rsidRDefault="00C375C0" w:rsidP="00C375C0">
      <w:pPr>
        <w:pStyle w:val="ListParagraph"/>
        <w:numPr>
          <w:ilvl w:val="0"/>
          <w:numId w:val="13"/>
        </w:numPr>
        <w:rPr>
          <w:rFonts w:ascii="Arial" w:hAnsi="Arial" w:cs="Arial"/>
          <w:color w:val="3C4043"/>
          <w:spacing w:val="3"/>
          <w:sz w:val="20"/>
          <w:szCs w:val="20"/>
          <w:shd w:val="clear" w:color="auto" w:fill="FFFFFF"/>
        </w:rPr>
      </w:pPr>
      <w:r w:rsidRPr="00C375C0">
        <w:rPr>
          <w:rFonts w:ascii="Arial" w:hAnsi="Arial" w:cs="Arial"/>
          <w:color w:val="3C4043"/>
          <w:spacing w:val="3"/>
          <w:sz w:val="20"/>
          <w:szCs w:val="20"/>
          <w:shd w:val="clear" w:color="auto" w:fill="FFFFFF"/>
        </w:rPr>
        <w:t>BBC News (2011). McKie print bungle “human error.”  Available at:</w:t>
      </w:r>
      <w:r w:rsidRPr="00C375C0">
        <w:rPr>
          <w:rStyle w:val="apple-converted-space"/>
          <w:rFonts w:ascii="Arial" w:hAnsi="Arial" w:cs="Arial"/>
          <w:color w:val="3C4043"/>
          <w:spacing w:val="3"/>
          <w:sz w:val="20"/>
          <w:szCs w:val="20"/>
          <w:shd w:val="clear" w:color="auto" w:fill="FFFFFF"/>
        </w:rPr>
        <w:t> </w:t>
      </w:r>
      <w:hyperlink r:id="rId17" w:tgtFrame="_blank" w:history="1">
        <w:r w:rsidRPr="00C375C0">
          <w:rPr>
            <w:rStyle w:val="Hyperlink"/>
            <w:rFonts w:ascii="Arial" w:hAnsi="Arial" w:cs="Arial"/>
            <w:color w:val="1A73E8"/>
            <w:spacing w:val="3"/>
            <w:sz w:val="20"/>
            <w:szCs w:val="20"/>
          </w:rPr>
          <w:t>https://www.bbc.co.uk/news/uk-scotland-glasgow-west-16181875</w:t>
        </w:r>
      </w:hyperlink>
      <w:r w:rsidRPr="00C375C0">
        <w:rPr>
          <w:rStyle w:val="apple-converted-space"/>
          <w:rFonts w:ascii="Arial" w:hAnsi="Arial" w:cs="Arial"/>
          <w:color w:val="3C4043"/>
          <w:spacing w:val="3"/>
          <w:sz w:val="20"/>
          <w:szCs w:val="20"/>
          <w:shd w:val="clear" w:color="auto" w:fill="FFFFFF"/>
        </w:rPr>
        <w:t> </w:t>
      </w:r>
      <w:r w:rsidRPr="00C375C0">
        <w:rPr>
          <w:rFonts w:ascii="Arial" w:hAnsi="Arial" w:cs="Arial"/>
          <w:color w:val="3C4043"/>
          <w:spacing w:val="3"/>
          <w:sz w:val="20"/>
          <w:szCs w:val="20"/>
          <w:shd w:val="clear" w:color="auto" w:fill="FFFFFF"/>
        </w:rPr>
        <w:t>(</w:t>
      </w:r>
      <w:r w:rsidRPr="00C375C0">
        <w:rPr>
          <w:rFonts w:ascii="Arial" w:hAnsi="Arial" w:cs="Arial"/>
          <w:color w:val="3C4043"/>
          <w:spacing w:val="3"/>
          <w:sz w:val="20"/>
          <w:szCs w:val="20"/>
          <w:shd w:val="clear" w:color="auto" w:fill="FFFFFF"/>
        </w:rPr>
        <w:t>Accessed 25 Feb. 2022).</w:t>
      </w:r>
    </w:p>
    <w:p w14:paraId="77AAC86A" w14:textId="77777777" w:rsidR="00C375C0" w:rsidRPr="00C375C0" w:rsidRDefault="00C375C0" w:rsidP="00C375C0">
      <w:pPr>
        <w:rPr>
          <w:rFonts w:ascii="Arial" w:hAnsi="Arial" w:cs="Arial"/>
          <w:sz w:val="20"/>
          <w:szCs w:val="20"/>
        </w:rPr>
      </w:pPr>
    </w:p>
    <w:p w14:paraId="0A9CDEC2" w14:textId="7993EBA7"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sz w:val="20"/>
          <w:szCs w:val="20"/>
        </w:rPr>
        <w:t>Bradbury, S.-A. and Feist, A. (2005). </w:t>
      </w:r>
      <w:r w:rsidRPr="00C375C0">
        <w:rPr>
          <w:rFonts w:ascii="Arial" w:hAnsi="Arial" w:cs="Arial"/>
          <w:i/>
          <w:iCs/>
          <w:sz w:val="20"/>
          <w:szCs w:val="20"/>
        </w:rPr>
        <w:t>The use of forensic science in volume crime investigations: a review of the research literature</w:t>
      </w:r>
      <w:r w:rsidRPr="00C375C0">
        <w:rPr>
          <w:rFonts w:ascii="Arial" w:hAnsi="Arial" w:cs="Arial"/>
          <w:sz w:val="20"/>
          <w:szCs w:val="20"/>
        </w:rPr>
        <w:t xml:space="preserve">. Available at: </w:t>
      </w:r>
      <w:hyperlink r:id="rId18" w:history="1">
        <w:r w:rsidRPr="00C375C0">
          <w:rPr>
            <w:rStyle w:val="Hyperlink"/>
            <w:rFonts w:ascii="Arial" w:hAnsi="Arial" w:cs="Arial"/>
            <w:sz w:val="20"/>
            <w:szCs w:val="20"/>
          </w:rPr>
          <w:t>https://assets.publishing.service.gov.uk/government/uploads/system/uploads/attachment_data/file/115849/hoor4305.pdf</w:t>
        </w:r>
      </w:hyperlink>
      <w:r w:rsidRPr="00C375C0">
        <w:rPr>
          <w:rFonts w:ascii="Arial" w:hAnsi="Arial" w:cs="Arial"/>
          <w:sz w:val="20"/>
          <w:szCs w:val="20"/>
        </w:rPr>
        <w:t xml:space="preserve">  (Accessed 24 Feb. 2022). </w:t>
      </w:r>
    </w:p>
    <w:p w14:paraId="3AC44F8B" w14:textId="77777777" w:rsidR="00C375C0" w:rsidRPr="00C375C0" w:rsidRDefault="00C375C0" w:rsidP="00C375C0">
      <w:pPr>
        <w:rPr>
          <w:rFonts w:ascii="Arial" w:hAnsi="Arial" w:cs="Arial"/>
          <w:sz w:val="20"/>
          <w:szCs w:val="20"/>
        </w:rPr>
      </w:pPr>
    </w:p>
    <w:p w14:paraId="3F1A6103" w14:textId="6DD77E6B"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sz w:val="20"/>
          <w:szCs w:val="20"/>
        </w:rPr>
        <w:t>College of Policing (2022). </w:t>
      </w:r>
      <w:r w:rsidRPr="00C375C0">
        <w:rPr>
          <w:rFonts w:ascii="Arial" w:hAnsi="Arial" w:cs="Arial"/>
          <w:i/>
          <w:iCs/>
          <w:sz w:val="20"/>
          <w:szCs w:val="20"/>
        </w:rPr>
        <w:t>Managing investigations</w:t>
      </w:r>
      <w:r w:rsidRPr="00C375C0">
        <w:rPr>
          <w:rFonts w:ascii="Arial" w:hAnsi="Arial" w:cs="Arial"/>
          <w:sz w:val="20"/>
          <w:szCs w:val="20"/>
        </w:rPr>
        <w:t xml:space="preserve">. Available at: </w:t>
      </w:r>
      <w:hyperlink r:id="rId19" w:history="1">
        <w:r w:rsidRPr="00C375C0">
          <w:rPr>
            <w:rStyle w:val="Hyperlink"/>
            <w:rFonts w:ascii="Arial" w:hAnsi="Arial" w:cs="Arial"/>
            <w:sz w:val="20"/>
            <w:szCs w:val="20"/>
          </w:rPr>
          <w:t>https://www.app.college.police.uk/app-content/investigations/managing-investigations/</w:t>
        </w:r>
      </w:hyperlink>
      <w:r w:rsidRPr="00C375C0">
        <w:rPr>
          <w:rFonts w:ascii="Arial" w:hAnsi="Arial" w:cs="Arial"/>
          <w:sz w:val="20"/>
          <w:szCs w:val="20"/>
        </w:rPr>
        <w:t xml:space="preserve"> (Accessed 24 Feb. 2022).</w:t>
      </w:r>
    </w:p>
    <w:p w14:paraId="7F19CF12" w14:textId="77777777" w:rsidR="00C375C0" w:rsidRPr="00C375C0" w:rsidRDefault="00C375C0" w:rsidP="00C375C0">
      <w:pPr>
        <w:rPr>
          <w:rFonts w:ascii="Arial" w:hAnsi="Arial" w:cs="Arial"/>
          <w:sz w:val="20"/>
          <w:szCs w:val="20"/>
        </w:rPr>
      </w:pPr>
    </w:p>
    <w:p w14:paraId="72089431" w14:textId="1C29DDA7"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sz w:val="20"/>
          <w:szCs w:val="20"/>
        </w:rPr>
        <w:t xml:space="preserve">Criminal Procedure and Investigations Act (1996). Available at: </w:t>
      </w:r>
      <w:hyperlink r:id="rId20" w:history="1">
        <w:r w:rsidRPr="00C375C0">
          <w:rPr>
            <w:rStyle w:val="Hyperlink"/>
            <w:rFonts w:ascii="Arial" w:hAnsi="Arial" w:cs="Arial"/>
            <w:sz w:val="20"/>
            <w:szCs w:val="20"/>
          </w:rPr>
          <w:t>https://www.legislation.gov.uk/ukpga/1996/25/contents</w:t>
        </w:r>
      </w:hyperlink>
      <w:r w:rsidRPr="00C375C0">
        <w:rPr>
          <w:rFonts w:ascii="Arial" w:hAnsi="Arial" w:cs="Arial"/>
          <w:sz w:val="20"/>
          <w:szCs w:val="20"/>
        </w:rPr>
        <w:t xml:space="preserve"> (Accessed 24 Feb. 2022).</w:t>
      </w:r>
    </w:p>
    <w:p w14:paraId="0D2909BE" w14:textId="77777777" w:rsidR="00C375C0" w:rsidRPr="00C375C0" w:rsidRDefault="00C375C0" w:rsidP="00C375C0">
      <w:pPr>
        <w:rPr>
          <w:rFonts w:ascii="Arial" w:hAnsi="Arial" w:cs="Arial"/>
          <w:sz w:val="20"/>
          <w:szCs w:val="20"/>
        </w:rPr>
      </w:pPr>
    </w:p>
    <w:p w14:paraId="4E2A0F6A" w14:textId="6E67E643"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sz w:val="20"/>
          <w:szCs w:val="20"/>
        </w:rPr>
        <w:t>Ludwig, A. and Fraser, J. (2014). ‘Effective use of forensic science in volume crime investigations: Identifying recurring themes in the literature’, </w:t>
      </w:r>
      <w:r w:rsidRPr="00C375C0">
        <w:rPr>
          <w:rFonts w:ascii="Arial" w:hAnsi="Arial" w:cs="Arial"/>
          <w:i/>
          <w:iCs/>
          <w:sz w:val="20"/>
          <w:szCs w:val="20"/>
        </w:rPr>
        <w:t>Science &amp; Justice</w:t>
      </w:r>
      <w:r w:rsidRPr="00C375C0">
        <w:rPr>
          <w:rFonts w:ascii="Arial" w:hAnsi="Arial" w:cs="Arial"/>
          <w:sz w:val="20"/>
          <w:szCs w:val="20"/>
        </w:rPr>
        <w:t>, 54(1), pp.81–88. Available at: https://pubmed.ncbi.nlm.nih.gov/24438782/ (Accessed 24 Feb. 2022).</w:t>
      </w:r>
    </w:p>
    <w:p w14:paraId="6C29BC4D" w14:textId="77777777" w:rsidR="00C375C0" w:rsidRPr="00C375C0" w:rsidRDefault="00C375C0" w:rsidP="00C375C0">
      <w:pPr>
        <w:rPr>
          <w:rFonts w:ascii="Arial" w:hAnsi="Arial" w:cs="Arial"/>
          <w:sz w:val="20"/>
          <w:szCs w:val="20"/>
        </w:rPr>
      </w:pPr>
    </w:p>
    <w:p w14:paraId="3E9E39D6" w14:textId="1829C53E" w:rsidR="00C375C0" w:rsidRPr="00C375C0" w:rsidRDefault="00C375C0" w:rsidP="00C375C0">
      <w:pPr>
        <w:pStyle w:val="ListParagraph"/>
        <w:numPr>
          <w:ilvl w:val="0"/>
          <w:numId w:val="13"/>
        </w:numPr>
        <w:rPr>
          <w:rFonts w:ascii="Arial" w:hAnsi="Arial" w:cs="Arial"/>
          <w:color w:val="3C4043"/>
          <w:spacing w:val="3"/>
          <w:sz w:val="20"/>
          <w:szCs w:val="20"/>
          <w:shd w:val="clear" w:color="auto" w:fill="FFFFFF"/>
        </w:rPr>
      </w:pPr>
      <w:r w:rsidRPr="00C375C0">
        <w:rPr>
          <w:rFonts w:ascii="Arial" w:hAnsi="Arial" w:cs="Arial"/>
          <w:color w:val="3C4043"/>
          <w:spacing w:val="3"/>
          <w:sz w:val="20"/>
          <w:szCs w:val="20"/>
          <w:shd w:val="clear" w:color="auto" w:fill="FFFFFF"/>
        </w:rPr>
        <w:t>National Academy of Sciences (2009) Strengthening Forensic Science in the United States: A Path Forward. Committee on Identifying the Needs of the Forensic Sciences Community. Available at: </w:t>
      </w:r>
      <w:hyperlink r:id="rId21" w:tgtFrame="_blank" w:history="1">
        <w:r w:rsidRPr="00C375C0">
          <w:rPr>
            <w:rFonts w:ascii="Arial" w:hAnsi="Arial" w:cs="Arial"/>
            <w:color w:val="1A73E8"/>
            <w:spacing w:val="3"/>
            <w:sz w:val="20"/>
            <w:szCs w:val="20"/>
            <w:u w:val="single"/>
          </w:rPr>
          <w:t>http://www.nap.edu/catalog/12589.html</w:t>
        </w:r>
      </w:hyperlink>
      <w:r w:rsidRPr="00C375C0">
        <w:rPr>
          <w:rFonts w:ascii="Arial" w:hAnsi="Arial" w:cs="Arial"/>
          <w:color w:val="3C4043"/>
          <w:spacing w:val="3"/>
          <w:sz w:val="20"/>
          <w:szCs w:val="20"/>
          <w:shd w:val="clear" w:color="auto" w:fill="FFFFFF"/>
        </w:rPr>
        <w:t> (Accessed: 22nd Feb 2022).</w:t>
      </w:r>
    </w:p>
    <w:p w14:paraId="1580AB53" w14:textId="77777777" w:rsidR="00C375C0" w:rsidRPr="00C375C0" w:rsidRDefault="00C375C0" w:rsidP="00C375C0">
      <w:pPr>
        <w:rPr>
          <w:rFonts w:ascii="Arial" w:hAnsi="Arial" w:cs="Arial"/>
          <w:color w:val="3C4043"/>
          <w:spacing w:val="3"/>
          <w:sz w:val="20"/>
          <w:szCs w:val="20"/>
          <w:shd w:val="clear" w:color="auto" w:fill="FFFFFF"/>
        </w:rPr>
      </w:pPr>
    </w:p>
    <w:p w14:paraId="571DA8E6" w14:textId="6D16733E"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sz w:val="20"/>
          <w:szCs w:val="20"/>
        </w:rPr>
        <w:t>Page, H., Horsman, G., Sarna, A. and Foster, J. (2019). A review of quality procedures in the UK forensic sciences: What can the field of digital forensics learn? </w:t>
      </w:r>
      <w:r w:rsidRPr="00C375C0">
        <w:rPr>
          <w:rFonts w:ascii="Arial" w:hAnsi="Arial" w:cs="Arial"/>
          <w:i/>
          <w:iCs/>
          <w:sz w:val="20"/>
          <w:szCs w:val="20"/>
        </w:rPr>
        <w:t>Science &amp; Justice</w:t>
      </w:r>
      <w:r w:rsidRPr="00C375C0">
        <w:rPr>
          <w:rFonts w:ascii="Arial" w:hAnsi="Arial" w:cs="Arial"/>
          <w:sz w:val="20"/>
          <w:szCs w:val="20"/>
        </w:rPr>
        <w:t>, 59(1), pp.83–92.</w:t>
      </w:r>
    </w:p>
    <w:p w14:paraId="11500F2E" w14:textId="77777777" w:rsidR="00C375C0" w:rsidRPr="00C375C0" w:rsidRDefault="00C375C0" w:rsidP="00C375C0">
      <w:pPr>
        <w:rPr>
          <w:rFonts w:ascii="Arial" w:hAnsi="Arial" w:cs="Arial"/>
          <w:sz w:val="20"/>
          <w:szCs w:val="20"/>
        </w:rPr>
      </w:pPr>
    </w:p>
    <w:p w14:paraId="27E55773" w14:textId="043953CA"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sz w:val="20"/>
          <w:szCs w:val="20"/>
        </w:rPr>
        <w:t>Pepper, I.K. (2010). </w:t>
      </w:r>
      <w:r w:rsidRPr="00C375C0">
        <w:rPr>
          <w:rFonts w:ascii="Arial" w:hAnsi="Arial" w:cs="Arial"/>
          <w:i/>
          <w:iCs/>
          <w:sz w:val="20"/>
          <w:szCs w:val="20"/>
        </w:rPr>
        <w:t>Crime scene investigation: methods and procedures</w:t>
      </w:r>
      <w:r w:rsidRPr="00C375C0">
        <w:rPr>
          <w:rFonts w:ascii="Arial" w:hAnsi="Arial" w:cs="Arial"/>
          <w:sz w:val="20"/>
          <w:szCs w:val="20"/>
        </w:rPr>
        <w:t>. 2nd ed. Maidenhead: Open University Press.</w:t>
      </w:r>
    </w:p>
    <w:p w14:paraId="26502E8C" w14:textId="77777777" w:rsidR="00C375C0" w:rsidRPr="00C375C0" w:rsidRDefault="00C375C0" w:rsidP="00C375C0">
      <w:pPr>
        <w:rPr>
          <w:rFonts w:ascii="Arial" w:hAnsi="Arial" w:cs="Arial"/>
          <w:sz w:val="20"/>
          <w:szCs w:val="20"/>
        </w:rPr>
      </w:pPr>
    </w:p>
    <w:p w14:paraId="24588CBA" w14:textId="476322B7" w:rsidR="00C375C0" w:rsidRPr="00C375C0" w:rsidRDefault="00C375C0" w:rsidP="00C375C0">
      <w:pPr>
        <w:pStyle w:val="ListParagraph"/>
        <w:numPr>
          <w:ilvl w:val="0"/>
          <w:numId w:val="13"/>
        </w:numPr>
        <w:rPr>
          <w:rFonts w:ascii="Arial" w:hAnsi="Arial" w:cs="Arial"/>
          <w:color w:val="3C4043"/>
          <w:spacing w:val="3"/>
          <w:sz w:val="20"/>
          <w:szCs w:val="20"/>
          <w:shd w:val="clear" w:color="auto" w:fill="FFFFFF"/>
        </w:rPr>
      </w:pPr>
      <w:r w:rsidRPr="00C375C0">
        <w:rPr>
          <w:rFonts w:ascii="Arial" w:hAnsi="Arial" w:cs="Arial"/>
          <w:color w:val="3C4043"/>
          <w:spacing w:val="3"/>
          <w:sz w:val="20"/>
          <w:szCs w:val="20"/>
          <w:shd w:val="clear" w:color="auto" w:fill="FFFFFF"/>
        </w:rPr>
        <w:t>Press, R. (2019). DNA Mixtures: A Forensic Science Explainer. Available at:</w:t>
      </w:r>
      <w:r w:rsidRPr="00C375C0">
        <w:rPr>
          <w:rStyle w:val="apple-converted-space"/>
          <w:rFonts w:ascii="Arial" w:hAnsi="Arial" w:cs="Arial"/>
          <w:color w:val="3C4043"/>
          <w:spacing w:val="3"/>
          <w:sz w:val="20"/>
          <w:szCs w:val="20"/>
          <w:shd w:val="clear" w:color="auto" w:fill="FFFFFF"/>
        </w:rPr>
        <w:t> </w:t>
      </w:r>
      <w:hyperlink r:id="rId22" w:tgtFrame="_blank" w:history="1">
        <w:r w:rsidRPr="00C375C0">
          <w:rPr>
            <w:rStyle w:val="Hyperlink"/>
            <w:rFonts w:ascii="Arial" w:hAnsi="Arial" w:cs="Arial"/>
            <w:color w:val="1A73E8"/>
            <w:spacing w:val="3"/>
            <w:sz w:val="20"/>
            <w:szCs w:val="20"/>
          </w:rPr>
          <w:t>https://www.nist.gov/feature-stories/dna-mixtures-forensic-science-explainer</w:t>
        </w:r>
      </w:hyperlink>
      <w:r w:rsidRPr="00C375C0">
        <w:rPr>
          <w:rFonts w:ascii="Arial" w:hAnsi="Arial" w:cs="Arial"/>
          <w:sz w:val="20"/>
          <w:szCs w:val="20"/>
        </w:rPr>
        <w:t xml:space="preserve"> </w:t>
      </w:r>
      <w:r w:rsidRPr="00C375C0">
        <w:rPr>
          <w:rFonts w:ascii="Arial" w:hAnsi="Arial" w:cs="Arial"/>
          <w:color w:val="3C4043"/>
          <w:spacing w:val="3"/>
          <w:sz w:val="20"/>
          <w:szCs w:val="20"/>
          <w:shd w:val="clear" w:color="auto" w:fill="FFFFFF"/>
        </w:rPr>
        <w:t>(Accessed 25 Feb. 2022).</w:t>
      </w:r>
    </w:p>
    <w:p w14:paraId="41379980" w14:textId="77777777" w:rsidR="00C375C0" w:rsidRPr="00C375C0" w:rsidRDefault="00C375C0" w:rsidP="00C375C0">
      <w:pPr>
        <w:rPr>
          <w:rFonts w:ascii="Arial" w:hAnsi="Arial" w:cs="Arial"/>
          <w:sz w:val="20"/>
          <w:szCs w:val="20"/>
        </w:rPr>
      </w:pPr>
    </w:p>
    <w:p w14:paraId="741B8D04" w14:textId="0D08A73C" w:rsidR="00C375C0" w:rsidRPr="00C375C0" w:rsidRDefault="00C375C0" w:rsidP="00C375C0">
      <w:pPr>
        <w:pStyle w:val="ListParagraph"/>
        <w:numPr>
          <w:ilvl w:val="0"/>
          <w:numId w:val="13"/>
        </w:numPr>
        <w:rPr>
          <w:rFonts w:ascii="Arial" w:hAnsi="Arial" w:cs="Arial"/>
          <w:color w:val="3C4043"/>
          <w:spacing w:val="3"/>
          <w:sz w:val="20"/>
          <w:szCs w:val="20"/>
          <w:shd w:val="clear" w:color="auto" w:fill="FFFFFF"/>
        </w:rPr>
      </w:pPr>
      <w:proofErr w:type="spellStart"/>
      <w:r w:rsidRPr="00C375C0">
        <w:rPr>
          <w:rFonts w:ascii="Arial" w:hAnsi="Arial" w:cs="Arial"/>
          <w:color w:val="3C4043"/>
          <w:spacing w:val="3"/>
          <w:sz w:val="20"/>
          <w:szCs w:val="20"/>
          <w:shd w:val="clear" w:color="auto" w:fill="FFFFFF"/>
        </w:rPr>
        <w:t>Rennison</w:t>
      </w:r>
      <w:proofErr w:type="spellEnd"/>
      <w:r w:rsidRPr="00C375C0">
        <w:rPr>
          <w:rFonts w:ascii="Arial" w:hAnsi="Arial" w:cs="Arial"/>
          <w:color w:val="3C4043"/>
          <w:spacing w:val="3"/>
          <w:sz w:val="20"/>
          <w:szCs w:val="20"/>
          <w:shd w:val="clear" w:color="auto" w:fill="FFFFFF"/>
        </w:rPr>
        <w:t xml:space="preserve">, A. and Pugh, G. (2011). Developing a Quality Standard </w:t>
      </w:r>
      <w:proofErr w:type="gramStart"/>
      <w:r w:rsidRPr="00C375C0">
        <w:rPr>
          <w:rFonts w:ascii="Arial" w:hAnsi="Arial" w:cs="Arial"/>
          <w:color w:val="3C4043"/>
          <w:spacing w:val="3"/>
          <w:sz w:val="20"/>
          <w:szCs w:val="20"/>
          <w:shd w:val="clear" w:color="auto" w:fill="FFFFFF"/>
        </w:rPr>
        <w:t>For</w:t>
      </w:r>
      <w:proofErr w:type="gramEnd"/>
      <w:r w:rsidRPr="00C375C0">
        <w:rPr>
          <w:rFonts w:ascii="Arial" w:hAnsi="Arial" w:cs="Arial"/>
          <w:color w:val="3C4043"/>
          <w:spacing w:val="3"/>
          <w:sz w:val="20"/>
          <w:szCs w:val="20"/>
          <w:shd w:val="clear" w:color="auto" w:fill="FFFFFF"/>
        </w:rPr>
        <w:t xml:space="preserve"> Fingerprint Examinatio</w:t>
      </w:r>
      <w:r w:rsidRPr="00C375C0">
        <w:rPr>
          <w:rFonts w:ascii="Arial" w:hAnsi="Arial" w:cs="Arial"/>
          <w:color w:val="3C4043"/>
          <w:spacing w:val="3"/>
          <w:sz w:val="20"/>
          <w:szCs w:val="20"/>
          <w:shd w:val="clear" w:color="auto" w:fill="FFFFFF"/>
        </w:rPr>
        <w:t>n</w:t>
      </w:r>
      <w:r w:rsidRPr="00C375C0">
        <w:rPr>
          <w:rFonts w:ascii="Arial" w:hAnsi="Arial" w:cs="Arial"/>
          <w:color w:val="3C4043"/>
          <w:spacing w:val="3"/>
          <w:sz w:val="20"/>
          <w:szCs w:val="20"/>
          <w:shd w:val="clear" w:color="auto" w:fill="FFFFFF"/>
        </w:rPr>
        <w:t>.  Available at:</w:t>
      </w:r>
      <w:r w:rsidRPr="00C375C0">
        <w:rPr>
          <w:rStyle w:val="apple-converted-space"/>
          <w:rFonts w:ascii="Arial" w:hAnsi="Arial" w:cs="Arial"/>
          <w:color w:val="3C4043"/>
          <w:spacing w:val="3"/>
          <w:sz w:val="20"/>
          <w:szCs w:val="20"/>
          <w:shd w:val="clear" w:color="auto" w:fill="FFFFFF"/>
        </w:rPr>
        <w:t> </w:t>
      </w:r>
      <w:hyperlink r:id="rId23" w:tgtFrame="_blank" w:history="1">
        <w:r w:rsidRPr="00C375C0">
          <w:rPr>
            <w:rStyle w:val="Hyperlink"/>
            <w:rFonts w:ascii="Arial" w:hAnsi="Arial" w:cs="Arial"/>
            <w:color w:val="1A73E8"/>
            <w:spacing w:val="3"/>
            <w:sz w:val="20"/>
            <w:szCs w:val="20"/>
          </w:rPr>
          <w:t>https://assets.publishing.service.gov.uk/government/uploads/system/uploads/attachment_data/file/118947/dev-quality-std-fingerprint-exam.pdf</w:t>
        </w:r>
      </w:hyperlink>
      <w:r w:rsidRPr="00C375C0">
        <w:rPr>
          <w:rFonts w:ascii="Arial" w:hAnsi="Arial" w:cs="Arial"/>
          <w:sz w:val="20"/>
          <w:szCs w:val="20"/>
        </w:rPr>
        <w:t xml:space="preserve"> </w:t>
      </w:r>
      <w:r w:rsidRPr="00C375C0">
        <w:rPr>
          <w:rFonts w:ascii="Arial" w:hAnsi="Arial" w:cs="Arial"/>
          <w:color w:val="3C4043"/>
          <w:spacing w:val="3"/>
          <w:sz w:val="20"/>
          <w:szCs w:val="20"/>
          <w:shd w:val="clear" w:color="auto" w:fill="FFFFFF"/>
        </w:rPr>
        <w:t>(Accessed 25 Feb. 2022).</w:t>
      </w:r>
    </w:p>
    <w:p w14:paraId="20045335" w14:textId="60F8EAC0" w:rsidR="00C375C0" w:rsidRDefault="00C375C0" w:rsidP="00C375C0">
      <w:pPr>
        <w:rPr>
          <w:rFonts w:ascii="Arial" w:hAnsi="Arial" w:cs="Arial"/>
          <w:color w:val="3C4043"/>
          <w:spacing w:val="3"/>
          <w:sz w:val="20"/>
          <w:szCs w:val="20"/>
          <w:shd w:val="clear" w:color="auto" w:fill="FFFFFF"/>
        </w:rPr>
      </w:pPr>
    </w:p>
    <w:p w14:paraId="4852A110" w14:textId="77777777" w:rsidR="00C375C0" w:rsidRPr="00C375C0" w:rsidRDefault="00C375C0" w:rsidP="00C375C0">
      <w:pPr>
        <w:rPr>
          <w:rFonts w:ascii="Arial" w:hAnsi="Arial" w:cs="Arial"/>
          <w:sz w:val="20"/>
          <w:szCs w:val="20"/>
        </w:rPr>
      </w:pPr>
    </w:p>
    <w:p w14:paraId="5FFDBD4D" w14:textId="55234C14"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sz w:val="20"/>
          <w:szCs w:val="20"/>
          <w:shd w:val="clear" w:color="auto" w:fill="FFFFFF"/>
        </w:rPr>
        <w:t>‌</w:t>
      </w:r>
      <w:proofErr w:type="spellStart"/>
      <w:r w:rsidRPr="00C375C0">
        <w:rPr>
          <w:rFonts w:ascii="Arial" w:hAnsi="Arial" w:cs="Arial"/>
          <w:sz w:val="20"/>
          <w:szCs w:val="20"/>
        </w:rPr>
        <w:t>Saferstein</w:t>
      </w:r>
      <w:proofErr w:type="spellEnd"/>
      <w:r w:rsidRPr="00C375C0">
        <w:rPr>
          <w:rFonts w:ascii="Arial" w:hAnsi="Arial" w:cs="Arial"/>
          <w:sz w:val="20"/>
          <w:szCs w:val="20"/>
        </w:rPr>
        <w:t>, R. (2004). </w:t>
      </w:r>
      <w:r w:rsidRPr="00C375C0">
        <w:rPr>
          <w:rFonts w:ascii="Arial" w:hAnsi="Arial" w:cs="Arial"/>
          <w:i/>
          <w:iCs/>
          <w:sz w:val="20"/>
          <w:szCs w:val="20"/>
        </w:rPr>
        <w:t>Criminalistics: An Introduction to Forensic Science</w:t>
      </w:r>
      <w:r w:rsidRPr="00C375C0">
        <w:rPr>
          <w:rFonts w:ascii="Arial" w:hAnsi="Arial" w:cs="Arial"/>
          <w:sz w:val="20"/>
          <w:szCs w:val="20"/>
        </w:rPr>
        <w:t xml:space="preserve">. Available at: </w:t>
      </w:r>
      <w:hyperlink r:id="rId24" w:history="1">
        <w:r w:rsidRPr="00C375C0">
          <w:rPr>
            <w:rStyle w:val="Hyperlink"/>
            <w:rFonts w:ascii="Arial" w:hAnsi="Arial" w:cs="Arial"/>
            <w:sz w:val="20"/>
            <w:szCs w:val="20"/>
          </w:rPr>
          <w:t>https://www.pearson.com/us/higher-education/program/Saferstein-Criminalistics-An-Introduction-to-Forensic-Science-College-Version-8th-Edition/PGM62781.html</w:t>
        </w:r>
      </w:hyperlink>
      <w:r w:rsidRPr="00C375C0">
        <w:rPr>
          <w:rFonts w:ascii="Arial" w:hAnsi="Arial" w:cs="Arial"/>
          <w:sz w:val="20"/>
          <w:szCs w:val="20"/>
        </w:rPr>
        <w:t xml:space="preserve">  (Accessed 24 Feb. 2022).</w:t>
      </w:r>
    </w:p>
    <w:p w14:paraId="462A77CD" w14:textId="6642D9D3" w:rsidR="00C375C0" w:rsidRDefault="00C375C0" w:rsidP="00C375C0">
      <w:pPr>
        <w:rPr>
          <w:rFonts w:ascii="Arial" w:hAnsi="Arial" w:cs="Arial"/>
          <w:sz w:val="20"/>
          <w:szCs w:val="20"/>
        </w:rPr>
      </w:pPr>
    </w:p>
    <w:p w14:paraId="207AE46E" w14:textId="77777777"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sz w:val="20"/>
          <w:szCs w:val="20"/>
          <w:shd w:val="clear" w:color="auto" w:fill="FFFFFF"/>
        </w:rPr>
        <w:t>‌</w:t>
      </w:r>
      <w:r w:rsidRPr="00C375C0">
        <w:rPr>
          <w:rFonts w:ascii="Arial" w:hAnsi="Arial" w:cs="Arial"/>
          <w:sz w:val="20"/>
          <w:szCs w:val="20"/>
        </w:rPr>
        <w:t xml:space="preserve"> Tully, G. (2017) Message from the Regulator. Available at: </w:t>
      </w:r>
      <w:hyperlink r:id="rId25" w:history="1">
        <w:r w:rsidRPr="00C375C0">
          <w:rPr>
            <w:rStyle w:val="Hyperlink"/>
            <w:rFonts w:ascii="Arial" w:hAnsi="Arial" w:cs="Arial"/>
            <w:sz w:val="20"/>
            <w:szCs w:val="20"/>
          </w:rPr>
          <w:t>https://assets.publishing.service.gov.uk/government/uploads/system/uploads/attachment_da ta/file/648320/FSR_Newsletter_29.pdf</w:t>
        </w:r>
      </w:hyperlink>
      <w:r w:rsidRPr="00C375C0">
        <w:rPr>
          <w:rFonts w:ascii="Arial" w:hAnsi="Arial" w:cs="Arial"/>
          <w:sz w:val="20"/>
          <w:szCs w:val="20"/>
        </w:rPr>
        <w:t xml:space="preserve">  (Accessed 24 Feb. 2022).</w:t>
      </w:r>
    </w:p>
    <w:p w14:paraId="2DAB5223" w14:textId="77777777" w:rsidR="00C375C0" w:rsidRPr="00C375C0" w:rsidRDefault="00C375C0" w:rsidP="00C375C0">
      <w:pPr>
        <w:rPr>
          <w:rFonts w:ascii="Arial" w:hAnsi="Arial" w:cs="Arial"/>
          <w:sz w:val="20"/>
          <w:szCs w:val="20"/>
        </w:rPr>
      </w:pPr>
    </w:p>
    <w:p w14:paraId="24540DB6" w14:textId="254FC959"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color w:val="3C4043"/>
          <w:spacing w:val="3"/>
          <w:sz w:val="20"/>
          <w:szCs w:val="20"/>
          <w:shd w:val="clear" w:color="auto" w:fill="FFFFFF"/>
        </w:rPr>
        <w:t>Tully, G. (2021). Codes of Practice and Conduct. </w:t>
      </w:r>
      <w:r w:rsidRPr="00C375C0">
        <w:rPr>
          <w:rFonts w:ascii="Arial" w:hAnsi="Arial" w:cs="Arial"/>
          <w:color w:val="3C4043"/>
          <w:spacing w:val="3"/>
          <w:sz w:val="20"/>
          <w:szCs w:val="20"/>
        </w:rPr>
        <w:t xml:space="preserve"> </w:t>
      </w:r>
      <w:r w:rsidRPr="00C375C0">
        <w:rPr>
          <w:rFonts w:ascii="Arial" w:hAnsi="Arial" w:cs="Arial"/>
          <w:color w:val="3C4043"/>
          <w:spacing w:val="3"/>
          <w:sz w:val="20"/>
          <w:szCs w:val="20"/>
          <w:shd w:val="clear" w:color="auto" w:fill="FFFFFF"/>
        </w:rPr>
        <w:t>Available</w:t>
      </w:r>
      <w:r w:rsidRPr="00C375C0">
        <w:rPr>
          <w:rFonts w:ascii="Arial" w:hAnsi="Arial" w:cs="Arial"/>
          <w:color w:val="3C4043"/>
          <w:spacing w:val="3"/>
          <w:sz w:val="20"/>
          <w:szCs w:val="20"/>
          <w:shd w:val="clear" w:color="auto" w:fill="FFFFFF"/>
        </w:rPr>
        <w:t xml:space="preserve"> </w:t>
      </w:r>
      <w:r w:rsidRPr="00C375C0">
        <w:rPr>
          <w:rFonts w:ascii="Arial" w:hAnsi="Arial" w:cs="Arial"/>
          <w:color w:val="3C4043"/>
          <w:spacing w:val="3"/>
          <w:sz w:val="20"/>
          <w:szCs w:val="20"/>
          <w:shd w:val="clear" w:color="auto" w:fill="FFFFFF"/>
        </w:rPr>
        <w:t>at:</w:t>
      </w:r>
      <w:r w:rsidRPr="00C375C0">
        <w:rPr>
          <w:rStyle w:val="apple-converted-space"/>
          <w:rFonts w:ascii="Arial" w:hAnsi="Arial" w:cs="Arial"/>
          <w:color w:val="3C4043"/>
          <w:spacing w:val="3"/>
          <w:sz w:val="20"/>
          <w:szCs w:val="20"/>
          <w:shd w:val="clear" w:color="auto" w:fill="FFFFFF"/>
        </w:rPr>
        <w:t> </w:t>
      </w:r>
      <w:hyperlink r:id="rId26" w:tgtFrame="_blank" w:history="1">
        <w:r w:rsidRPr="00C375C0">
          <w:rPr>
            <w:rStyle w:val="Hyperlink"/>
            <w:rFonts w:ascii="Arial" w:hAnsi="Arial" w:cs="Arial"/>
            <w:color w:val="1A73E8"/>
            <w:spacing w:val="3"/>
            <w:sz w:val="20"/>
            <w:szCs w:val="20"/>
          </w:rPr>
          <w:t>https://assets.publishing.service.gov.uk/government/uploads/system/uploads/attachment_data/file/961562/FSR-C-100_Codes_of_Practice_and_Conduct_-_Issue_6.pdf</w:t>
        </w:r>
      </w:hyperlink>
      <w:r w:rsidRPr="00C375C0">
        <w:rPr>
          <w:rStyle w:val="apple-converted-space"/>
          <w:rFonts w:ascii="Arial" w:hAnsi="Arial" w:cs="Arial"/>
          <w:color w:val="3C4043"/>
          <w:spacing w:val="3"/>
          <w:sz w:val="20"/>
          <w:szCs w:val="20"/>
          <w:shd w:val="clear" w:color="auto" w:fill="FFFFFF"/>
        </w:rPr>
        <w:t> </w:t>
      </w:r>
      <w:r w:rsidRPr="00C375C0">
        <w:rPr>
          <w:rFonts w:ascii="Arial" w:hAnsi="Arial" w:cs="Arial"/>
          <w:sz w:val="20"/>
          <w:szCs w:val="20"/>
        </w:rPr>
        <w:t>(Accessed 24 Feb. 2022).</w:t>
      </w:r>
    </w:p>
    <w:p w14:paraId="22659BA2" w14:textId="77777777" w:rsidR="00C375C0" w:rsidRPr="00C375C0" w:rsidRDefault="00C375C0" w:rsidP="00C375C0">
      <w:pPr>
        <w:rPr>
          <w:rFonts w:ascii="Arial" w:hAnsi="Arial" w:cs="Arial"/>
          <w:sz w:val="20"/>
          <w:szCs w:val="20"/>
        </w:rPr>
      </w:pPr>
    </w:p>
    <w:p w14:paraId="479ED7AF" w14:textId="2F106D72"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sz w:val="20"/>
          <w:szCs w:val="20"/>
        </w:rPr>
        <w:t>White, P. (2020). </w:t>
      </w:r>
      <w:r w:rsidRPr="00C375C0">
        <w:rPr>
          <w:rFonts w:ascii="Arial" w:hAnsi="Arial" w:cs="Arial"/>
          <w:i/>
          <w:iCs/>
          <w:sz w:val="20"/>
          <w:szCs w:val="20"/>
        </w:rPr>
        <w:t>Crime scene to court: the essentials of forensic science</w:t>
      </w:r>
      <w:r w:rsidRPr="00C375C0">
        <w:rPr>
          <w:rFonts w:ascii="Arial" w:hAnsi="Arial" w:cs="Arial"/>
          <w:sz w:val="20"/>
          <w:szCs w:val="20"/>
        </w:rPr>
        <w:t xml:space="preserve">. Cambridge: Royal Society </w:t>
      </w:r>
      <w:proofErr w:type="gramStart"/>
      <w:r w:rsidRPr="00C375C0">
        <w:rPr>
          <w:rFonts w:ascii="Arial" w:hAnsi="Arial" w:cs="Arial"/>
          <w:sz w:val="20"/>
          <w:szCs w:val="20"/>
        </w:rPr>
        <w:t>Of</w:t>
      </w:r>
      <w:proofErr w:type="gramEnd"/>
      <w:r w:rsidRPr="00C375C0">
        <w:rPr>
          <w:rFonts w:ascii="Arial" w:hAnsi="Arial" w:cs="Arial"/>
          <w:sz w:val="20"/>
          <w:szCs w:val="20"/>
        </w:rPr>
        <w:t xml:space="preserve"> Chemistry.</w:t>
      </w:r>
    </w:p>
    <w:p w14:paraId="24436EDB" w14:textId="77777777" w:rsidR="00C375C0" w:rsidRPr="00C375C0" w:rsidRDefault="00C375C0" w:rsidP="00C375C0">
      <w:pPr>
        <w:rPr>
          <w:rFonts w:ascii="Arial" w:hAnsi="Arial" w:cs="Arial"/>
          <w:sz w:val="20"/>
          <w:szCs w:val="20"/>
        </w:rPr>
      </w:pPr>
    </w:p>
    <w:p w14:paraId="33C522E0" w14:textId="77777777" w:rsidR="00C375C0" w:rsidRPr="00C375C0" w:rsidRDefault="00C375C0" w:rsidP="00C375C0">
      <w:pPr>
        <w:pStyle w:val="ListParagraph"/>
        <w:numPr>
          <w:ilvl w:val="0"/>
          <w:numId w:val="13"/>
        </w:numPr>
        <w:rPr>
          <w:rFonts w:ascii="Arial" w:hAnsi="Arial" w:cs="Arial"/>
          <w:sz w:val="20"/>
          <w:szCs w:val="20"/>
        </w:rPr>
      </w:pPr>
      <w:r w:rsidRPr="00C375C0">
        <w:rPr>
          <w:rFonts w:ascii="Arial" w:hAnsi="Arial" w:cs="Arial"/>
          <w:color w:val="3C4043"/>
          <w:spacing w:val="3"/>
          <w:sz w:val="20"/>
          <w:szCs w:val="20"/>
          <w:shd w:val="clear" w:color="auto" w:fill="FFFFFF"/>
        </w:rPr>
        <w:t>Williams, J. (2012). ACPO Good Practice Guide ACPO Good Practice Guide for Digital Evidence for Digital Evidence. Available at: </w:t>
      </w:r>
      <w:hyperlink r:id="rId27" w:tgtFrame="_blank" w:history="1">
        <w:r w:rsidRPr="00C375C0">
          <w:rPr>
            <w:rFonts w:ascii="Arial" w:hAnsi="Arial" w:cs="Arial"/>
            <w:color w:val="1A73E8"/>
            <w:spacing w:val="3"/>
            <w:sz w:val="20"/>
            <w:szCs w:val="20"/>
            <w:u w:val="single"/>
          </w:rPr>
          <w:t>https://www.digital-detective.net/digital-forensics-documents/ACPO_Good_Practice_Guide_for_Digital_Evidence_v5.pdf</w:t>
        </w:r>
      </w:hyperlink>
      <w:r w:rsidRPr="00C375C0">
        <w:rPr>
          <w:rFonts w:ascii="Arial" w:hAnsi="Arial" w:cs="Arial"/>
          <w:color w:val="3C4043"/>
          <w:spacing w:val="3"/>
          <w:sz w:val="20"/>
          <w:szCs w:val="20"/>
          <w:shd w:val="clear" w:color="auto" w:fill="FFFFFF"/>
        </w:rPr>
        <w:t> (Accessed 25 Feb. 2022).</w:t>
      </w:r>
    </w:p>
    <w:sectPr w:rsidR="00C375C0" w:rsidRPr="00C375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A4C12"/>
    <w:multiLevelType w:val="hybridMultilevel"/>
    <w:tmpl w:val="93ACC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2604E9"/>
    <w:multiLevelType w:val="multilevel"/>
    <w:tmpl w:val="2360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166464"/>
    <w:multiLevelType w:val="hybridMultilevel"/>
    <w:tmpl w:val="356A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7B5418"/>
    <w:multiLevelType w:val="hybridMultilevel"/>
    <w:tmpl w:val="A306B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C50387"/>
    <w:multiLevelType w:val="hybridMultilevel"/>
    <w:tmpl w:val="F144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0A7C5E"/>
    <w:multiLevelType w:val="hybridMultilevel"/>
    <w:tmpl w:val="F502F0CE"/>
    <w:lvl w:ilvl="0" w:tplc="78F6F3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5928EE"/>
    <w:multiLevelType w:val="hybridMultilevel"/>
    <w:tmpl w:val="050A89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8843EA2"/>
    <w:multiLevelType w:val="hybridMultilevel"/>
    <w:tmpl w:val="59D2577C"/>
    <w:lvl w:ilvl="0" w:tplc="EC8C76C8">
      <w:start w:val="12"/>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FF10B3"/>
    <w:multiLevelType w:val="hybridMultilevel"/>
    <w:tmpl w:val="92EAC1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300ACC"/>
    <w:multiLevelType w:val="hybridMultilevel"/>
    <w:tmpl w:val="93ACC7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CAA0FEF"/>
    <w:multiLevelType w:val="hybridMultilevel"/>
    <w:tmpl w:val="07F22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7C0A26"/>
    <w:multiLevelType w:val="hybridMultilevel"/>
    <w:tmpl w:val="06DA274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741803D1"/>
    <w:multiLevelType w:val="hybridMultilevel"/>
    <w:tmpl w:val="3454D09A"/>
    <w:lvl w:ilvl="0" w:tplc="78F6F3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12"/>
  </w:num>
  <w:num w:numId="5">
    <w:abstractNumId w:val="11"/>
  </w:num>
  <w:num w:numId="6">
    <w:abstractNumId w:val="2"/>
  </w:num>
  <w:num w:numId="7">
    <w:abstractNumId w:val="9"/>
  </w:num>
  <w:num w:numId="8">
    <w:abstractNumId w:val="7"/>
  </w:num>
  <w:num w:numId="9">
    <w:abstractNumId w:val="4"/>
  </w:num>
  <w:num w:numId="10">
    <w:abstractNumId w:val="10"/>
  </w:num>
  <w:num w:numId="11">
    <w:abstractNumId w:val="3"/>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11"/>
    <w:rsid w:val="001331C1"/>
    <w:rsid w:val="00140385"/>
    <w:rsid w:val="0014637E"/>
    <w:rsid w:val="00167868"/>
    <w:rsid w:val="001C0540"/>
    <w:rsid w:val="001F5BF4"/>
    <w:rsid w:val="0022744B"/>
    <w:rsid w:val="00232AC7"/>
    <w:rsid w:val="00234F49"/>
    <w:rsid w:val="002D38FF"/>
    <w:rsid w:val="002E54F6"/>
    <w:rsid w:val="003115C1"/>
    <w:rsid w:val="00317DB9"/>
    <w:rsid w:val="0033661A"/>
    <w:rsid w:val="003420F1"/>
    <w:rsid w:val="003907F8"/>
    <w:rsid w:val="003B4B98"/>
    <w:rsid w:val="003E1528"/>
    <w:rsid w:val="003E5513"/>
    <w:rsid w:val="0041190B"/>
    <w:rsid w:val="0041532B"/>
    <w:rsid w:val="00440978"/>
    <w:rsid w:val="0049378C"/>
    <w:rsid w:val="004B2DD4"/>
    <w:rsid w:val="004B6C01"/>
    <w:rsid w:val="004F1CFA"/>
    <w:rsid w:val="00504098"/>
    <w:rsid w:val="00583D77"/>
    <w:rsid w:val="005F07C5"/>
    <w:rsid w:val="00646283"/>
    <w:rsid w:val="0066194B"/>
    <w:rsid w:val="006648F1"/>
    <w:rsid w:val="006675CA"/>
    <w:rsid w:val="00687E9C"/>
    <w:rsid w:val="006F52E5"/>
    <w:rsid w:val="00705B14"/>
    <w:rsid w:val="00766412"/>
    <w:rsid w:val="007952F9"/>
    <w:rsid w:val="00796A3F"/>
    <w:rsid w:val="007C3F6C"/>
    <w:rsid w:val="007E5032"/>
    <w:rsid w:val="007F00E5"/>
    <w:rsid w:val="007F6F73"/>
    <w:rsid w:val="00865800"/>
    <w:rsid w:val="0087597D"/>
    <w:rsid w:val="00894514"/>
    <w:rsid w:val="008E1A20"/>
    <w:rsid w:val="00905801"/>
    <w:rsid w:val="00966CE7"/>
    <w:rsid w:val="009B55F5"/>
    <w:rsid w:val="009C54DC"/>
    <w:rsid w:val="009D5B7F"/>
    <w:rsid w:val="009E6511"/>
    <w:rsid w:val="009F2849"/>
    <w:rsid w:val="00AA4622"/>
    <w:rsid w:val="00AB490C"/>
    <w:rsid w:val="00AD5840"/>
    <w:rsid w:val="00B47EE3"/>
    <w:rsid w:val="00B731A8"/>
    <w:rsid w:val="00C375C0"/>
    <w:rsid w:val="00C449FB"/>
    <w:rsid w:val="00C75051"/>
    <w:rsid w:val="00C943B5"/>
    <w:rsid w:val="00C972D3"/>
    <w:rsid w:val="00CE0772"/>
    <w:rsid w:val="00D26181"/>
    <w:rsid w:val="00D35311"/>
    <w:rsid w:val="00D434C4"/>
    <w:rsid w:val="00D86A6E"/>
    <w:rsid w:val="00DC3D43"/>
    <w:rsid w:val="00DE1DC2"/>
    <w:rsid w:val="00E0035B"/>
    <w:rsid w:val="00E2636C"/>
    <w:rsid w:val="00E30DB2"/>
    <w:rsid w:val="00E50B8F"/>
    <w:rsid w:val="00EC4F3B"/>
    <w:rsid w:val="00EC5620"/>
    <w:rsid w:val="00EE0140"/>
    <w:rsid w:val="00FB4635"/>
    <w:rsid w:val="00FE011C"/>
    <w:rsid w:val="00FE6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FC60E3"/>
  <w15:chartTrackingRefBased/>
  <w15:docId w15:val="{06F093B7-9AB7-7643-AD6D-513D6CCB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5C0"/>
    <w:rPr>
      <w:rFonts w:ascii="Times New Roman" w:eastAsia="Times New Roman" w:hAnsi="Times New Roman" w:cs="Times New Roman"/>
      <w:lang w:eastAsia="en-GB"/>
    </w:rPr>
  </w:style>
  <w:style w:type="paragraph" w:styleId="Heading1">
    <w:name w:val="heading 1"/>
    <w:basedOn w:val="Normal"/>
    <w:link w:val="Heading1Char"/>
    <w:uiPriority w:val="9"/>
    <w:qFormat/>
    <w:rsid w:val="003420F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5F5"/>
    <w:pPr>
      <w:ind w:left="720"/>
      <w:contextualSpacing/>
    </w:pPr>
  </w:style>
  <w:style w:type="paragraph" w:styleId="NormalWeb">
    <w:name w:val="Normal (Web)"/>
    <w:basedOn w:val="Normal"/>
    <w:uiPriority w:val="99"/>
    <w:unhideWhenUsed/>
    <w:rsid w:val="00D26181"/>
    <w:pPr>
      <w:spacing w:before="100" w:beforeAutospacing="1" w:after="100" w:afterAutospacing="1"/>
    </w:pPr>
  </w:style>
  <w:style w:type="character" w:customStyle="1" w:styleId="apple-converted-space">
    <w:name w:val="apple-converted-space"/>
    <w:basedOn w:val="DefaultParagraphFont"/>
    <w:rsid w:val="00D26181"/>
  </w:style>
  <w:style w:type="character" w:styleId="Hyperlink">
    <w:name w:val="Hyperlink"/>
    <w:basedOn w:val="DefaultParagraphFont"/>
    <w:uiPriority w:val="99"/>
    <w:unhideWhenUsed/>
    <w:rsid w:val="00D26181"/>
    <w:rPr>
      <w:color w:val="0563C1" w:themeColor="hyperlink"/>
      <w:u w:val="single"/>
    </w:rPr>
  </w:style>
  <w:style w:type="character" w:styleId="UnresolvedMention">
    <w:name w:val="Unresolved Mention"/>
    <w:basedOn w:val="DefaultParagraphFont"/>
    <w:uiPriority w:val="99"/>
    <w:semiHidden/>
    <w:unhideWhenUsed/>
    <w:rsid w:val="00D26181"/>
    <w:rPr>
      <w:color w:val="605E5C"/>
      <w:shd w:val="clear" w:color="auto" w:fill="E1DFDD"/>
    </w:rPr>
  </w:style>
  <w:style w:type="character" w:customStyle="1" w:styleId="Heading1Char">
    <w:name w:val="Heading 1 Char"/>
    <w:basedOn w:val="DefaultParagraphFont"/>
    <w:link w:val="Heading1"/>
    <w:uiPriority w:val="9"/>
    <w:rsid w:val="003420F1"/>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07834">
      <w:bodyDiv w:val="1"/>
      <w:marLeft w:val="0"/>
      <w:marRight w:val="0"/>
      <w:marTop w:val="0"/>
      <w:marBottom w:val="0"/>
      <w:divBdr>
        <w:top w:val="none" w:sz="0" w:space="0" w:color="auto"/>
        <w:left w:val="none" w:sz="0" w:space="0" w:color="auto"/>
        <w:bottom w:val="none" w:sz="0" w:space="0" w:color="auto"/>
        <w:right w:val="none" w:sz="0" w:space="0" w:color="auto"/>
      </w:divBdr>
      <w:divsChild>
        <w:div w:id="902368167">
          <w:marLeft w:val="0"/>
          <w:marRight w:val="0"/>
          <w:marTop w:val="0"/>
          <w:marBottom w:val="0"/>
          <w:divBdr>
            <w:top w:val="none" w:sz="0" w:space="0" w:color="auto"/>
            <w:left w:val="none" w:sz="0" w:space="0" w:color="auto"/>
            <w:bottom w:val="none" w:sz="0" w:space="0" w:color="auto"/>
            <w:right w:val="none" w:sz="0" w:space="0" w:color="auto"/>
          </w:divBdr>
          <w:divsChild>
            <w:div w:id="894705094">
              <w:marLeft w:val="0"/>
              <w:marRight w:val="0"/>
              <w:marTop w:val="0"/>
              <w:marBottom w:val="0"/>
              <w:divBdr>
                <w:top w:val="none" w:sz="0" w:space="0" w:color="auto"/>
                <w:left w:val="none" w:sz="0" w:space="0" w:color="auto"/>
                <w:bottom w:val="none" w:sz="0" w:space="0" w:color="auto"/>
                <w:right w:val="none" w:sz="0" w:space="0" w:color="auto"/>
              </w:divBdr>
              <w:divsChild>
                <w:div w:id="23043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79943">
      <w:bodyDiv w:val="1"/>
      <w:marLeft w:val="0"/>
      <w:marRight w:val="0"/>
      <w:marTop w:val="0"/>
      <w:marBottom w:val="0"/>
      <w:divBdr>
        <w:top w:val="none" w:sz="0" w:space="0" w:color="auto"/>
        <w:left w:val="none" w:sz="0" w:space="0" w:color="auto"/>
        <w:bottom w:val="none" w:sz="0" w:space="0" w:color="auto"/>
        <w:right w:val="none" w:sz="0" w:space="0" w:color="auto"/>
      </w:divBdr>
      <w:divsChild>
        <w:div w:id="1640258163">
          <w:marLeft w:val="0"/>
          <w:marRight w:val="0"/>
          <w:marTop w:val="0"/>
          <w:marBottom w:val="0"/>
          <w:divBdr>
            <w:top w:val="none" w:sz="0" w:space="0" w:color="auto"/>
            <w:left w:val="none" w:sz="0" w:space="0" w:color="auto"/>
            <w:bottom w:val="none" w:sz="0" w:space="0" w:color="auto"/>
            <w:right w:val="none" w:sz="0" w:space="0" w:color="auto"/>
          </w:divBdr>
          <w:divsChild>
            <w:div w:id="2055225441">
              <w:marLeft w:val="0"/>
              <w:marRight w:val="0"/>
              <w:marTop w:val="0"/>
              <w:marBottom w:val="0"/>
              <w:divBdr>
                <w:top w:val="none" w:sz="0" w:space="0" w:color="auto"/>
                <w:left w:val="none" w:sz="0" w:space="0" w:color="auto"/>
                <w:bottom w:val="none" w:sz="0" w:space="0" w:color="auto"/>
                <w:right w:val="none" w:sz="0" w:space="0" w:color="auto"/>
              </w:divBdr>
              <w:divsChild>
                <w:div w:id="2923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07812">
      <w:bodyDiv w:val="1"/>
      <w:marLeft w:val="0"/>
      <w:marRight w:val="0"/>
      <w:marTop w:val="0"/>
      <w:marBottom w:val="0"/>
      <w:divBdr>
        <w:top w:val="none" w:sz="0" w:space="0" w:color="auto"/>
        <w:left w:val="none" w:sz="0" w:space="0" w:color="auto"/>
        <w:bottom w:val="none" w:sz="0" w:space="0" w:color="auto"/>
        <w:right w:val="none" w:sz="0" w:space="0" w:color="auto"/>
      </w:divBdr>
    </w:div>
    <w:div w:id="204565240">
      <w:bodyDiv w:val="1"/>
      <w:marLeft w:val="0"/>
      <w:marRight w:val="0"/>
      <w:marTop w:val="0"/>
      <w:marBottom w:val="0"/>
      <w:divBdr>
        <w:top w:val="none" w:sz="0" w:space="0" w:color="auto"/>
        <w:left w:val="none" w:sz="0" w:space="0" w:color="auto"/>
        <w:bottom w:val="none" w:sz="0" w:space="0" w:color="auto"/>
        <w:right w:val="none" w:sz="0" w:space="0" w:color="auto"/>
      </w:divBdr>
    </w:div>
    <w:div w:id="255599112">
      <w:bodyDiv w:val="1"/>
      <w:marLeft w:val="0"/>
      <w:marRight w:val="0"/>
      <w:marTop w:val="0"/>
      <w:marBottom w:val="0"/>
      <w:divBdr>
        <w:top w:val="none" w:sz="0" w:space="0" w:color="auto"/>
        <w:left w:val="none" w:sz="0" w:space="0" w:color="auto"/>
        <w:bottom w:val="none" w:sz="0" w:space="0" w:color="auto"/>
        <w:right w:val="none" w:sz="0" w:space="0" w:color="auto"/>
      </w:divBdr>
    </w:div>
    <w:div w:id="326134690">
      <w:bodyDiv w:val="1"/>
      <w:marLeft w:val="0"/>
      <w:marRight w:val="0"/>
      <w:marTop w:val="0"/>
      <w:marBottom w:val="0"/>
      <w:divBdr>
        <w:top w:val="none" w:sz="0" w:space="0" w:color="auto"/>
        <w:left w:val="none" w:sz="0" w:space="0" w:color="auto"/>
        <w:bottom w:val="none" w:sz="0" w:space="0" w:color="auto"/>
        <w:right w:val="none" w:sz="0" w:space="0" w:color="auto"/>
      </w:divBdr>
    </w:div>
    <w:div w:id="334764433">
      <w:bodyDiv w:val="1"/>
      <w:marLeft w:val="0"/>
      <w:marRight w:val="0"/>
      <w:marTop w:val="0"/>
      <w:marBottom w:val="0"/>
      <w:divBdr>
        <w:top w:val="none" w:sz="0" w:space="0" w:color="auto"/>
        <w:left w:val="none" w:sz="0" w:space="0" w:color="auto"/>
        <w:bottom w:val="none" w:sz="0" w:space="0" w:color="auto"/>
        <w:right w:val="none" w:sz="0" w:space="0" w:color="auto"/>
      </w:divBdr>
      <w:divsChild>
        <w:div w:id="671035055">
          <w:marLeft w:val="0"/>
          <w:marRight w:val="0"/>
          <w:marTop w:val="0"/>
          <w:marBottom w:val="0"/>
          <w:divBdr>
            <w:top w:val="none" w:sz="0" w:space="0" w:color="auto"/>
            <w:left w:val="none" w:sz="0" w:space="0" w:color="auto"/>
            <w:bottom w:val="none" w:sz="0" w:space="0" w:color="auto"/>
            <w:right w:val="none" w:sz="0" w:space="0" w:color="auto"/>
          </w:divBdr>
          <w:divsChild>
            <w:div w:id="1344284462">
              <w:marLeft w:val="0"/>
              <w:marRight w:val="0"/>
              <w:marTop w:val="0"/>
              <w:marBottom w:val="0"/>
              <w:divBdr>
                <w:top w:val="none" w:sz="0" w:space="0" w:color="auto"/>
                <w:left w:val="none" w:sz="0" w:space="0" w:color="auto"/>
                <w:bottom w:val="none" w:sz="0" w:space="0" w:color="auto"/>
                <w:right w:val="none" w:sz="0" w:space="0" w:color="auto"/>
              </w:divBdr>
              <w:divsChild>
                <w:div w:id="22171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542297">
      <w:bodyDiv w:val="1"/>
      <w:marLeft w:val="0"/>
      <w:marRight w:val="0"/>
      <w:marTop w:val="0"/>
      <w:marBottom w:val="0"/>
      <w:divBdr>
        <w:top w:val="none" w:sz="0" w:space="0" w:color="auto"/>
        <w:left w:val="none" w:sz="0" w:space="0" w:color="auto"/>
        <w:bottom w:val="none" w:sz="0" w:space="0" w:color="auto"/>
        <w:right w:val="none" w:sz="0" w:space="0" w:color="auto"/>
      </w:divBdr>
    </w:div>
    <w:div w:id="341931570">
      <w:bodyDiv w:val="1"/>
      <w:marLeft w:val="0"/>
      <w:marRight w:val="0"/>
      <w:marTop w:val="0"/>
      <w:marBottom w:val="0"/>
      <w:divBdr>
        <w:top w:val="none" w:sz="0" w:space="0" w:color="auto"/>
        <w:left w:val="none" w:sz="0" w:space="0" w:color="auto"/>
        <w:bottom w:val="none" w:sz="0" w:space="0" w:color="auto"/>
        <w:right w:val="none" w:sz="0" w:space="0" w:color="auto"/>
      </w:divBdr>
    </w:div>
    <w:div w:id="360203059">
      <w:bodyDiv w:val="1"/>
      <w:marLeft w:val="0"/>
      <w:marRight w:val="0"/>
      <w:marTop w:val="0"/>
      <w:marBottom w:val="0"/>
      <w:divBdr>
        <w:top w:val="none" w:sz="0" w:space="0" w:color="auto"/>
        <w:left w:val="none" w:sz="0" w:space="0" w:color="auto"/>
        <w:bottom w:val="none" w:sz="0" w:space="0" w:color="auto"/>
        <w:right w:val="none" w:sz="0" w:space="0" w:color="auto"/>
      </w:divBdr>
    </w:div>
    <w:div w:id="413015322">
      <w:bodyDiv w:val="1"/>
      <w:marLeft w:val="0"/>
      <w:marRight w:val="0"/>
      <w:marTop w:val="0"/>
      <w:marBottom w:val="0"/>
      <w:divBdr>
        <w:top w:val="none" w:sz="0" w:space="0" w:color="auto"/>
        <w:left w:val="none" w:sz="0" w:space="0" w:color="auto"/>
        <w:bottom w:val="none" w:sz="0" w:space="0" w:color="auto"/>
        <w:right w:val="none" w:sz="0" w:space="0" w:color="auto"/>
      </w:divBdr>
    </w:div>
    <w:div w:id="498351036">
      <w:bodyDiv w:val="1"/>
      <w:marLeft w:val="0"/>
      <w:marRight w:val="0"/>
      <w:marTop w:val="0"/>
      <w:marBottom w:val="0"/>
      <w:divBdr>
        <w:top w:val="none" w:sz="0" w:space="0" w:color="auto"/>
        <w:left w:val="none" w:sz="0" w:space="0" w:color="auto"/>
        <w:bottom w:val="none" w:sz="0" w:space="0" w:color="auto"/>
        <w:right w:val="none" w:sz="0" w:space="0" w:color="auto"/>
      </w:divBdr>
    </w:div>
    <w:div w:id="532427380">
      <w:bodyDiv w:val="1"/>
      <w:marLeft w:val="0"/>
      <w:marRight w:val="0"/>
      <w:marTop w:val="0"/>
      <w:marBottom w:val="0"/>
      <w:divBdr>
        <w:top w:val="none" w:sz="0" w:space="0" w:color="auto"/>
        <w:left w:val="none" w:sz="0" w:space="0" w:color="auto"/>
        <w:bottom w:val="none" w:sz="0" w:space="0" w:color="auto"/>
        <w:right w:val="none" w:sz="0" w:space="0" w:color="auto"/>
      </w:divBdr>
    </w:div>
    <w:div w:id="666785493">
      <w:bodyDiv w:val="1"/>
      <w:marLeft w:val="0"/>
      <w:marRight w:val="0"/>
      <w:marTop w:val="0"/>
      <w:marBottom w:val="0"/>
      <w:divBdr>
        <w:top w:val="none" w:sz="0" w:space="0" w:color="auto"/>
        <w:left w:val="none" w:sz="0" w:space="0" w:color="auto"/>
        <w:bottom w:val="none" w:sz="0" w:space="0" w:color="auto"/>
        <w:right w:val="none" w:sz="0" w:space="0" w:color="auto"/>
      </w:divBdr>
    </w:div>
    <w:div w:id="710571205">
      <w:bodyDiv w:val="1"/>
      <w:marLeft w:val="0"/>
      <w:marRight w:val="0"/>
      <w:marTop w:val="0"/>
      <w:marBottom w:val="0"/>
      <w:divBdr>
        <w:top w:val="none" w:sz="0" w:space="0" w:color="auto"/>
        <w:left w:val="none" w:sz="0" w:space="0" w:color="auto"/>
        <w:bottom w:val="none" w:sz="0" w:space="0" w:color="auto"/>
        <w:right w:val="none" w:sz="0" w:space="0" w:color="auto"/>
      </w:divBdr>
    </w:div>
    <w:div w:id="801315020">
      <w:bodyDiv w:val="1"/>
      <w:marLeft w:val="0"/>
      <w:marRight w:val="0"/>
      <w:marTop w:val="0"/>
      <w:marBottom w:val="0"/>
      <w:divBdr>
        <w:top w:val="none" w:sz="0" w:space="0" w:color="auto"/>
        <w:left w:val="none" w:sz="0" w:space="0" w:color="auto"/>
        <w:bottom w:val="none" w:sz="0" w:space="0" w:color="auto"/>
        <w:right w:val="none" w:sz="0" w:space="0" w:color="auto"/>
      </w:divBdr>
    </w:div>
    <w:div w:id="802042012">
      <w:bodyDiv w:val="1"/>
      <w:marLeft w:val="0"/>
      <w:marRight w:val="0"/>
      <w:marTop w:val="0"/>
      <w:marBottom w:val="0"/>
      <w:divBdr>
        <w:top w:val="none" w:sz="0" w:space="0" w:color="auto"/>
        <w:left w:val="none" w:sz="0" w:space="0" w:color="auto"/>
        <w:bottom w:val="none" w:sz="0" w:space="0" w:color="auto"/>
        <w:right w:val="none" w:sz="0" w:space="0" w:color="auto"/>
      </w:divBdr>
    </w:div>
    <w:div w:id="834421080">
      <w:bodyDiv w:val="1"/>
      <w:marLeft w:val="0"/>
      <w:marRight w:val="0"/>
      <w:marTop w:val="0"/>
      <w:marBottom w:val="0"/>
      <w:divBdr>
        <w:top w:val="none" w:sz="0" w:space="0" w:color="auto"/>
        <w:left w:val="none" w:sz="0" w:space="0" w:color="auto"/>
        <w:bottom w:val="none" w:sz="0" w:space="0" w:color="auto"/>
        <w:right w:val="none" w:sz="0" w:space="0" w:color="auto"/>
      </w:divBdr>
    </w:div>
    <w:div w:id="874585853">
      <w:bodyDiv w:val="1"/>
      <w:marLeft w:val="0"/>
      <w:marRight w:val="0"/>
      <w:marTop w:val="0"/>
      <w:marBottom w:val="0"/>
      <w:divBdr>
        <w:top w:val="none" w:sz="0" w:space="0" w:color="auto"/>
        <w:left w:val="none" w:sz="0" w:space="0" w:color="auto"/>
        <w:bottom w:val="none" w:sz="0" w:space="0" w:color="auto"/>
        <w:right w:val="none" w:sz="0" w:space="0" w:color="auto"/>
      </w:divBdr>
    </w:div>
    <w:div w:id="893589486">
      <w:bodyDiv w:val="1"/>
      <w:marLeft w:val="0"/>
      <w:marRight w:val="0"/>
      <w:marTop w:val="0"/>
      <w:marBottom w:val="0"/>
      <w:divBdr>
        <w:top w:val="none" w:sz="0" w:space="0" w:color="auto"/>
        <w:left w:val="none" w:sz="0" w:space="0" w:color="auto"/>
        <w:bottom w:val="none" w:sz="0" w:space="0" w:color="auto"/>
        <w:right w:val="none" w:sz="0" w:space="0" w:color="auto"/>
      </w:divBdr>
    </w:div>
    <w:div w:id="904993065">
      <w:bodyDiv w:val="1"/>
      <w:marLeft w:val="0"/>
      <w:marRight w:val="0"/>
      <w:marTop w:val="0"/>
      <w:marBottom w:val="0"/>
      <w:divBdr>
        <w:top w:val="none" w:sz="0" w:space="0" w:color="auto"/>
        <w:left w:val="none" w:sz="0" w:space="0" w:color="auto"/>
        <w:bottom w:val="none" w:sz="0" w:space="0" w:color="auto"/>
        <w:right w:val="none" w:sz="0" w:space="0" w:color="auto"/>
      </w:divBdr>
    </w:div>
    <w:div w:id="935216584">
      <w:bodyDiv w:val="1"/>
      <w:marLeft w:val="0"/>
      <w:marRight w:val="0"/>
      <w:marTop w:val="0"/>
      <w:marBottom w:val="0"/>
      <w:divBdr>
        <w:top w:val="none" w:sz="0" w:space="0" w:color="auto"/>
        <w:left w:val="none" w:sz="0" w:space="0" w:color="auto"/>
        <w:bottom w:val="none" w:sz="0" w:space="0" w:color="auto"/>
        <w:right w:val="none" w:sz="0" w:space="0" w:color="auto"/>
      </w:divBdr>
    </w:div>
    <w:div w:id="957639619">
      <w:bodyDiv w:val="1"/>
      <w:marLeft w:val="0"/>
      <w:marRight w:val="0"/>
      <w:marTop w:val="0"/>
      <w:marBottom w:val="0"/>
      <w:divBdr>
        <w:top w:val="none" w:sz="0" w:space="0" w:color="auto"/>
        <w:left w:val="none" w:sz="0" w:space="0" w:color="auto"/>
        <w:bottom w:val="none" w:sz="0" w:space="0" w:color="auto"/>
        <w:right w:val="none" w:sz="0" w:space="0" w:color="auto"/>
      </w:divBdr>
    </w:div>
    <w:div w:id="991494262">
      <w:bodyDiv w:val="1"/>
      <w:marLeft w:val="0"/>
      <w:marRight w:val="0"/>
      <w:marTop w:val="0"/>
      <w:marBottom w:val="0"/>
      <w:divBdr>
        <w:top w:val="none" w:sz="0" w:space="0" w:color="auto"/>
        <w:left w:val="none" w:sz="0" w:space="0" w:color="auto"/>
        <w:bottom w:val="none" w:sz="0" w:space="0" w:color="auto"/>
        <w:right w:val="none" w:sz="0" w:space="0" w:color="auto"/>
      </w:divBdr>
    </w:div>
    <w:div w:id="1038508525">
      <w:bodyDiv w:val="1"/>
      <w:marLeft w:val="0"/>
      <w:marRight w:val="0"/>
      <w:marTop w:val="0"/>
      <w:marBottom w:val="0"/>
      <w:divBdr>
        <w:top w:val="none" w:sz="0" w:space="0" w:color="auto"/>
        <w:left w:val="none" w:sz="0" w:space="0" w:color="auto"/>
        <w:bottom w:val="none" w:sz="0" w:space="0" w:color="auto"/>
        <w:right w:val="none" w:sz="0" w:space="0" w:color="auto"/>
      </w:divBdr>
    </w:div>
    <w:div w:id="1072897137">
      <w:bodyDiv w:val="1"/>
      <w:marLeft w:val="0"/>
      <w:marRight w:val="0"/>
      <w:marTop w:val="0"/>
      <w:marBottom w:val="0"/>
      <w:divBdr>
        <w:top w:val="none" w:sz="0" w:space="0" w:color="auto"/>
        <w:left w:val="none" w:sz="0" w:space="0" w:color="auto"/>
        <w:bottom w:val="none" w:sz="0" w:space="0" w:color="auto"/>
        <w:right w:val="none" w:sz="0" w:space="0" w:color="auto"/>
      </w:divBdr>
    </w:div>
    <w:div w:id="1077484514">
      <w:bodyDiv w:val="1"/>
      <w:marLeft w:val="0"/>
      <w:marRight w:val="0"/>
      <w:marTop w:val="0"/>
      <w:marBottom w:val="0"/>
      <w:divBdr>
        <w:top w:val="none" w:sz="0" w:space="0" w:color="auto"/>
        <w:left w:val="none" w:sz="0" w:space="0" w:color="auto"/>
        <w:bottom w:val="none" w:sz="0" w:space="0" w:color="auto"/>
        <w:right w:val="none" w:sz="0" w:space="0" w:color="auto"/>
      </w:divBdr>
      <w:divsChild>
        <w:div w:id="784617599">
          <w:marLeft w:val="0"/>
          <w:marRight w:val="0"/>
          <w:marTop w:val="0"/>
          <w:marBottom w:val="0"/>
          <w:divBdr>
            <w:top w:val="none" w:sz="0" w:space="0" w:color="auto"/>
            <w:left w:val="none" w:sz="0" w:space="0" w:color="auto"/>
            <w:bottom w:val="none" w:sz="0" w:space="0" w:color="auto"/>
            <w:right w:val="none" w:sz="0" w:space="0" w:color="auto"/>
          </w:divBdr>
          <w:divsChild>
            <w:div w:id="181945527">
              <w:marLeft w:val="0"/>
              <w:marRight w:val="0"/>
              <w:marTop w:val="0"/>
              <w:marBottom w:val="0"/>
              <w:divBdr>
                <w:top w:val="none" w:sz="0" w:space="0" w:color="auto"/>
                <w:left w:val="none" w:sz="0" w:space="0" w:color="auto"/>
                <w:bottom w:val="none" w:sz="0" w:space="0" w:color="auto"/>
                <w:right w:val="none" w:sz="0" w:space="0" w:color="auto"/>
              </w:divBdr>
              <w:divsChild>
                <w:div w:id="148986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408151">
      <w:bodyDiv w:val="1"/>
      <w:marLeft w:val="0"/>
      <w:marRight w:val="0"/>
      <w:marTop w:val="0"/>
      <w:marBottom w:val="0"/>
      <w:divBdr>
        <w:top w:val="none" w:sz="0" w:space="0" w:color="auto"/>
        <w:left w:val="none" w:sz="0" w:space="0" w:color="auto"/>
        <w:bottom w:val="none" w:sz="0" w:space="0" w:color="auto"/>
        <w:right w:val="none" w:sz="0" w:space="0" w:color="auto"/>
      </w:divBdr>
    </w:div>
    <w:div w:id="1103307389">
      <w:bodyDiv w:val="1"/>
      <w:marLeft w:val="0"/>
      <w:marRight w:val="0"/>
      <w:marTop w:val="0"/>
      <w:marBottom w:val="0"/>
      <w:divBdr>
        <w:top w:val="none" w:sz="0" w:space="0" w:color="auto"/>
        <w:left w:val="none" w:sz="0" w:space="0" w:color="auto"/>
        <w:bottom w:val="none" w:sz="0" w:space="0" w:color="auto"/>
        <w:right w:val="none" w:sz="0" w:space="0" w:color="auto"/>
      </w:divBdr>
    </w:div>
    <w:div w:id="1180317834">
      <w:bodyDiv w:val="1"/>
      <w:marLeft w:val="0"/>
      <w:marRight w:val="0"/>
      <w:marTop w:val="0"/>
      <w:marBottom w:val="0"/>
      <w:divBdr>
        <w:top w:val="none" w:sz="0" w:space="0" w:color="auto"/>
        <w:left w:val="none" w:sz="0" w:space="0" w:color="auto"/>
        <w:bottom w:val="none" w:sz="0" w:space="0" w:color="auto"/>
        <w:right w:val="none" w:sz="0" w:space="0" w:color="auto"/>
      </w:divBdr>
      <w:divsChild>
        <w:div w:id="1397389909">
          <w:marLeft w:val="0"/>
          <w:marRight w:val="0"/>
          <w:marTop w:val="0"/>
          <w:marBottom w:val="0"/>
          <w:divBdr>
            <w:top w:val="none" w:sz="0" w:space="0" w:color="auto"/>
            <w:left w:val="none" w:sz="0" w:space="0" w:color="auto"/>
            <w:bottom w:val="none" w:sz="0" w:space="0" w:color="auto"/>
            <w:right w:val="none" w:sz="0" w:space="0" w:color="auto"/>
          </w:divBdr>
          <w:divsChild>
            <w:div w:id="1207722396">
              <w:marLeft w:val="0"/>
              <w:marRight w:val="0"/>
              <w:marTop w:val="0"/>
              <w:marBottom w:val="0"/>
              <w:divBdr>
                <w:top w:val="none" w:sz="0" w:space="0" w:color="auto"/>
                <w:left w:val="none" w:sz="0" w:space="0" w:color="auto"/>
                <w:bottom w:val="none" w:sz="0" w:space="0" w:color="auto"/>
                <w:right w:val="none" w:sz="0" w:space="0" w:color="auto"/>
              </w:divBdr>
              <w:divsChild>
                <w:div w:id="91870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293882">
      <w:bodyDiv w:val="1"/>
      <w:marLeft w:val="0"/>
      <w:marRight w:val="0"/>
      <w:marTop w:val="0"/>
      <w:marBottom w:val="0"/>
      <w:divBdr>
        <w:top w:val="none" w:sz="0" w:space="0" w:color="auto"/>
        <w:left w:val="none" w:sz="0" w:space="0" w:color="auto"/>
        <w:bottom w:val="none" w:sz="0" w:space="0" w:color="auto"/>
        <w:right w:val="none" w:sz="0" w:space="0" w:color="auto"/>
      </w:divBdr>
      <w:divsChild>
        <w:div w:id="462819494">
          <w:marLeft w:val="0"/>
          <w:marRight w:val="0"/>
          <w:marTop w:val="0"/>
          <w:marBottom w:val="0"/>
          <w:divBdr>
            <w:top w:val="none" w:sz="0" w:space="0" w:color="auto"/>
            <w:left w:val="none" w:sz="0" w:space="0" w:color="auto"/>
            <w:bottom w:val="none" w:sz="0" w:space="0" w:color="auto"/>
            <w:right w:val="none" w:sz="0" w:space="0" w:color="auto"/>
          </w:divBdr>
          <w:divsChild>
            <w:div w:id="1430858676">
              <w:marLeft w:val="0"/>
              <w:marRight w:val="0"/>
              <w:marTop w:val="0"/>
              <w:marBottom w:val="0"/>
              <w:divBdr>
                <w:top w:val="none" w:sz="0" w:space="0" w:color="auto"/>
                <w:left w:val="none" w:sz="0" w:space="0" w:color="auto"/>
                <w:bottom w:val="none" w:sz="0" w:space="0" w:color="auto"/>
                <w:right w:val="none" w:sz="0" w:space="0" w:color="auto"/>
              </w:divBdr>
              <w:divsChild>
                <w:div w:id="170278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274452">
      <w:bodyDiv w:val="1"/>
      <w:marLeft w:val="0"/>
      <w:marRight w:val="0"/>
      <w:marTop w:val="0"/>
      <w:marBottom w:val="0"/>
      <w:divBdr>
        <w:top w:val="none" w:sz="0" w:space="0" w:color="auto"/>
        <w:left w:val="none" w:sz="0" w:space="0" w:color="auto"/>
        <w:bottom w:val="none" w:sz="0" w:space="0" w:color="auto"/>
        <w:right w:val="none" w:sz="0" w:space="0" w:color="auto"/>
      </w:divBdr>
      <w:divsChild>
        <w:div w:id="1302422003">
          <w:marLeft w:val="0"/>
          <w:marRight w:val="0"/>
          <w:marTop w:val="0"/>
          <w:marBottom w:val="0"/>
          <w:divBdr>
            <w:top w:val="none" w:sz="0" w:space="0" w:color="auto"/>
            <w:left w:val="none" w:sz="0" w:space="0" w:color="auto"/>
            <w:bottom w:val="none" w:sz="0" w:space="0" w:color="auto"/>
            <w:right w:val="none" w:sz="0" w:space="0" w:color="auto"/>
          </w:divBdr>
        </w:div>
      </w:divsChild>
    </w:div>
    <w:div w:id="1335381062">
      <w:bodyDiv w:val="1"/>
      <w:marLeft w:val="0"/>
      <w:marRight w:val="0"/>
      <w:marTop w:val="0"/>
      <w:marBottom w:val="0"/>
      <w:divBdr>
        <w:top w:val="none" w:sz="0" w:space="0" w:color="auto"/>
        <w:left w:val="none" w:sz="0" w:space="0" w:color="auto"/>
        <w:bottom w:val="none" w:sz="0" w:space="0" w:color="auto"/>
        <w:right w:val="none" w:sz="0" w:space="0" w:color="auto"/>
      </w:divBdr>
    </w:div>
    <w:div w:id="1400980827">
      <w:bodyDiv w:val="1"/>
      <w:marLeft w:val="0"/>
      <w:marRight w:val="0"/>
      <w:marTop w:val="0"/>
      <w:marBottom w:val="0"/>
      <w:divBdr>
        <w:top w:val="none" w:sz="0" w:space="0" w:color="auto"/>
        <w:left w:val="none" w:sz="0" w:space="0" w:color="auto"/>
        <w:bottom w:val="none" w:sz="0" w:space="0" w:color="auto"/>
        <w:right w:val="none" w:sz="0" w:space="0" w:color="auto"/>
      </w:divBdr>
    </w:div>
    <w:div w:id="1463765956">
      <w:bodyDiv w:val="1"/>
      <w:marLeft w:val="0"/>
      <w:marRight w:val="0"/>
      <w:marTop w:val="0"/>
      <w:marBottom w:val="0"/>
      <w:divBdr>
        <w:top w:val="none" w:sz="0" w:space="0" w:color="auto"/>
        <w:left w:val="none" w:sz="0" w:space="0" w:color="auto"/>
        <w:bottom w:val="none" w:sz="0" w:space="0" w:color="auto"/>
        <w:right w:val="none" w:sz="0" w:space="0" w:color="auto"/>
      </w:divBdr>
    </w:div>
    <w:div w:id="1479374036">
      <w:bodyDiv w:val="1"/>
      <w:marLeft w:val="0"/>
      <w:marRight w:val="0"/>
      <w:marTop w:val="0"/>
      <w:marBottom w:val="0"/>
      <w:divBdr>
        <w:top w:val="none" w:sz="0" w:space="0" w:color="auto"/>
        <w:left w:val="none" w:sz="0" w:space="0" w:color="auto"/>
        <w:bottom w:val="none" w:sz="0" w:space="0" w:color="auto"/>
        <w:right w:val="none" w:sz="0" w:space="0" w:color="auto"/>
      </w:divBdr>
    </w:div>
    <w:div w:id="1501508368">
      <w:bodyDiv w:val="1"/>
      <w:marLeft w:val="0"/>
      <w:marRight w:val="0"/>
      <w:marTop w:val="0"/>
      <w:marBottom w:val="0"/>
      <w:divBdr>
        <w:top w:val="none" w:sz="0" w:space="0" w:color="auto"/>
        <w:left w:val="none" w:sz="0" w:space="0" w:color="auto"/>
        <w:bottom w:val="none" w:sz="0" w:space="0" w:color="auto"/>
        <w:right w:val="none" w:sz="0" w:space="0" w:color="auto"/>
      </w:divBdr>
    </w:div>
    <w:div w:id="1534149371">
      <w:bodyDiv w:val="1"/>
      <w:marLeft w:val="0"/>
      <w:marRight w:val="0"/>
      <w:marTop w:val="0"/>
      <w:marBottom w:val="0"/>
      <w:divBdr>
        <w:top w:val="none" w:sz="0" w:space="0" w:color="auto"/>
        <w:left w:val="none" w:sz="0" w:space="0" w:color="auto"/>
        <w:bottom w:val="none" w:sz="0" w:space="0" w:color="auto"/>
        <w:right w:val="none" w:sz="0" w:space="0" w:color="auto"/>
      </w:divBdr>
    </w:div>
    <w:div w:id="1548907230">
      <w:bodyDiv w:val="1"/>
      <w:marLeft w:val="0"/>
      <w:marRight w:val="0"/>
      <w:marTop w:val="0"/>
      <w:marBottom w:val="0"/>
      <w:divBdr>
        <w:top w:val="none" w:sz="0" w:space="0" w:color="auto"/>
        <w:left w:val="none" w:sz="0" w:space="0" w:color="auto"/>
        <w:bottom w:val="none" w:sz="0" w:space="0" w:color="auto"/>
        <w:right w:val="none" w:sz="0" w:space="0" w:color="auto"/>
      </w:divBdr>
    </w:div>
    <w:div w:id="1638335676">
      <w:bodyDiv w:val="1"/>
      <w:marLeft w:val="0"/>
      <w:marRight w:val="0"/>
      <w:marTop w:val="0"/>
      <w:marBottom w:val="0"/>
      <w:divBdr>
        <w:top w:val="none" w:sz="0" w:space="0" w:color="auto"/>
        <w:left w:val="none" w:sz="0" w:space="0" w:color="auto"/>
        <w:bottom w:val="none" w:sz="0" w:space="0" w:color="auto"/>
        <w:right w:val="none" w:sz="0" w:space="0" w:color="auto"/>
      </w:divBdr>
    </w:div>
    <w:div w:id="1654019331">
      <w:bodyDiv w:val="1"/>
      <w:marLeft w:val="0"/>
      <w:marRight w:val="0"/>
      <w:marTop w:val="0"/>
      <w:marBottom w:val="0"/>
      <w:divBdr>
        <w:top w:val="none" w:sz="0" w:space="0" w:color="auto"/>
        <w:left w:val="none" w:sz="0" w:space="0" w:color="auto"/>
        <w:bottom w:val="none" w:sz="0" w:space="0" w:color="auto"/>
        <w:right w:val="none" w:sz="0" w:space="0" w:color="auto"/>
      </w:divBdr>
      <w:divsChild>
        <w:div w:id="915474642">
          <w:marLeft w:val="0"/>
          <w:marRight w:val="0"/>
          <w:marTop w:val="0"/>
          <w:marBottom w:val="0"/>
          <w:divBdr>
            <w:top w:val="none" w:sz="0" w:space="0" w:color="auto"/>
            <w:left w:val="none" w:sz="0" w:space="0" w:color="auto"/>
            <w:bottom w:val="none" w:sz="0" w:space="0" w:color="auto"/>
            <w:right w:val="none" w:sz="0" w:space="0" w:color="auto"/>
          </w:divBdr>
          <w:divsChild>
            <w:div w:id="1844977791">
              <w:marLeft w:val="0"/>
              <w:marRight w:val="0"/>
              <w:marTop w:val="0"/>
              <w:marBottom w:val="0"/>
              <w:divBdr>
                <w:top w:val="none" w:sz="0" w:space="0" w:color="auto"/>
                <w:left w:val="none" w:sz="0" w:space="0" w:color="auto"/>
                <w:bottom w:val="none" w:sz="0" w:space="0" w:color="auto"/>
                <w:right w:val="none" w:sz="0" w:space="0" w:color="auto"/>
              </w:divBdr>
              <w:divsChild>
                <w:div w:id="882400196">
                  <w:marLeft w:val="0"/>
                  <w:marRight w:val="0"/>
                  <w:marTop w:val="0"/>
                  <w:marBottom w:val="0"/>
                  <w:divBdr>
                    <w:top w:val="none" w:sz="0" w:space="0" w:color="auto"/>
                    <w:left w:val="none" w:sz="0" w:space="0" w:color="auto"/>
                    <w:bottom w:val="none" w:sz="0" w:space="0" w:color="auto"/>
                    <w:right w:val="none" w:sz="0" w:space="0" w:color="auto"/>
                  </w:divBdr>
                </w:div>
                <w:div w:id="52252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496921">
      <w:bodyDiv w:val="1"/>
      <w:marLeft w:val="0"/>
      <w:marRight w:val="0"/>
      <w:marTop w:val="0"/>
      <w:marBottom w:val="0"/>
      <w:divBdr>
        <w:top w:val="none" w:sz="0" w:space="0" w:color="auto"/>
        <w:left w:val="none" w:sz="0" w:space="0" w:color="auto"/>
        <w:bottom w:val="none" w:sz="0" w:space="0" w:color="auto"/>
        <w:right w:val="none" w:sz="0" w:space="0" w:color="auto"/>
      </w:divBdr>
    </w:div>
    <w:div w:id="1728071641">
      <w:bodyDiv w:val="1"/>
      <w:marLeft w:val="0"/>
      <w:marRight w:val="0"/>
      <w:marTop w:val="0"/>
      <w:marBottom w:val="0"/>
      <w:divBdr>
        <w:top w:val="none" w:sz="0" w:space="0" w:color="auto"/>
        <w:left w:val="none" w:sz="0" w:space="0" w:color="auto"/>
        <w:bottom w:val="none" w:sz="0" w:space="0" w:color="auto"/>
        <w:right w:val="none" w:sz="0" w:space="0" w:color="auto"/>
      </w:divBdr>
    </w:div>
    <w:div w:id="1801416058">
      <w:bodyDiv w:val="1"/>
      <w:marLeft w:val="0"/>
      <w:marRight w:val="0"/>
      <w:marTop w:val="0"/>
      <w:marBottom w:val="0"/>
      <w:divBdr>
        <w:top w:val="none" w:sz="0" w:space="0" w:color="auto"/>
        <w:left w:val="none" w:sz="0" w:space="0" w:color="auto"/>
        <w:bottom w:val="none" w:sz="0" w:space="0" w:color="auto"/>
        <w:right w:val="none" w:sz="0" w:space="0" w:color="auto"/>
      </w:divBdr>
    </w:div>
    <w:div w:id="1838105572">
      <w:bodyDiv w:val="1"/>
      <w:marLeft w:val="0"/>
      <w:marRight w:val="0"/>
      <w:marTop w:val="0"/>
      <w:marBottom w:val="0"/>
      <w:divBdr>
        <w:top w:val="none" w:sz="0" w:space="0" w:color="auto"/>
        <w:left w:val="none" w:sz="0" w:space="0" w:color="auto"/>
        <w:bottom w:val="none" w:sz="0" w:space="0" w:color="auto"/>
        <w:right w:val="none" w:sz="0" w:space="0" w:color="auto"/>
      </w:divBdr>
    </w:div>
    <w:div w:id="1899823534">
      <w:bodyDiv w:val="1"/>
      <w:marLeft w:val="0"/>
      <w:marRight w:val="0"/>
      <w:marTop w:val="0"/>
      <w:marBottom w:val="0"/>
      <w:divBdr>
        <w:top w:val="none" w:sz="0" w:space="0" w:color="auto"/>
        <w:left w:val="none" w:sz="0" w:space="0" w:color="auto"/>
        <w:bottom w:val="none" w:sz="0" w:space="0" w:color="auto"/>
        <w:right w:val="none" w:sz="0" w:space="0" w:color="auto"/>
      </w:divBdr>
    </w:div>
    <w:div w:id="1918243273">
      <w:bodyDiv w:val="1"/>
      <w:marLeft w:val="0"/>
      <w:marRight w:val="0"/>
      <w:marTop w:val="0"/>
      <w:marBottom w:val="0"/>
      <w:divBdr>
        <w:top w:val="none" w:sz="0" w:space="0" w:color="auto"/>
        <w:left w:val="none" w:sz="0" w:space="0" w:color="auto"/>
        <w:bottom w:val="none" w:sz="0" w:space="0" w:color="auto"/>
        <w:right w:val="none" w:sz="0" w:space="0" w:color="auto"/>
      </w:divBdr>
      <w:divsChild>
        <w:div w:id="647979398">
          <w:marLeft w:val="0"/>
          <w:marRight w:val="0"/>
          <w:marTop w:val="0"/>
          <w:marBottom w:val="0"/>
          <w:divBdr>
            <w:top w:val="none" w:sz="0" w:space="0" w:color="auto"/>
            <w:left w:val="none" w:sz="0" w:space="0" w:color="auto"/>
            <w:bottom w:val="none" w:sz="0" w:space="0" w:color="auto"/>
            <w:right w:val="none" w:sz="0" w:space="0" w:color="auto"/>
          </w:divBdr>
          <w:divsChild>
            <w:div w:id="2145003901">
              <w:marLeft w:val="0"/>
              <w:marRight w:val="0"/>
              <w:marTop w:val="0"/>
              <w:marBottom w:val="0"/>
              <w:divBdr>
                <w:top w:val="none" w:sz="0" w:space="0" w:color="auto"/>
                <w:left w:val="none" w:sz="0" w:space="0" w:color="auto"/>
                <w:bottom w:val="none" w:sz="0" w:space="0" w:color="auto"/>
                <w:right w:val="none" w:sz="0" w:space="0" w:color="auto"/>
              </w:divBdr>
              <w:divsChild>
                <w:div w:id="186871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190843">
      <w:bodyDiv w:val="1"/>
      <w:marLeft w:val="0"/>
      <w:marRight w:val="0"/>
      <w:marTop w:val="0"/>
      <w:marBottom w:val="0"/>
      <w:divBdr>
        <w:top w:val="none" w:sz="0" w:space="0" w:color="auto"/>
        <w:left w:val="none" w:sz="0" w:space="0" w:color="auto"/>
        <w:bottom w:val="none" w:sz="0" w:space="0" w:color="auto"/>
        <w:right w:val="none" w:sz="0" w:space="0" w:color="auto"/>
      </w:divBdr>
    </w:div>
    <w:div w:id="1931500322">
      <w:bodyDiv w:val="1"/>
      <w:marLeft w:val="0"/>
      <w:marRight w:val="0"/>
      <w:marTop w:val="0"/>
      <w:marBottom w:val="0"/>
      <w:divBdr>
        <w:top w:val="none" w:sz="0" w:space="0" w:color="auto"/>
        <w:left w:val="none" w:sz="0" w:space="0" w:color="auto"/>
        <w:bottom w:val="none" w:sz="0" w:space="0" w:color="auto"/>
        <w:right w:val="none" w:sz="0" w:space="0" w:color="auto"/>
      </w:divBdr>
    </w:div>
    <w:div w:id="1983928816">
      <w:bodyDiv w:val="1"/>
      <w:marLeft w:val="0"/>
      <w:marRight w:val="0"/>
      <w:marTop w:val="0"/>
      <w:marBottom w:val="0"/>
      <w:divBdr>
        <w:top w:val="none" w:sz="0" w:space="0" w:color="auto"/>
        <w:left w:val="none" w:sz="0" w:space="0" w:color="auto"/>
        <w:bottom w:val="none" w:sz="0" w:space="0" w:color="auto"/>
        <w:right w:val="none" w:sz="0" w:space="0" w:color="auto"/>
      </w:divBdr>
      <w:divsChild>
        <w:div w:id="322007932">
          <w:marLeft w:val="0"/>
          <w:marRight w:val="0"/>
          <w:marTop w:val="0"/>
          <w:marBottom w:val="0"/>
          <w:divBdr>
            <w:top w:val="none" w:sz="0" w:space="0" w:color="auto"/>
            <w:left w:val="none" w:sz="0" w:space="0" w:color="auto"/>
            <w:bottom w:val="none" w:sz="0" w:space="0" w:color="auto"/>
            <w:right w:val="none" w:sz="0" w:space="0" w:color="auto"/>
          </w:divBdr>
          <w:divsChild>
            <w:div w:id="95179162">
              <w:marLeft w:val="0"/>
              <w:marRight w:val="0"/>
              <w:marTop w:val="0"/>
              <w:marBottom w:val="0"/>
              <w:divBdr>
                <w:top w:val="none" w:sz="0" w:space="0" w:color="auto"/>
                <w:left w:val="none" w:sz="0" w:space="0" w:color="auto"/>
                <w:bottom w:val="none" w:sz="0" w:space="0" w:color="auto"/>
                <w:right w:val="none" w:sz="0" w:space="0" w:color="auto"/>
              </w:divBdr>
              <w:divsChild>
                <w:div w:id="42149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063520">
      <w:bodyDiv w:val="1"/>
      <w:marLeft w:val="0"/>
      <w:marRight w:val="0"/>
      <w:marTop w:val="0"/>
      <w:marBottom w:val="0"/>
      <w:divBdr>
        <w:top w:val="none" w:sz="0" w:space="0" w:color="auto"/>
        <w:left w:val="none" w:sz="0" w:space="0" w:color="auto"/>
        <w:bottom w:val="none" w:sz="0" w:space="0" w:color="auto"/>
        <w:right w:val="none" w:sz="0" w:space="0" w:color="auto"/>
      </w:divBdr>
      <w:divsChild>
        <w:div w:id="1120339501">
          <w:marLeft w:val="0"/>
          <w:marRight w:val="0"/>
          <w:marTop w:val="0"/>
          <w:marBottom w:val="0"/>
          <w:divBdr>
            <w:top w:val="none" w:sz="0" w:space="0" w:color="auto"/>
            <w:left w:val="none" w:sz="0" w:space="0" w:color="auto"/>
            <w:bottom w:val="none" w:sz="0" w:space="0" w:color="auto"/>
            <w:right w:val="none" w:sz="0" w:space="0" w:color="auto"/>
          </w:divBdr>
        </w:div>
      </w:divsChild>
    </w:div>
    <w:div w:id="2074770828">
      <w:bodyDiv w:val="1"/>
      <w:marLeft w:val="0"/>
      <w:marRight w:val="0"/>
      <w:marTop w:val="0"/>
      <w:marBottom w:val="0"/>
      <w:divBdr>
        <w:top w:val="none" w:sz="0" w:space="0" w:color="auto"/>
        <w:left w:val="none" w:sz="0" w:space="0" w:color="auto"/>
        <w:bottom w:val="none" w:sz="0" w:space="0" w:color="auto"/>
        <w:right w:val="none" w:sz="0" w:space="0" w:color="auto"/>
      </w:divBdr>
      <w:divsChild>
        <w:div w:id="890001354">
          <w:marLeft w:val="0"/>
          <w:marRight w:val="0"/>
          <w:marTop w:val="0"/>
          <w:marBottom w:val="0"/>
          <w:divBdr>
            <w:top w:val="none" w:sz="0" w:space="0" w:color="auto"/>
            <w:left w:val="none" w:sz="0" w:space="0" w:color="auto"/>
            <w:bottom w:val="none" w:sz="0" w:space="0" w:color="auto"/>
            <w:right w:val="none" w:sz="0" w:space="0" w:color="auto"/>
          </w:divBdr>
          <w:divsChild>
            <w:div w:id="1354382361">
              <w:marLeft w:val="0"/>
              <w:marRight w:val="0"/>
              <w:marTop w:val="0"/>
              <w:marBottom w:val="0"/>
              <w:divBdr>
                <w:top w:val="none" w:sz="0" w:space="0" w:color="auto"/>
                <w:left w:val="none" w:sz="0" w:space="0" w:color="auto"/>
                <w:bottom w:val="none" w:sz="0" w:space="0" w:color="auto"/>
                <w:right w:val="none" w:sz="0" w:space="0" w:color="auto"/>
              </w:divBdr>
              <w:divsChild>
                <w:div w:id="122201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74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investigations/managing-investigations/" TargetMode="External"/><Relationship Id="rId13" Type="http://schemas.openxmlformats.org/officeDocument/2006/relationships/hyperlink" Target="https://abcnews.go.com/US/inside-mistakes-jonbenet-ramsey-investigation-noted-police-chief/story?id=29247378" TargetMode="External"/><Relationship Id="rId18" Type="http://schemas.openxmlformats.org/officeDocument/2006/relationships/hyperlink" Target="https://assets.publishing.service.gov.uk/government/uploads/system/uploads/attachment_data/file/115849/hoor4305.pdf" TargetMode="External"/><Relationship Id="rId26" Type="http://schemas.openxmlformats.org/officeDocument/2006/relationships/hyperlink" Target="https://www.google.com/url?q=https://assets.publishing.service.gov.uk/government/uploads/system/uploads/attachment_data/file/961562/FSR-C-100_Codes_of_Practice_and_Conduct_-_Issue_6.pdf&amp;sa=D&amp;source=docs&amp;ust=1645881803829563&amp;usg=AOvVaw1tgwCkOaxQvH4xmVBIzVdQ" TargetMode="External"/><Relationship Id="rId3" Type="http://schemas.openxmlformats.org/officeDocument/2006/relationships/settings" Target="settings.xml"/><Relationship Id="rId21" Type="http://schemas.openxmlformats.org/officeDocument/2006/relationships/hyperlink" Target="https://www.google.com/url?q=http://www.nap.edu/catalog/12589.html&amp;sa=D&amp;source=docs&amp;ust=1645881803832432&amp;usg=AOvVaw1oyMThYy2VxY_900wz755h" TargetMode="External"/><Relationship Id="rId7" Type="http://schemas.openxmlformats.org/officeDocument/2006/relationships/hyperlink" Target="https://repository.canterbury.ac.uk/item/887v2/blackstone-s-handbook-for-policing-students-2017" TargetMode="External"/><Relationship Id="rId12" Type="http://schemas.openxmlformats.org/officeDocument/2006/relationships/hyperlink" Target="https://whatworks.college.police.uk/Research/Documents/An_observational_study_of_response_and_neighbourhood_officers.pdf" TargetMode="External"/><Relationship Id="rId17" Type="http://schemas.openxmlformats.org/officeDocument/2006/relationships/hyperlink" Target="https://www.google.com/url?q=https://www.bbc.co.uk/news/uk-scotland-glasgow-west-16181875&amp;sa=D&amp;source=docs&amp;ust=1645881803839786&amp;usg=AOvVaw0W4DuLFktM7oBb7e1cZ02N" TargetMode="External"/><Relationship Id="rId25" Type="http://schemas.openxmlformats.org/officeDocument/2006/relationships/hyperlink" Target="https://assets.publishing.service.gov.uk/government/uploads/system/uploads/attachment_da%20ta/file/648320/FSR_Newsletter_29.pdf" TargetMode="External"/><Relationship Id="rId2" Type="http://schemas.openxmlformats.org/officeDocument/2006/relationships/styles" Target="styles.xml"/><Relationship Id="rId16" Type="http://schemas.openxmlformats.org/officeDocument/2006/relationships/hyperlink" Target="https://www.bbc.co.uk/news/uk-37390923" TargetMode="External"/><Relationship Id="rId20" Type="http://schemas.openxmlformats.org/officeDocument/2006/relationships/hyperlink" Target="https://www.legislation.gov.uk/ukpga/1996/25/content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915221/FSR_G-206_Issue_2_Final.pdf" TargetMode="External"/><Relationship Id="rId11" Type="http://schemas.openxmlformats.org/officeDocument/2006/relationships/hyperlink" Target="https://www.oxfordreference.com/view/10.1093/acref/9780192807021.001.0001/acref-9780192807021" TargetMode="External"/><Relationship Id="rId24" Type="http://schemas.openxmlformats.org/officeDocument/2006/relationships/hyperlink" Target="https://www.pearson.com/us/higher-education/program/Saferstein-Criminalistics-An-Introduction-to-Forensic-Science-College-Version-8th-Edition/PGM62781.html" TargetMode="External"/><Relationship Id="rId5" Type="http://schemas.openxmlformats.org/officeDocument/2006/relationships/image" Target="media/image1.png"/><Relationship Id="rId15" Type="http://schemas.openxmlformats.org/officeDocument/2006/relationships/hyperlink" Target="https://www.whatdotheyknow.com/request/387377/response/939365/attach/2/ACPO%202005%20Practice%20Advice%20on%20Core%20Investigative%20Doctrine%20002.pdf?cookie_passthrough=1" TargetMode="External"/><Relationship Id="rId23" Type="http://schemas.openxmlformats.org/officeDocument/2006/relationships/hyperlink" Target="https://www.google.com/url?q=https://assets.publishing.service.gov.uk/government/uploads/system/uploads/attachment_data/file/118947/dev-quality-std-fingerprint-exam.pdf&amp;sa=D&amp;source=docs&amp;ust=1645881803837855&amp;usg=AOvVaw1GnSDmb8cCm_xcAmwjbNNF" TargetMode="External"/><Relationship Id="rId28" Type="http://schemas.openxmlformats.org/officeDocument/2006/relationships/fontTable" Target="fontTable.xml"/><Relationship Id="rId10" Type="http://schemas.openxmlformats.org/officeDocument/2006/relationships/hyperlink" Target="https://pressbooks.bccampus.ca/criminalinvestigation/" TargetMode="External"/><Relationship Id="rId19" Type="http://schemas.openxmlformats.org/officeDocument/2006/relationships/hyperlink" Target="https://www.app.college.police.uk/app-content/investigations/managing-investigations/" TargetMode="External"/><Relationship Id="rId4" Type="http://schemas.openxmlformats.org/officeDocument/2006/relationships/webSettings" Target="webSettings.xml"/><Relationship Id="rId9" Type="http://schemas.openxmlformats.org/officeDocument/2006/relationships/hyperlink" Target="https://www.standard.co.uk/hp/front/police-looked-on-as-madeleine-crime-scene-was-trampled-by-circus-of-people-6664376.html" TargetMode="External"/><Relationship Id="rId14" Type="http://schemas.openxmlformats.org/officeDocument/2006/relationships/hyperlink" Target="https://www.psni.police.uk/globalassets/advice--information/our-publications/policies-and-service-procedures/service_procedure_47-04.pdf" TargetMode="External"/><Relationship Id="rId22" Type="http://schemas.openxmlformats.org/officeDocument/2006/relationships/hyperlink" Target="https://www.google.com/url?q=https://www.nist.gov/feature-stories/dna-mixtures-forensic-science-explainer&amp;sa=D&amp;source=docs&amp;ust=1645881803834627&amp;usg=AOvVaw13TncmoUTTpWIgBXhaCcgD" TargetMode="External"/><Relationship Id="rId27" Type="http://schemas.openxmlformats.org/officeDocument/2006/relationships/hyperlink" Target="https://www.google.com/url?q=https://www.digital-detective.net/digital-forensics-documents/ACPO_Good_Practice_Guide_for_Digital_Evidence_v5.pdf&amp;sa=D&amp;source=docs&amp;ust=1645881803826501&amp;usg=AOvVaw05RRr8rO8kL1QmpFt332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353</TotalTime>
  <Pages>15</Pages>
  <Words>4334</Words>
  <Characters>24706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Warwick Koekemoer (1905889)</dc:creator>
  <cp:keywords/>
  <dc:description/>
  <cp:lastModifiedBy>Warwick Koekemoer (1905889)</cp:lastModifiedBy>
  <cp:revision>12</cp:revision>
  <dcterms:created xsi:type="dcterms:W3CDTF">2022-02-20T19:15:00Z</dcterms:created>
  <dcterms:modified xsi:type="dcterms:W3CDTF">2022-02-26T12:39:00Z</dcterms:modified>
</cp:coreProperties>
</file>