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2AAB1B" w14:textId="3D44B51E" w:rsidR="007B15BA" w:rsidRDefault="00DE3122">
      <w:r>
        <w:t xml:space="preserve">What changes did the Coroners and Justice Act (2009) make to the defence </w:t>
      </w:r>
      <w:r w:rsidR="007B15BA">
        <w:t>of diminished responsibility? Did these amendments change the law in this area for the better?</w:t>
      </w:r>
    </w:p>
    <w:p w14:paraId="0FE5165F" w14:textId="6297EA9D" w:rsidR="007078C0" w:rsidRDefault="007078C0"/>
    <w:p w14:paraId="3C606933" w14:textId="36BD007B" w:rsidR="00CD3D4E" w:rsidRDefault="00E17D45"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r>
        <w:rPr>
          <w:rFonts w:asciiTheme="minorHAnsi" w:hAnsiTheme="minorHAnsi" w:cstheme="minorHAnsi"/>
        </w:rPr>
        <w:t>According to s</w:t>
      </w:r>
      <w:r w:rsidR="0088380F" w:rsidRPr="00CD3D4E">
        <w:rPr>
          <w:rFonts w:asciiTheme="minorHAnsi" w:hAnsiTheme="minorHAnsi" w:cstheme="minorHAnsi"/>
        </w:rPr>
        <w:t xml:space="preserve">. 2 Homicide Act (1957) states that </w:t>
      </w:r>
      <w:r w:rsidR="00EF5500">
        <w:rPr>
          <w:rFonts w:asciiTheme="minorHAnsi" w:hAnsiTheme="minorHAnsi" w:cstheme="minorHAnsi"/>
        </w:rPr>
        <w:t>“</w:t>
      </w:r>
      <w:r w:rsidR="0088380F" w:rsidRPr="00CD3D4E">
        <w:rPr>
          <w:rFonts w:asciiTheme="minorHAnsi" w:hAnsiTheme="minorHAnsi" w:cstheme="minorHAnsi"/>
        </w:rPr>
        <w:t>d</w:t>
      </w:r>
      <w:r w:rsidR="007078C0" w:rsidRPr="00CD3D4E">
        <w:rPr>
          <w:rFonts w:asciiTheme="minorHAnsi" w:hAnsiTheme="minorHAnsi" w:cstheme="minorHAnsi"/>
        </w:rPr>
        <w:t>iminished responsibility i</w:t>
      </w:r>
      <w:r w:rsidR="00452789" w:rsidRPr="00CD3D4E">
        <w:rPr>
          <w:rFonts w:asciiTheme="minorHAnsi" w:hAnsiTheme="minorHAnsi" w:cstheme="minorHAnsi"/>
        </w:rPr>
        <w:t xml:space="preserve">s where </w:t>
      </w:r>
      <w:r w:rsidR="006D2A6E" w:rsidRPr="00CD3D4E">
        <w:rPr>
          <w:rFonts w:asciiTheme="minorHAnsi" w:hAnsiTheme="minorHAnsi" w:cstheme="minorHAnsi"/>
        </w:rPr>
        <w:t xml:space="preserve">a person kills or is party to the killing of another , he shall not be </w:t>
      </w:r>
      <w:r w:rsidR="00EB5FAE" w:rsidRPr="00CD3D4E">
        <w:rPr>
          <w:rFonts w:asciiTheme="minorHAnsi" w:hAnsiTheme="minorHAnsi" w:cstheme="minorHAnsi"/>
        </w:rPr>
        <w:t xml:space="preserve">convicted of murder is he was suffering from such abnormality of mind (whether arising </w:t>
      </w:r>
      <w:r w:rsidR="009717CE" w:rsidRPr="00CD3D4E">
        <w:rPr>
          <w:rFonts w:asciiTheme="minorHAnsi" w:hAnsiTheme="minorHAnsi" w:cstheme="minorHAnsi"/>
        </w:rPr>
        <w:t xml:space="preserve">from a condition of arrested or retarded development of mind or any inherent causes or induced </w:t>
      </w:r>
      <w:r w:rsidR="00777809" w:rsidRPr="00CD3D4E">
        <w:rPr>
          <w:rFonts w:asciiTheme="minorHAnsi" w:hAnsiTheme="minorHAnsi" w:cstheme="minorHAnsi"/>
        </w:rPr>
        <w:t>by disease or injury) as substantially impaired his mental responsibility for his acts and omissions in doing or being a party to the killing</w:t>
      </w:r>
      <w:r w:rsidR="00EF5500">
        <w:rPr>
          <w:rFonts w:asciiTheme="minorHAnsi" w:hAnsiTheme="minorHAnsi" w:cstheme="minorHAnsi"/>
        </w:rPr>
        <w:t>”</w:t>
      </w:r>
      <w:r w:rsidR="00E95146">
        <w:rPr>
          <w:rFonts w:asciiTheme="minorHAnsi" w:hAnsiTheme="minorHAnsi" w:cstheme="minorHAnsi"/>
        </w:rPr>
        <w:t>. The</w:t>
      </w:r>
      <w:r w:rsidR="00C862D9">
        <w:rPr>
          <w:rFonts w:asciiTheme="minorHAnsi" w:hAnsiTheme="minorHAnsi" w:cstheme="minorHAnsi"/>
        </w:rPr>
        <w:t xml:space="preserve">re are three </w:t>
      </w:r>
      <w:r w:rsidR="004C6468">
        <w:rPr>
          <w:rFonts w:asciiTheme="minorHAnsi" w:hAnsiTheme="minorHAnsi" w:cstheme="minorHAnsi"/>
        </w:rPr>
        <w:t>partial defences</w:t>
      </w:r>
      <w:r w:rsidR="00E95146">
        <w:rPr>
          <w:rFonts w:asciiTheme="minorHAnsi" w:hAnsiTheme="minorHAnsi" w:cstheme="minorHAnsi"/>
        </w:rPr>
        <w:t xml:space="preserve"> for this</w:t>
      </w:r>
      <w:r w:rsidR="00C862D9">
        <w:rPr>
          <w:rFonts w:asciiTheme="minorHAnsi" w:hAnsiTheme="minorHAnsi" w:cstheme="minorHAnsi"/>
        </w:rPr>
        <w:t xml:space="preserve"> these </w:t>
      </w:r>
      <w:r w:rsidR="00E95146">
        <w:rPr>
          <w:rFonts w:asciiTheme="minorHAnsi" w:hAnsiTheme="minorHAnsi" w:cstheme="minorHAnsi"/>
        </w:rPr>
        <w:t xml:space="preserve">were </w:t>
      </w:r>
      <w:r w:rsidR="00A62B22">
        <w:rPr>
          <w:rFonts w:asciiTheme="minorHAnsi" w:hAnsiTheme="minorHAnsi" w:cstheme="minorHAnsi"/>
        </w:rPr>
        <w:t>that the defendant had to have an ‘abnormality of mind’</w:t>
      </w:r>
      <w:r w:rsidR="00C862D9">
        <w:rPr>
          <w:rFonts w:asciiTheme="minorHAnsi" w:hAnsiTheme="minorHAnsi" w:cstheme="minorHAnsi"/>
        </w:rPr>
        <w:t xml:space="preserve">, </w:t>
      </w:r>
      <w:r w:rsidR="002E73CD">
        <w:rPr>
          <w:rFonts w:asciiTheme="minorHAnsi" w:hAnsiTheme="minorHAnsi" w:cstheme="minorHAnsi"/>
        </w:rPr>
        <w:t xml:space="preserve">‘have arrested or retarded development of the mind’ and </w:t>
      </w:r>
      <w:r w:rsidR="00BA3AF4">
        <w:rPr>
          <w:rFonts w:asciiTheme="minorHAnsi" w:hAnsiTheme="minorHAnsi" w:cstheme="minorHAnsi"/>
        </w:rPr>
        <w:t xml:space="preserve">have ‘substantial impairment </w:t>
      </w:r>
      <w:r w:rsidR="004C6468">
        <w:rPr>
          <w:rFonts w:asciiTheme="minorHAnsi" w:hAnsiTheme="minorHAnsi" w:cstheme="minorHAnsi"/>
        </w:rPr>
        <w:t xml:space="preserve">of the mind’. </w:t>
      </w:r>
      <w:r w:rsidR="00CD3D4E" w:rsidRPr="00CD3D4E">
        <w:rPr>
          <w:rStyle w:val="legds"/>
          <w:rFonts w:asciiTheme="minorHAnsi" w:hAnsiTheme="minorHAnsi" w:cstheme="minorHAnsi"/>
          <w:color w:val="000000"/>
        </w:rPr>
        <w:t xml:space="preserve">This definition of diminished responsibility was used for many years, however in 2009 it was amended by s.52 Coroners and Justice Act [2009]. The amended definition now states “A person who kills or is a party to the killing of another is not to be convicted of murder if ‘D’ was suffering from an abnormality of mental functioning, which arose from a recognised medical condition, substantially impaired ‘D’s ability to do one or more of the things mentioned in subsection 1A and provides an explanation for D’s acts and omissions in doing or being a party to the killing.” </w:t>
      </w:r>
      <w:r w:rsidR="004C6468">
        <w:rPr>
          <w:rStyle w:val="legds"/>
          <w:rFonts w:asciiTheme="minorHAnsi" w:hAnsiTheme="minorHAnsi" w:cstheme="minorHAnsi"/>
          <w:color w:val="000000"/>
        </w:rPr>
        <w:t>They also changed the three partial defences to ‘</w:t>
      </w:r>
      <w:r w:rsidR="00D8178D">
        <w:rPr>
          <w:rStyle w:val="legds"/>
          <w:rFonts w:asciiTheme="minorHAnsi" w:hAnsiTheme="minorHAnsi" w:cstheme="minorHAnsi"/>
          <w:color w:val="000000"/>
        </w:rPr>
        <w:t>abnormality of the mind</w:t>
      </w:r>
      <w:r w:rsidR="009808B1">
        <w:rPr>
          <w:rStyle w:val="legds"/>
          <w:rFonts w:asciiTheme="minorHAnsi" w:hAnsiTheme="minorHAnsi" w:cstheme="minorHAnsi"/>
          <w:color w:val="000000"/>
        </w:rPr>
        <w:t xml:space="preserve">’ which has to </w:t>
      </w:r>
      <w:r w:rsidR="001E0DE7">
        <w:rPr>
          <w:rStyle w:val="legds"/>
          <w:rFonts w:asciiTheme="minorHAnsi" w:hAnsiTheme="minorHAnsi" w:cstheme="minorHAnsi"/>
          <w:color w:val="000000"/>
        </w:rPr>
        <w:t>arise from a recognised medical condition</w:t>
      </w:r>
      <w:r w:rsidR="0087170E">
        <w:rPr>
          <w:rStyle w:val="legds"/>
          <w:rFonts w:asciiTheme="minorHAnsi" w:hAnsiTheme="minorHAnsi" w:cstheme="minorHAnsi"/>
          <w:color w:val="000000"/>
        </w:rPr>
        <w:t xml:space="preserve"> and </w:t>
      </w:r>
      <w:r w:rsidR="00A51620">
        <w:rPr>
          <w:rStyle w:val="legds"/>
          <w:rFonts w:asciiTheme="minorHAnsi" w:hAnsiTheme="minorHAnsi" w:cstheme="minorHAnsi"/>
          <w:color w:val="000000"/>
        </w:rPr>
        <w:t>‘</w:t>
      </w:r>
      <w:r w:rsidR="00CD3F4A">
        <w:rPr>
          <w:rStyle w:val="legds"/>
          <w:rFonts w:asciiTheme="minorHAnsi" w:hAnsiTheme="minorHAnsi" w:cstheme="minorHAnsi"/>
          <w:color w:val="000000"/>
        </w:rPr>
        <w:t>substantial</w:t>
      </w:r>
      <w:r w:rsidR="00A51620">
        <w:rPr>
          <w:rStyle w:val="legds"/>
          <w:rFonts w:asciiTheme="minorHAnsi" w:hAnsiTheme="minorHAnsi" w:cstheme="minorHAnsi"/>
          <w:color w:val="000000"/>
        </w:rPr>
        <w:t xml:space="preserve"> impairment’ has reformed to </w:t>
      </w:r>
      <w:r w:rsidR="00B962D3">
        <w:rPr>
          <w:rStyle w:val="legds"/>
          <w:rFonts w:asciiTheme="minorHAnsi" w:hAnsiTheme="minorHAnsi" w:cstheme="minorHAnsi"/>
          <w:color w:val="000000"/>
        </w:rPr>
        <w:t>“you</w:t>
      </w:r>
      <w:r w:rsidR="00490C9D">
        <w:rPr>
          <w:rStyle w:val="legds"/>
          <w:rFonts w:asciiTheme="minorHAnsi" w:hAnsiTheme="minorHAnsi" w:cstheme="minorHAnsi"/>
          <w:color w:val="000000"/>
        </w:rPr>
        <w:t xml:space="preserve"> have to prove that they understood the nature of their conduct, to form a rational </w:t>
      </w:r>
      <w:r w:rsidR="00CD3F4A">
        <w:rPr>
          <w:rStyle w:val="legds"/>
          <w:rFonts w:asciiTheme="minorHAnsi" w:hAnsiTheme="minorHAnsi" w:cstheme="minorHAnsi"/>
          <w:color w:val="000000"/>
        </w:rPr>
        <w:t>judgement, and to exercise self-control</w:t>
      </w:r>
      <w:r w:rsidR="00694221">
        <w:rPr>
          <w:rStyle w:val="legds"/>
          <w:rFonts w:asciiTheme="minorHAnsi" w:hAnsiTheme="minorHAnsi" w:cstheme="minorHAnsi"/>
          <w:color w:val="000000"/>
        </w:rPr>
        <w:t xml:space="preserve"> in order to be able to </w:t>
      </w:r>
      <w:r w:rsidR="00EF5500">
        <w:rPr>
          <w:rStyle w:val="legds"/>
          <w:rFonts w:asciiTheme="minorHAnsi" w:hAnsiTheme="minorHAnsi" w:cstheme="minorHAnsi"/>
          <w:color w:val="000000"/>
        </w:rPr>
        <w:t>plead</w:t>
      </w:r>
      <w:r w:rsidR="00694221">
        <w:rPr>
          <w:rStyle w:val="legds"/>
          <w:rFonts w:asciiTheme="minorHAnsi" w:hAnsiTheme="minorHAnsi" w:cstheme="minorHAnsi"/>
          <w:color w:val="000000"/>
        </w:rPr>
        <w:t xml:space="preserve"> diminished responsibility” </w:t>
      </w:r>
    </w:p>
    <w:p w14:paraId="02385132" w14:textId="458F980C" w:rsidR="00B962D3" w:rsidRDefault="00B962D3"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30C8D6A2" w14:textId="32C0C5EC" w:rsidR="00B962D3" w:rsidRDefault="000F44A6"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r>
        <w:rPr>
          <w:rStyle w:val="legds"/>
          <w:rFonts w:asciiTheme="minorHAnsi" w:hAnsiTheme="minorHAnsi" w:cstheme="minorHAnsi"/>
          <w:color w:val="000000"/>
        </w:rPr>
        <w:t>S. 52 Coroners and Justice Act (2009)</w:t>
      </w:r>
      <w:r w:rsidR="002254D8">
        <w:rPr>
          <w:rStyle w:val="legds"/>
          <w:rFonts w:asciiTheme="minorHAnsi" w:hAnsiTheme="minorHAnsi" w:cstheme="minorHAnsi"/>
          <w:color w:val="000000"/>
        </w:rPr>
        <w:t xml:space="preserve"> changed the law by replacing the existing </w:t>
      </w:r>
      <w:r w:rsidR="0083194D">
        <w:rPr>
          <w:rStyle w:val="legds"/>
          <w:rFonts w:asciiTheme="minorHAnsi" w:hAnsiTheme="minorHAnsi" w:cstheme="minorHAnsi"/>
          <w:color w:val="000000"/>
        </w:rPr>
        <w:t xml:space="preserve">definition of the partial defence </w:t>
      </w:r>
      <w:r w:rsidR="00B5005F">
        <w:rPr>
          <w:rStyle w:val="legds"/>
          <w:rFonts w:asciiTheme="minorHAnsi" w:hAnsiTheme="minorHAnsi" w:cstheme="minorHAnsi"/>
          <w:color w:val="000000"/>
        </w:rPr>
        <w:t xml:space="preserve">with a new modern one. </w:t>
      </w:r>
      <w:r w:rsidR="00A03CEB">
        <w:rPr>
          <w:rStyle w:val="legds"/>
          <w:rFonts w:asciiTheme="minorHAnsi" w:hAnsiTheme="minorHAnsi" w:cstheme="minorHAnsi"/>
          <w:color w:val="000000"/>
        </w:rPr>
        <w:t>“</w:t>
      </w:r>
      <w:r w:rsidR="00D75090" w:rsidRPr="00D75090">
        <w:rPr>
          <w:rStyle w:val="legds"/>
          <w:rFonts w:asciiTheme="minorHAnsi" w:hAnsiTheme="minorHAnsi" w:cstheme="minorHAnsi"/>
          <w:color w:val="000000"/>
        </w:rPr>
        <w:t>According to subsection 1B, the defendant's actions or failure to act in committing the murder or participating in its conduct can be explained by an impairment of mental functioning.</w:t>
      </w:r>
      <w:r w:rsidR="00A03CEB">
        <w:rPr>
          <w:rStyle w:val="legds"/>
          <w:rFonts w:asciiTheme="minorHAnsi" w:hAnsiTheme="minorHAnsi" w:cstheme="minorHAnsi"/>
          <w:color w:val="000000"/>
        </w:rPr>
        <w:t>”</w:t>
      </w:r>
      <w:sdt>
        <w:sdtPr>
          <w:rPr>
            <w:rStyle w:val="legds"/>
            <w:rFonts w:asciiTheme="minorHAnsi" w:hAnsiTheme="minorHAnsi" w:cstheme="minorHAnsi"/>
            <w:color w:val="000000"/>
          </w:rPr>
          <w:id w:val="591432459"/>
          <w:citation/>
        </w:sdtPr>
        <w:sdtContent>
          <w:r w:rsidR="006865C8">
            <w:rPr>
              <w:rStyle w:val="legds"/>
              <w:rFonts w:asciiTheme="minorHAnsi" w:hAnsiTheme="minorHAnsi" w:cstheme="minorHAnsi"/>
              <w:color w:val="000000"/>
            </w:rPr>
            <w:fldChar w:fldCharType="begin"/>
          </w:r>
          <w:r w:rsidR="006865C8">
            <w:rPr>
              <w:rStyle w:val="legds"/>
              <w:rFonts w:asciiTheme="minorHAnsi" w:hAnsiTheme="minorHAnsi" w:cstheme="minorHAnsi"/>
              <w:color w:val="000000"/>
            </w:rPr>
            <w:instrText xml:space="preserve"> CITATION Min102 \l 2057 </w:instrText>
          </w:r>
          <w:r w:rsidR="006865C8">
            <w:rPr>
              <w:rStyle w:val="legds"/>
              <w:rFonts w:asciiTheme="minorHAnsi" w:hAnsiTheme="minorHAnsi" w:cstheme="minorHAnsi"/>
              <w:color w:val="000000"/>
            </w:rPr>
            <w:fldChar w:fldCharType="separate"/>
          </w:r>
          <w:r w:rsidR="006865C8">
            <w:rPr>
              <w:rStyle w:val="legds"/>
              <w:rFonts w:asciiTheme="minorHAnsi" w:hAnsiTheme="minorHAnsi" w:cstheme="minorHAnsi"/>
              <w:noProof/>
              <w:color w:val="000000"/>
            </w:rPr>
            <w:t xml:space="preserve"> </w:t>
          </w:r>
          <w:r w:rsidR="006865C8" w:rsidRPr="006865C8">
            <w:rPr>
              <w:rFonts w:asciiTheme="minorHAnsi" w:hAnsiTheme="minorHAnsi" w:cstheme="minorHAnsi"/>
              <w:noProof/>
              <w:color w:val="000000"/>
            </w:rPr>
            <w:t>(Ministry of Justice, 2010)</w:t>
          </w:r>
          <w:r w:rsidR="006865C8">
            <w:rPr>
              <w:rStyle w:val="legds"/>
              <w:rFonts w:asciiTheme="minorHAnsi" w:hAnsiTheme="minorHAnsi" w:cstheme="minorHAnsi"/>
              <w:color w:val="000000"/>
            </w:rPr>
            <w:fldChar w:fldCharType="end"/>
          </w:r>
        </w:sdtContent>
      </w:sdt>
      <w:r w:rsidR="006865C8">
        <w:rPr>
          <w:rStyle w:val="legds"/>
          <w:rFonts w:asciiTheme="minorHAnsi" w:hAnsiTheme="minorHAnsi" w:cstheme="minorHAnsi"/>
          <w:color w:val="000000"/>
        </w:rPr>
        <w:t xml:space="preserve">. </w:t>
      </w:r>
      <w:r w:rsidR="00E22286">
        <w:rPr>
          <w:rStyle w:val="legds"/>
          <w:rFonts w:asciiTheme="minorHAnsi" w:hAnsiTheme="minorHAnsi" w:cstheme="minorHAnsi"/>
          <w:color w:val="000000"/>
        </w:rPr>
        <w:t>Diminished responsibility is “</w:t>
      </w:r>
      <w:r w:rsidR="005010CA" w:rsidRPr="005010CA">
        <w:rPr>
          <w:rStyle w:val="legds"/>
          <w:rFonts w:asciiTheme="minorHAnsi" w:hAnsiTheme="minorHAnsi" w:cstheme="minorHAnsi"/>
          <w:color w:val="000000"/>
        </w:rPr>
        <w:t>A murder defence entails at least partially denying guilt for the homicidal conduct. It suggests that the defendant suffered from a mental condition that was severe enough to interfere with their capacity for controlling their behaviour. If the jury decides in favour of the defence, the charge of murder must be changed to one of voluntary manslaughter.</w:t>
      </w:r>
      <w:r w:rsidR="00E22286">
        <w:rPr>
          <w:rStyle w:val="legds"/>
          <w:rFonts w:asciiTheme="minorHAnsi" w:hAnsiTheme="minorHAnsi" w:cstheme="minorHAnsi"/>
          <w:color w:val="000000"/>
        </w:rPr>
        <w:t>”</w:t>
      </w:r>
      <w:sdt>
        <w:sdtPr>
          <w:rPr>
            <w:rStyle w:val="legds"/>
            <w:rFonts w:asciiTheme="minorHAnsi" w:hAnsiTheme="minorHAnsi" w:cstheme="minorHAnsi"/>
            <w:color w:val="000000"/>
          </w:rPr>
          <w:id w:val="697830929"/>
          <w:citation/>
        </w:sdtPr>
        <w:sdtContent>
          <w:r w:rsidR="00527AFC">
            <w:rPr>
              <w:rStyle w:val="legds"/>
              <w:rFonts w:asciiTheme="minorHAnsi" w:hAnsiTheme="minorHAnsi" w:cstheme="minorHAnsi"/>
              <w:color w:val="000000"/>
            </w:rPr>
            <w:fldChar w:fldCharType="begin"/>
          </w:r>
          <w:r w:rsidR="00527AFC">
            <w:rPr>
              <w:rStyle w:val="legds"/>
              <w:rFonts w:asciiTheme="minorHAnsi" w:hAnsiTheme="minorHAnsi" w:cstheme="minorHAnsi"/>
              <w:color w:val="000000"/>
            </w:rPr>
            <w:instrText xml:space="preserve"> CITATION Ash22 \l 2057 </w:instrText>
          </w:r>
          <w:r w:rsidR="00527AFC">
            <w:rPr>
              <w:rStyle w:val="legds"/>
              <w:rFonts w:asciiTheme="minorHAnsi" w:hAnsiTheme="minorHAnsi" w:cstheme="minorHAnsi"/>
              <w:color w:val="000000"/>
            </w:rPr>
            <w:fldChar w:fldCharType="separate"/>
          </w:r>
          <w:r w:rsidR="00527AFC">
            <w:rPr>
              <w:rStyle w:val="legds"/>
              <w:rFonts w:asciiTheme="minorHAnsi" w:hAnsiTheme="minorHAnsi" w:cstheme="minorHAnsi"/>
              <w:noProof/>
              <w:color w:val="000000"/>
            </w:rPr>
            <w:t xml:space="preserve"> </w:t>
          </w:r>
          <w:r w:rsidR="00527AFC" w:rsidRPr="00527AFC">
            <w:rPr>
              <w:rFonts w:asciiTheme="minorHAnsi" w:hAnsiTheme="minorHAnsi" w:cstheme="minorHAnsi"/>
              <w:noProof/>
              <w:color w:val="000000"/>
            </w:rPr>
            <w:t>(Ashmans Solicitors , 2022)</w:t>
          </w:r>
          <w:r w:rsidR="00527AFC">
            <w:rPr>
              <w:rStyle w:val="legds"/>
              <w:rFonts w:asciiTheme="minorHAnsi" w:hAnsiTheme="minorHAnsi" w:cstheme="minorHAnsi"/>
              <w:color w:val="000000"/>
            </w:rPr>
            <w:fldChar w:fldCharType="end"/>
          </w:r>
        </w:sdtContent>
      </w:sdt>
      <w:r w:rsidR="00527AFC">
        <w:rPr>
          <w:rStyle w:val="legds"/>
          <w:rFonts w:asciiTheme="minorHAnsi" w:hAnsiTheme="minorHAnsi" w:cstheme="minorHAnsi"/>
          <w:color w:val="000000"/>
        </w:rPr>
        <w:t xml:space="preserve">. </w:t>
      </w:r>
      <w:r w:rsidR="00376FD9" w:rsidRPr="00376FD9">
        <w:rPr>
          <w:rStyle w:val="legds"/>
          <w:rFonts w:asciiTheme="minorHAnsi" w:hAnsiTheme="minorHAnsi" w:cstheme="minorHAnsi"/>
          <w:color w:val="000000"/>
        </w:rPr>
        <w:t>The requirements for diminished responsibility under Section 2 of the Homicide Act 1957 are met by those who have a diminished capacity for responsibility. When someone is accused of murder, the defendant must demonstrate his innocence in accordance with this section, that he understood the nature of their actions, to arrive at a rational decision, and to show self-control. </w:t>
      </w:r>
      <w:r w:rsidR="00C56D4F">
        <w:rPr>
          <w:rStyle w:val="legds"/>
          <w:rFonts w:asciiTheme="minorHAnsi" w:hAnsiTheme="minorHAnsi" w:cstheme="minorHAnsi"/>
          <w:color w:val="000000"/>
        </w:rPr>
        <w:t>“</w:t>
      </w:r>
      <w:r w:rsidR="00C56D4F" w:rsidRPr="00C56D4F">
        <w:rPr>
          <w:rStyle w:val="legds"/>
          <w:rFonts w:asciiTheme="minorHAnsi" w:hAnsiTheme="minorHAnsi" w:cstheme="minorHAnsi"/>
          <w:color w:val="000000"/>
        </w:rPr>
        <w:t xml:space="preserve">It involves both psychological and psychiatric illnesses as well as physical medical diseases. Consequently, diseases that are not mental disorders but may impair a person's capacity to perform the tasks listed in s. 2(1A), such as alcohol dependency syndrome, diabetes, and epilepsy, are </w:t>
      </w:r>
      <w:r w:rsidR="00C56D4F" w:rsidRPr="00C56D4F">
        <w:rPr>
          <w:rStyle w:val="legds"/>
          <w:rFonts w:asciiTheme="minorHAnsi" w:hAnsiTheme="minorHAnsi" w:cstheme="minorHAnsi"/>
          <w:color w:val="000000"/>
        </w:rPr>
        <w:lastRenderedPageBreak/>
        <w:t>covered. The defence will continue to be potentially available to victims of ongoing domestic violence or sexual abuse because depressive diseases will be covered</w:t>
      </w:r>
      <w:r w:rsidR="00C56D4F">
        <w:rPr>
          <w:rStyle w:val="legds"/>
          <w:rFonts w:asciiTheme="minorHAnsi" w:hAnsiTheme="minorHAnsi" w:cstheme="minorHAnsi"/>
          <w:color w:val="000000"/>
        </w:rPr>
        <w:t>”</w:t>
      </w:r>
      <w:sdt>
        <w:sdtPr>
          <w:rPr>
            <w:rStyle w:val="legds"/>
            <w:rFonts w:asciiTheme="minorHAnsi" w:hAnsiTheme="minorHAnsi" w:cstheme="minorHAnsi"/>
            <w:color w:val="000000"/>
          </w:rPr>
          <w:id w:val="409199012"/>
          <w:citation/>
        </w:sdtPr>
        <w:sdtContent>
          <w:r w:rsidR="00C56D4F">
            <w:rPr>
              <w:rStyle w:val="legds"/>
              <w:rFonts w:asciiTheme="minorHAnsi" w:hAnsiTheme="minorHAnsi" w:cstheme="minorHAnsi"/>
              <w:color w:val="000000"/>
            </w:rPr>
            <w:fldChar w:fldCharType="begin"/>
          </w:r>
          <w:r w:rsidR="00C56D4F">
            <w:rPr>
              <w:rStyle w:val="legds"/>
              <w:rFonts w:asciiTheme="minorHAnsi" w:hAnsiTheme="minorHAnsi" w:cstheme="minorHAnsi"/>
              <w:color w:val="000000"/>
            </w:rPr>
            <w:instrText xml:space="preserve"> CITATION Ian21 \l 2057 </w:instrText>
          </w:r>
          <w:r w:rsidR="00C56D4F">
            <w:rPr>
              <w:rStyle w:val="legds"/>
              <w:rFonts w:asciiTheme="minorHAnsi" w:hAnsiTheme="minorHAnsi" w:cstheme="minorHAnsi"/>
              <w:color w:val="000000"/>
            </w:rPr>
            <w:fldChar w:fldCharType="separate"/>
          </w:r>
          <w:r w:rsidR="00C56D4F">
            <w:rPr>
              <w:rStyle w:val="legds"/>
              <w:rFonts w:asciiTheme="minorHAnsi" w:hAnsiTheme="minorHAnsi" w:cstheme="minorHAnsi"/>
              <w:noProof/>
              <w:color w:val="000000"/>
            </w:rPr>
            <w:t xml:space="preserve"> </w:t>
          </w:r>
          <w:r w:rsidR="00C56D4F" w:rsidRPr="00C56D4F">
            <w:rPr>
              <w:rFonts w:asciiTheme="minorHAnsi" w:hAnsiTheme="minorHAnsi" w:cstheme="minorHAnsi"/>
              <w:noProof/>
              <w:color w:val="000000"/>
            </w:rPr>
            <w:t>(Ian Edwards, 2021)</w:t>
          </w:r>
          <w:r w:rsidR="00C56D4F">
            <w:rPr>
              <w:rStyle w:val="legds"/>
              <w:rFonts w:asciiTheme="minorHAnsi" w:hAnsiTheme="minorHAnsi" w:cstheme="minorHAnsi"/>
              <w:color w:val="000000"/>
            </w:rPr>
            <w:fldChar w:fldCharType="end"/>
          </w:r>
        </w:sdtContent>
      </w:sdt>
      <w:r w:rsidR="00C56D4F">
        <w:rPr>
          <w:rStyle w:val="legds"/>
          <w:rFonts w:asciiTheme="minorHAnsi" w:hAnsiTheme="minorHAnsi" w:cstheme="minorHAnsi"/>
          <w:color w:val="000000"/>
        </w:rPr>
        <w:t xml:space="preserve">. </w:t>
      </w:r>
    </w:p>
    <w:p w14:paraId="59F254D8" w14:textId="1D788C70" w:rsidR="00A370BB" w:rsidRDefault="00204722"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r>
        <w:rPr>
          <w:rStyle w:val="legds"/>
          <w:rFonts w:asciiTheme="minorHAnsi" w:hAnsiTheme="minorHAnsi" w:cstheme="minorHAnsi"/>
          <w:color w:val="000000"/>
        </w:rPr>
        <w:t xml:space="preserve">There was a need for change within the </w:t>
      </w:r>
      <w:r w:rsidR="00316ADB">
        <w:rPr>
          <w:rStyle w:val="legds"/>
          <w:rFonts w:asciiTheme="minorHAnsi" w:hAnsiTheme="minorHAnsi" w:cstheme="minorHAnsi"/>
          <w:color w:val="000000"/>
        </w:rPr>
        <w:t>Homicide</w:t>
      </w:r>
      <w:r>
        <w:rPr>
          <w:rStyle w:val="legds"/>
          <w:rFonts w:asciiTheme="minorHAnsi" w:hAnsiTheme="minorHAnsi" w:cstheme="minorHAnsi"/>
          <w:color w:val="000000"/>
        </w:rPr>
        <w:t xml:space="preserve"> Act 1957</w:t>
      </w:r>
      <w:r w:rsidR="00316ADB">
        <w:rPr>
          <w:rStyle w:val="legds"/>
          <w:rFonts w:asciiTheme="minorHAnsi" w:hAnsiTheme="minorHAnsi" w:cstheme="minorHAnsi"/>
          <w:color w:val="000000"/>
        </w:rPr>
        <w:t xml:space="preserve">. The law was outdated and needed adjustments. </w:t>
      </w:r>
      <w:r w:rsidR="00926CFC" w:rsidRPr="00926CFC">
        <w:rPr>
          <w:rStyle w:val="legds"/>
          <w:rFonts w:asciiTheme="minorHAnsi" w:hAnsiTheme="minorHAnsi" w:cstheme="minorHAnsi"/>
          <w:color w:val="000000"/>
        </w:rPr>
        <w:t xml:space="preserve">As an example, "the problem with the defence as originally implemented was the imprecise vocabulary utilised, which did not simply map onto the language which psychiatrists would use. In </w:t>
      </w:r>
      <w:r w:rsidR="00B17061">
        <w:rPr>
          <w:rStyle w:val="legds"/>
          <w:rFonts w:asciiTheme="minorHAnsi" w:hAnsiTheme="minorHAnsi" w:cstheme="minorHAnsi"/>
          <w:color w:val="000000"/>
        </w:rPr>
        <w:t xml:space="preserve">R v </w:t>
      </w:r>
      <w:r w:rsidR="00926CFC" w:rsidRPr="00926CFC">
        <w:rPr>
          <w:rStyle w:val="legds"/>
          <w:rFonts w:asciiTheme="minorHAnsi" w:hAnsiTheme="minorHAnsi" w:cstheme="minorHAnsi"/>
          <w:color w:val="000000"/>
        </w:rPr>
        <w:t>Byrne</w:t>
      </w:r>
      <w:r w:rsidR="00B17061">
        <w:rPr>
          <w:rStyle w:val="legds"/>
          <w:rFonts w:asciiTheme="minorHAnsi" w:hAnsiTheme="minorHAnsi" w:cstheme="minorHAnsi"/>
          <w:color w:val="000000"/>
        </w:rPr>
        <w:t xml:space="preserve"> (1960)</w:t>
      </w:r>
      <w:r w:rsidR="00926CFC" w:rsidRPr="00926CFC">
        <w:rPr>
          <w:rStyle w:val="legds"/>
          <w:rFonts w:asciiTheme="minorHAnsi" w:hAnsiTheme="minorHAnsi" w:cstheme="minorHAnsi"/>
          <w:color w:val="000000"/>
        </w:rPr>
        <w:t>, Lord Parker CJ described "abnormality of mind"</w:t>
      </w:r>
      <w:r w:rsidR="00B17061">
        <w:rPr>
          <w:rStyle w:val="legds"/>
          <w:rFonts w:asciiTheme="minorHAnsi" w:hAnsiTheme="minorHAnsi" w:cstheme="minorHAnsi"/>
          <w:color w:val="000000"/>
        </w:rPr>
        <w:t xml:space="preserve">. </w:t>
      </w:r>
      <w:r w:rsidR="00095210">
        <w:rPr>
          <w:rStyle w:val="legds"/>
          <w:rFonts w:asciiTheme="minorHAnsi" w:hAnsiTheme="minorHAnsi" w:cstheme="minorHAnsi"/>
          <w:color w:val="000000"/>
        </w:rPr>
        <w:t>He states “</w:t>
      </w:r>
      <w:r w:rsidR="00095210" w:rsidRPr="00095210">
        <w:rPr>
          <w:rStyle w:val="legds"/>
          <w:rFonts w:asciiTheme="minorHAnsi" w:hAnsiTheme="minorHAnsi" w:cstheme="minorHAnsi"/>
          <w:color w:val="000000"/>
        </w:rPr>
        <w:t>a mental state that is so different from that of regular people that a reasonable person would consider it abnormal. It seems to us to be broad enough to include all of the mind's functions, including observation of physical acts and matters, the capacity to decide rationally whether an action is right or wrong, and the capacity to use willpower to restrain physical actions in line with that decision</w:t>
      </w:r>
      <w:r w:rsidR="00095210">
        <w:rPr>
          <w:rStyle w:val="legds"/>
          <w:rFonts w:asciiTheme="minorHAnsi" w:hAnsiTheme="minorHAnsi" w:cstheme="minorHAnsi"/>
          <w:color w:val="000000"/>
        </w:rPr>
        <w:t xml:space="preserve">”. </w:t>
      </w:r>
      <w:r w:rsidR="009E11BC">
        <w:rPr>
          <w:rStyle w:val="legds"/>
          <w:rFonts w:asciiTheme="minorHAnsi" w:hAnsiTheme="minorHAnsi" w:cstheme="minorHAnsi"/>
          <w:color w:val="000000"/>
        </w:rPr>
        <w:t xml:space="preserve"> Another example would be </w:t>
      </w:r>
      <w:r w:rsidR="007A60DC">
        <w:rPr>
          <w:rStyle w:val="legds"/>
          <w:rFonts w:asciiTheme="minorHAnsi" w:hAnsiTheme="minorHAnsi" w:cstheme="minorHAnsi"/>
          <w:color w:val="000000"/>
        </w:rPr>
        <w:t xml:space="preserve">in </w:t>
      </w:r>
      <w:r w:rsidR="00A53C88">
        <w:rPr>
          <w:rStyle w:val="legds"/>
          <w:rFonts w:asciiTheme="minorHAnsi" w:hAnsiTheme="minorHAnsi" w:cstheme="minorHAnsi"/>
          <w:color w:val="000000"/>
        </w:rPr>
        <w:t xml:space="preserve">R v Golds (2016) </w:t>
      </w:r>
      <w:r w:rsidR="00A53C88" w:rsidRPr="00A53C88">
        <w:rPr>
          <w:rStyle w:val="legds"/>
          <w:rFonts w:asciiTheme="minorHAnsi" w:hAnsiTheme="minorHAnsi" w:cstheme="minorHAnsi"/>
          <w:color w:val="000000"/>
        </w:rPr>
        <w:t xml:space="preserve">The reason the defendant was only found guilty of manslaughter rather than murder was due to his limited mental capacity. Both the question of moral culpability and the question of capability need consideration of the strength of </w:t>
      </w:r>
      <w:r w:rsidR="008D67A6" w:rsidRPr="00A53C88">
        <w:rPr>
          <w:rStyle w:val="legds"/>
          <w:rFonts w:asciiTheme="minorHAnsi" w:hAnsiTheme="minorHAnsi" w:cstheme="minorHAnsi"/>
          <w:color w:val="000000"/>
        </w:rPr>
        <w:t>any connection</w:t>
      </w:r>
      <w:r w:rsidR="00A53C88" w:rsidRPr="00A53C88">
        <w:rPr>
          <w:rStyle w:val="legds"/>
          <w:rFonts w:asciiTheme="minorHAnsi" w:hAnsiTheme="minorHAnsi" w:cstheme="minorHAnsi"/>
          <w:color w:val="000000"/>
        </w:rPr>
        <w:t xml:space="preserve"> between the condition and the action.</w:t>
      </w:r>
      <w:r w:rsidR="008D67A6">
        <w:rPr>
          <w:rStyle w:val="legds"/>
          <w:rFonts w:asciiTheme="minorHAnsi" w:hAnsiTheme="minorHAnsi" w:cstheme="minorHAnsi"/>
          <w:color w:val="000000"/>
        </w:rPr>
        <w:t xml:space="preserve"> Within s.52 Coroners and Justice Act (2009) it states “</w:t>
      </w:r>
      <w:r w:rsidR="008D67A6" w:rsidRPr="00DB7EA9">
        <w:rPr>
          <w:rStyle w:val="legds"/>
          <w:rFonts w:asciiTheme="minorHAnsi" w:hAnsiTheme="minorHAnsi" w:cstheme="minorHAnsi"/>
          <w:color w:val="000000"/>
        </w:rPr>
        <w:t>The legal definition of mental functioning was amended from abnormality of the mind (Mental responsibility) in 1957 to mental functioning in 2009. (Medical condition)</w:t>
      </w:r>
      <w:r w:rsidR="008D67A6">
        <w:rPr>
          <w:rStyle w:val="legds"/>
          <w:rFonts w:asciiTheme="minorHAnsi" w:hAnsiTheme="minorHAnsi" w:cstheme="minorHAnsi"/>
          <w:color w:val="000000"/>
        </w:rPr>
        <w:t>”</w:t>
      </w:r>
    </w:p>
    <w:p w14:paraId="324709E7" w14:textId="636A8AB8" w:rsidR="0086747A" w:rsidRDefault="00662B19" w:rsidP="0086747A">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r>
        <w:rPr>
          <w:rStyle w:val="legds"/>
          <w:rFonts w:asciiTheme="minorHAnsi" w:hAnsiTheme="minorHAnsi" w:cstheme="minorHAnsi"/>
          <w:color w:val="000000"/>
        </w:rPr>
        <w:t xml:space="preserve">There are a range of </w:t>
      </w:r>
      <w:r w:rsidR="00842A31">
        <w:rPr>
          <w:rStyle w:val="legds"/>
          <w:rFonts w:asciiTheme="minorHAnsi" w:hAnsiTheme="minorHAnsi" w:cstheme="minorHAnsi"/>
          <w:color w:val="000000"/>
        </w:rPr>
        <w:t>advantages</w:t>
      </w:r>
      <w:r>
        <w:rPr>
          <w:rStyle w:val="legds"/>
          <w:rFonts w:asciiTheme="minorHAnsi" w:hAnsiTheme="minorHAnsi" w:cstheme="minorHAnsi"/>
          <w:color w:val="000000"/>
        </w:rPr>
        <w:t xml:space="preserve"> </w:t>
      </w:r>
      <w:r w:rsidR="00EE7CF3">
        <w:rPr>
          <w:rStyle w:val="legds"/>
          <w:rFonts w:asciiTheme="minorHAnsi" w:hAnsiTheme="minorHAnsi" w:cstheme="minorHAnsi"/>
          <w:color w:val="000000"/>
        </w:rPr>
        <w:t xml:space="preserve">such as </w:t>
      </w:r>
      <w:r w:rsidR="00842A31">
        <w:rPr>
          <w:rStyle w:val="legds"/>
          <w:rFonts w:asciiTheme="minorHAnsi" w:hAnsiTheme="minorHAnsi" w:cstheme="minorHAnsi"/>
          <w:color w:val="000000"/>
        </w:rPr>
        <w:t>“This</w:t>
      </w:r>
      <w:r w:rsidR="00EE7CF3">
        <w:rPr>
          <w:rStyle w:val="legds"/>
          <w:rFonts w:asciiTheme="minorHAnsi" w:hAnsiTheme="minorHAnsi" w:cstheme="minorHAnsi"/>
          <w:color w:val="000000"/>
        </w:rPr>
        <w:t xml:space="preserve"> act changed the defence and made it</w:t>
      </w:r>
      <w:r w:rsidR="00326E9A">
        <w:rPr>
          <w:rStyle w:val="legds"/>
          <w:rFonts w:asciiTheme="minorHAnsi" w:hAnsiTheme="minorHAnsi" w:cstheme="minorHAnsi"/>
          <w:color w:val="000000"/>
        </w:rPr>
        <w:t xml:space="preserve"> clear that a conviction for provocation will turn a murder allegation into a </w:t>
      </w:r>
      <w:r w:rsidR="00842A31">
        <w:rPr>
          <w:rStyle w:val="legds"/>
          <w:rFonts w:asciiTheme="minorHAnsi" w:hAnsiTheme="minorHAnsi" w:cstheme="minorHAnsi"/>
          <w:color w:val="000000"/>
        </w:rPr>
        <w:t>voluntary</w:t>
      </w:r>
      <w:r w:rsidR="00326E9A">
        <w:rPr>
          <w:rStyle w:val="legds"/>
          <w:rFonts w:asciiTheme="minorHAnsi" w:hAnsiTheme="minorHAnsi" w:cstheme="minorHAnsi"/>
          <w:color w:val="000000"/>
        </w:rPr>
        <w:t xml:space="preserve"> </w:t>
      </w:r>
      <w:r w:rsidR="00C652E2">
        <w:rPr>
          <w:rStyle w:val="legds"/>
          <w:rFonts w:asciiTheme="minorHAnsi" w:hAnsiTheme="minorHAnsi" w:cstheme="minorHAnsi"/>
          <w:color w:val="000000"/>
        </w:rPr>
        <w:t xml:space="preserve">manslaughter. This is favourable for the defendant because it </w:t>
      </w:r>
      <w:r w:rsidR="00842A31">
        <w:rPr>
          <w:rStyle w:val="legds"/>
          <w:rFonts w:asciiTheme="minorHAnsi" w:hAnsiTheme="minorHAnsi" w:cstheme="minorHAnsi"/>
          <w:color w:val="000000"/>
        </w:rPr>
        <w:t xml:space="preserve">leads to a potentially lower action being taken </w:t>
      </w:r>
      <w:sdt>
        <w:sdtPr>
          <w:rPr>
            <w:rStyle w:val="legds"/>
            <w:rFonts w:asciiTheme="minorHAnsi" w:hAnsiTheme="minorHAnsi" w:cstheme="minorHAnsi"/>
            <w:color w:val="000000"/>
          </w:rPr>
          <w:id w:val="-666936573"/>
          <w:citation/>
        </w:sdtPr>
        <w:sdtContent>
          <w:r w:rsidR="00842A31">
            <w:rPr>
              <w:rStyle w:val="legds"/>
              <w:rFonts w:asciiTheme="minorHAnsi" w:hAnsiTheme="minorHAnsi" w:cstheme="minorHAnsi"/>
              <w:color w:val="000000"/>
            </w:rPr>
            <w:fldChar w:fldCharType="begin"/>
          </w:r>
          <w:r w:rsidR="00842A31">
            <w:rPr>
              <w:rStyle w:val="legds"/>
              <w:rFonts w:asciiTheme="minorHAnsi" w:hAnsiTheme="minorHAnsi" w:cstheme="minorHAnsi"/>
              <w:color w:val="000000"/>
            </w:rPr>
            <w:instrText xml:space="preserve"> CITATION Car14 \l 2057 </w:instrText>
          </w:r>
          <w:r w:rsidR="00842A31">
            <w:rPr>
              <w:rStyle w:val="legds"/>
              <w:rFonts w:asciiTheme="minorHAnsi" w:hAnsiTheme="minorHAnsi" w:cstheme="minorHAnsi"/>
              <w:color w:val="000000"/>
            </w:rPr>
            <w:fldChar w:fldCharType="separate"/>
          </w:r>
          <w:r w:rsidR="00842A31" w:rsidRPr="00842A31">
            <w:rPr>
              <w:rFonts w:asciiTheme="minorHAnsi" w:hAnsiTheme="minorHAnsi" w:cstheme="minorHAnsi"/>
              <w:noProof/>
              <w:color w:val="000000"/>
            </w:rPr>
            <w:t>(Blockley, 2014)</w:t>
          </w:r>
          <w:r w:rsidR="00842A31">
            <w:rPr>
              <w:rStyle w:val="legds"/>
              <w:rFonts w:asciiTheme="minorHAnsi" w:hAnsiTheme="minorHAnsi" w:cstheme="minorHAnsi"/>
              <w:color w:val="000000"/>
            </w:rPr>
            <w:fldChar w:fldCharType="end"/>
          </w:r>
        </w:sdtContent>
      </w:sdt>
      <w:r w:rsidR="00842A31">
        <w:rPr>
          <w:rStyle w:val="legds"/>
          <w:rFonts w:asciiTheme="minorHAnsi" w:hAnsiTheme="minorHAnsi" w:cstheme="minorHAnsi"/>
          <w:color w:val="000000"/>
        </w:rPr>
        <w:t xml:space="preserve">. Also </w:t>
      </w:r>
      <w:r w:rsidR="00947CCA">
        <w:rPr>
          <w:rStyle w:val="legds"/>
          <w:rFonts w:asciiTheme="minorHAnsi" w:hAnsiTheme="minorHAnsi" w:cstheme="minorHAnsi"/>
          <w:color w:val="000000"/>
        </w:rPr>
        <w:t>“The</w:t>
      </w:r>
      <w:r w:rsidR="00842A31">
        <w:rPr>
          <w:rStyle w:val="legds"/>
          <w:rFonts w:asciiTheme="minorHAnsi" w:hAnsiTheme="minorHAnsi" w:cstheme="minorHAnsi"/>
          <w:color w:val="000000"/>
        </w:rPr>
        <w:t xml:space="preserve"> Coroners and Justice Act 2009 </w:t>
      </w:r>
      <w:r w:rsidR="008754A7">
        <w:rPr>
          <w:rStyle w:val="legds"/>
          <w:rFonts w:asciiTheme="minorHAnsi" w:hAnsiTheme="minorHAnsi" w:cstheme="minorHAnsi"/>
          <w:color w:val="000000"/>
        </w:rPr>
        <w:t>eliminates</w:t>
      </w:r>
      <w:r w:rsidR="00842A31">
        <w:rPr>
          <w:rStyle w:val="legds"/>
          <w:rFonts w:asciiTheme="minorHAnsi" w:hAnsiTheme="minorHAnsi" w:cstheme="minorHAnsi"/>
          <w:color w:val="000000"/>
        </w:rPr>
        <w:t xml:space="preserve"> the </w:t>
      </w:r>
      <w:r w:rsidR="008754A7">
        <w:rPr>
          <w:rStyle w:val="legds"/>
          <w:rFonts w:asciiTheme="minorHAnsi" w:hAnsiTheme="minorHAnsi" w:cstheme="minorHAnsi"/>
          <w:color w:val="000000"/>
        </w:rPr>
        <w:t>partial</w:t>
      </w:r>
      <w:r w:rsidR="00842A31">
        <w:rPr>
          <w:rStyle w:val="legds"/>
          <w:rFonts w:asciiTheme="minorHAnsi" w:hAnsiTheme="minorHAnsi" w:cstheme="minorHAnsi"/>
          <w:color w:val="000000"/>
        </w:rPr>
        <w:t xml:space="preserve"> defence</w:t>
      </w:r>
      <w:r w:rsidR="008754A7">
        <w:rPr>
          <w:rStyle w:val="legds"/>
          <w:rFonts w:asciiTheme="minorHAnsi" w:hAnsiTheme="minorHAnsi" w:cstheme="minorHAnsi"/>
          <w:color w:val="000000"/>
        </w:rPr>
        <w:t xml:space="preserve"> to murder known as provocation under common law and replaces it with a new partial defence known as loss of control</w:t>
      </w:r>
      <w:sdt>
        <w:sdtPr>
          <w:rPr>
            <w:rStyle w:val="legds"/>
            <w:rFonts w:asciiTheme="minorHAnsi" w:hAnsiTheme="minorHAnsi" w:cstheme="minorHAnsi"/>
            <w:color w:val="000000"/>
          </w:rPr>
          <w:id w:val="2041240860"/>
          <w:citation/>
        </w:sdtPr>
        <w:sdtContent>
          <w:r w:rsidR="00AF5537">
            <w:rPr>
              <w:rStyle w:val="legds"/>
              <w:rFonts w:asciiTheme="minorHAnsi" w:hAnsiTheme="minorHAnsi" w:cstheme="minorHAnsi"/>
              <w:color w:val="000000"/>
            </w:rPr>
            <w:fldChar w:fldCharType="begin"/>
          </w:r>
          <w:r w:rsidR="00AF5537">
            <w:rPr>
              <w:rStyle w:val="legds"/>
              <w:rFonts w:asciiTheme="minorHAnsi" w:hAnsiTheme="minorHAnsi" w:cstheme="minorHAnsi"/>
              <w:color w:val="000000"/>
            </w:rPr>
            <w:instrText xml:space="preserve"> CITATION ACl10 \l 2057 </w:instrText>
          </w:r>
          <w:r w:rsidR="00AF5537">
            <w:rPr>
              <w:rStyle w:val="legds"/>
              <w:rFonts w:asciiTheme="minorHAnsi" w:hAnsiTheme="minorHAnsi" w:cstheme="minorHAnsi"/>
              <w:color w:val="000000"/>
            </w:rPr>
            <w:fldChar w:fldCharType="separate"/>
          </w:r>
          <w:r w:rsidR="00AF5537">
            <w:rPr>
              <w:rStyle w:val="legds"/>
              <w:rFonts w:asciiTheme="minorHAnsi" w:hAnsiTheme="minorHAnsi" w:cstheme="minorHAnsi"/>
              <w:noProof/>
              <w:color w:val="000000"/>
            </w:rPr>
            <w:t xml:space="preserve"> </w:t>
          </w:r>
          <w:r w:rsidR="00AF5537" w:rsidRPr="00AF5537">
            <w:rPr>
              <w:rFonts w:asciiTheme="minorHAnsi" w:hAnsiTheme="minorHAnsi" w:cstheme="minorHAnsi"/>
              <w:noProof/>
              <w:color w:val="000000"/>
            </w:rPr>
            <w:t>(Clough, 2010)</w:t>
          </w:r>
          <w:r w:rsidR="00AF5537">
            <w:rPr>
              <w:rStyle w:val="legds"/>
              <w:rFonts w:asciiTheme="minorHAnsi" w:hAnsiTheme="minorHAnsi" w:cstheme="minorHAnsi"/>
              <w:color w:val="000000"/>
            </w:rPr>
            <w:fldChar w:fldCharType="end"/>
          </w:r>
        </w:sdtContent>
      </w:sdt>
      <w:r w:rsidR="00AF5537">
        <w:rPr>
          <w:rStyle w:val="legds"/>
          <w:rFonts w:asciiTheme="minorHAnsi" w:hAnsiTheme="minorHAnsi" w:cstheme="minorHAnsi"/>
          <w:color w:val="000000"/>
        </w:rPr>
        <w:t xml:space="preserve">. </w:t>
      </w:r>
      <w:r w:rsidR="0086747A">
        <w:rPr>
          <w:rStyle w:val="legds"/>
          <w:rFonts w:asciiTheme="minorHAnsi" w:hAnsiTheme="minorHAnsi" w:cstheme="minorHAnsi"/>
          <w:color w:val="000000"/>
        </w:rPr>
        <w:t>In addition to this, “</w:t>
      </w:r>
      <w:r w:rsidR="0086747A" w:rsidRPr="00A873D8">
        <w:rPr>
          <w:rStyle w:val="legds"/>
          <w:rFonts w:asciiTheme="minorHAnsi" w:hAnsiTheme="minorHAnsi" w:cstheme="minorHAnsi"/>
          <w:color w:val="000000"/>
        </w:rPr>
        <w:t>Since "abnormality of mental functioning" covers a larger range of conditions than "abnormality of mind," which concentrates on three specific causes, physical, psychological and psychiatric</w:t>
      </w:r>
      <w:r w:rsidR="0086747A">
        <w:rPr>
          <w:rStyle w:val="legds"/>
          <w:rFonts w:asciiTheme="minorHAnsi" w:hAnsiTheme="minorHAnsi" w:cstheme="minorHAnsi"/>
          <w:color w:val="000000"/>
        </w:rPr>
        <w:t xml:space="preserve"> it gives a wider perspective”</w:t>
      </w:r>
      <w:sdt>
        <w:sdtPr>
          <w:rPr>
            <w:rStyle w:val="legds"/>
            <w:rFonts w:asciiTheme="minorHAnsi" w:hAnsiTheme="minorHAnsi" w:cstheme="minorHAnsi"/>
            <w:color w:val="000000"/>
          </w:rPr>
          <w:id w:val="-1201166123"/>
          <w:citation/>
        </w:sdtPr>
        <w:sdtContent>
          <w:r w:rsidR="0086747A">
            <w:rPr>
              <w:rStyle w:val="legds"/>
              <w:rFonts w:asciiTheme="minorHAnsi" w:hAnsiTheme="minorHAnsi" w:cstheme="minorHAnsi"/>
              <w:color w:val="000000"/>
            </w:rPr>
            <w:fldChar w:fldCharType="begin"/>
          </w:r>
          <w:r w:rsidR="0086747A">
            <w:rPr>
              <w:rStyle w:val="legds"/>
              <w:rFonts w:asciiTheme="minorHAnsi" w:hAnsiTheme="minorHAnsi" w:cstheme="minorHAnsi"/>
              <w:color w:val="000000"/>
            </w:rPr>
            <w:instrText xml:space="preserve"> CITATION MIC211 \l 2057 </w:instrText>
          </w:r>
          <w:r w:rsidR="0086747A">
            <w:rPr>
              <w:rStyle w:val="legds"/>
              <w:rFonts w:asciiTheme="minorHAnsi" w:hAnsiTheme="minorHAnsi" w:cstheme="minorHAnsi"/>
              <w:color w:val="000000"/>
            </w:rPr>
            <w:fldChar w:fldCharType="separate"/>
          </w:r>
          <w:r w:rsidR="0086747A">
            <w:rPr>
              <w:rStyle w:val="legds"/>
              <w:rFonts w:asciiTheme="minorHAnsi" w:hAnsiTheme="minorHAnsi" w:cstheme="minorHAnsi"/>
              <w:noProof/>
              <w:color w:val="000000"/>
            </w:rPr>
            <w:t xml:space="preserve"> </w:t>
          </w:r>
          <w:r w:rsidR="0086747A" w:rsidRPr="00C461E6">
            <w:rPr>
              <w:rFonts w:asciiTheme="minorHAnsi" w:hAnsiTheme="minorHAnsi" w:cstheme="minorHAnsi"/>
              <w:noProof/>
              <w:color w:val="000000"/>
            </w:rPr>
            <w:t>(EDWARDS, 2021)</w:t>
          </w:r>
          <w:r w:rsidR="0086747A">
            <w:rPr>
              <w:rStyle w:val="legds"/>
              <w:rFonts w:asciiTheme="minorHAnsi" w:hAnsiTheme="minorHAnsi" w:cstheme="minorHAnsi"/>
              <w:color w:val="000000"/>
            </w:rPr>
            <w:fldChar w:fldCharType="end"/>
          </w:r>
        </w:sdtContent>
      </w:sdt>
      <w:r w:rsidR="0086747A">
        <w:rPr>
          <w:rStyle w:val="legds"/>
          <w:rFonts w:asciiTheme="minorHAnsi" w:hAnsiTheme="minorHAnsi" w:cstheme="minorHAnsi"/>
          <w:color w:val="000000"/>
        </w:rPr>
        <w:t>. In addition to this another advantage would be that “</w:t>
      </w:r>
      <w:r w:rsidR="0086747A" w:rsidRPr="00D3465F">
        <w:rPr>
          <w:rStyle w:val="legds"/>
          <w:rFonts w:asciiTheme="minorHAnsi" w:hAnsiTheme="minorHAnsi" w:cstheme="minorHAnsi"/>
          <w:color w:val="000000"/>
        </w:rPr>
        <w:t>The defence is still possibly applicable to victims of continuous domestic violence and sexual abuse because depressive disorder is covered</w:t>
      </w:r>
      <w:r w:rsidR="0086747A">
        <w:rPr>
          <w:rStyle w:val="legds"/>
          <w:rFonts w:asciiTheme="minorHAnsi" w:hAnsiTheme="minorHAnsi" w:cstheme="minorHAnsi"/>
          <w:color w:val="000000"/>
        </w:rPr>
        <w:t>”</w:t>
      </w:r>
      <w:sdt>
        <w:sdtPr>
          <w:rPr>
            <w:rStyle w:val="legds"/>
            <w:rFonts w:asciiTheme="minorHAnsi" w:hAnsiTheme="minorHAnsi" w:cstheme="minorHAnsi"/>
            <w:color w:val="000000"/>
          </w:rPr>
          <w:id w:val="-1423094117"/>
          <w:citation/>
        </w:sdtPr>
        <w:sdtContent>
          <w:r w:rsidR="0086747A">
            <w:rPr>
              <w:rStyle w:val="legds"/>
              <w:rFonts w:asciiTheme="minorHAnsi" w:hAnsiTheme="minorHAnsi" w:cstheme="minorHAnsi"/>
              <w:color w:val="000000"/>
            </w:rPr>
            <w:fldChar w:fldCharType="begin"/>
          </w:r>
          <w:r w:rsidR="0086747A">
            <w:rPr>
              <w:rStyle w:val="legds"/>
              <w:rFonts w:asciiTheme="minorHAnsi" w:hAnsiTheme="minorHAnsi" w:cstheme="minorHAnsi"/>
              <w:color w:val="000000"/>
            </w:rPr>
            <w:instrText xml:space="preserve"> CITATION MIC211 \l 2057 </w:instrText>
          </w:r>
          <w:r w:rsidR="0086747A">
            <w:rPr>
              <w:rStyle w:val="legds"/>
              <w:rFonts w:asciiTheme="minorHAnsi" w:hAnsiTheme="minorHAnsi" w:cstheme="minorHAnsi"/>
              <w:color w:val="000000"/>
            </w:rPr>
            <w:fldChar w:fldCharType="separate"/>
          </w:r>
          <w:r w:rsidR="0086747A">
            <w:rPr>
              <w:rStyle w:val="legds"/>
              <w:rFonts w:asciiTheme="minorHAnsi" w:hAnsiTheme="minorHAnsi" w:cstheme="minorHAnsi"/>
              <w:noProof/>
              <w:color w:val="000000"/>
            </w:rPr>
            <w:t xml:space="preserve"> </w:t>
          </w:r>
          <w:r w:rsidR="0086747A" w:rsidRPr="00D3465F">
            <w:rPr>
              <w:rFonts w:asciiTheme="minorHAnsi" w:hAnsiTheme="minorHAnsi" w:cstheme="minorHAnsi"/>
              <w:noProof/>
              <w:color w:val="000000"/>
            </w:rPr>
            <w:t>(EDWARDS, 2021)</w:t>
          </w:r>
          <w:r w:rsidR="0086747A">
            <w:rPr>
              <w:rStyle w:val="legds"/>
              <w:rFonts w:asciiTheme="minorHAnsi" w:hAnsiTheme="minorHAnsi" w:cstheme="minorHAnsi"/>
              <w:color w:val="000000"/>
            </w:rPr>
            <w:fldChar w:fldCharType="end"/>
          </w:r>
        </w:sdtContent>
      </w:sdt>
      <w:r w:rsidR="0086747A">
        <w:rPr>
          <w:rStyle w:val="legds"/>
          <w:rFonts w:asciiTheme="minorHAnsi" w:hAnsiTheme="minorHAnsi" w:cstheme="minorHAnsi"/>
          <w:color w:val="000000"/>
        </w:rPr>
        <w:t>. Another advantage would be “</w:t>
      </w:r>
      <w:r w:rsidR="0086747A" w:rsidRPr="00683674">
        <w:rPr>
          <w:rStyle w:val="legds"/>
          <w:rFonts w:asciiTheme="minorHAnsi" w:hAnsiTheme="minorHAnsi" w:cstheme="minorHAnsi"/>
          <w:color w:val="000000"/>
        </w:rPr>
        <w:t>A jury is undoubtedly not obligated by the expert... Yet if the jury is to be given the option to disregard the expert's assessment, at the very least, a compelling argument for doing so must be made. The Crown is not permitted in this type of circumstance to simply ask the jury to find the defendant guilty of murder without providing any justification for why the expert testimony should not be accepted. The judge must make sure that the Crown explains why it is asking the jury to reject medical evidence in cases where it is undisputed and supports the plea in a reduced responsibility trial</w:t>
      </w:r>
      <w:r w:rsidR="0086747A">
        <w:rPr>
          <w:rStyle w:val="legds"/>
          <w:rFonts w:asciiTheme="minorHAnsi" w:hAnsiTheme="minorHAnsi" w:cstheme="minorHAnsi"/>
          <w:color w:val="000000"/>
        </w:rPr>
        <w:t>”</w:t>
      </w:r>
      <w:sdt>
        <w:sdtPr>
          <w:rPr>
            <w:rStyle w:val="legds"/>
            <w:rFonts w:asciiTheme="minorHAnsi" w:hAnsiTheme="minorHAnsi" w:cstheme="minorHAnsi"/>
            <w:color w:val="000000"/>
          </w:rPr>
          <w:id w:val="340509087"/>
          <w:citation/>
        </w:sdtPr>
        <w:sdtContent>
          <w:r w:rsidR="0086747A">
            <w:rPr>
              <w:rStyle w:val="legds"/>
              <w:rFonts w:asciiTheme="minorHAnsi" w:hAnsiTheme="minorHAnsi" w:cstheme="minorHAnsi"/>
              <w:color w:val="000000"/>
            </w:rPr>
            <w:fldChar w:fldCharType="begin"/>
          </w:r>
          <w:r w:rsidR="0086747A">
            <w:rPr>
              <w:rStyle w:val="legds"/>
              <w:rFonts w:asciiTheme="minorHAnsi" w:hAnsiTheme="minorHAnsi" w:cstheme="minorHAnsi"/>
              <w:color w:val="000000"/>
            </w:rPr>
            <w:instrText xml:space="preserve"> CITATION MIC211 \l 2057 </w:instrText>
          </w:r>
          <w:r w:rsidR="0086747A">
            <w:rPr>
              <w:rStyle w:val="legds"/>
              <w:rFonts w:asciiTheme="minorHAnsi" w:hAnsiTheme="minorHAnsi" w:cstheme="minorHAnsi"/>
              <w:color w:val="000000"/>
            </w:rPr>
            <w:fldChar w:fldCharType="separate"/>
          </w:r>
          <w:r w:rsidR="0086747A">
            <w:rPr>
              <w:rStyle w:val="legds"/>
              <w:rFonts w:asciiTheme="minorHAnsi" w:hAnsiTheme="minorHAnsi" w:cstheme="minorHAnsi"/>
              <w:noProof/>
              <w:color w:val="000000"/>
            </w:rPr>
            <w:t xml:space="preserve"> </w:t>
          </w:r>
          <w:r w:rsidR="0086747A" w:rsidRPr="00683674">
            <w:rPr>
              <w:rFonts w:asciiTheme="minorHAnsi" w:hAnsiTheme="minorHAnsi" w:cstheme="minorHAnsi"/>
              <w:noProof/>
              <w:color w:val="000000"/>
            </w:rPr>
            <w:t>(EDWARDS, 2021)</w:t>
          </w:r>
          <w:r w:rsidR="0086747A">
            <w:rPr>
              <w:rStyle w:val="legds"/>
              <w:rFonts w:asciiTheme="minorHAnsi" w:hAnsiTheme="minorHAnsi" w:cstheme="minorHAnsi"/>
              <w:color w:val="000000"/>
            </w:rPr>
            <w:fldChar w:fldCharType="end"/>
          </w:r>
        </w:sdtContent>
      </w:sdt>
      <w:r w:rsidR="0086747A">
        <w:rPr>
          <w:rStyle w:val="legds"/>
          <w:rFonts w:asciiTheme="minorHAnsi" w:hAnsiTheme="minorHAnsi" w:cstheme="minorHAnsi"/>
          <w:color w:val="000000"/>
        </w:rPr>
        <w:t>.</w:t>
      </w:r>
    </w:p>
    <w:p w14:paraId="34B07529" w14:textId="6A53AEAB" w:rsidR="00662B19" w:rsidRDefault="00662B19"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0270413C" w14:textId="6A8883E1" w:rsidR="001F1145" w:rsidRDefault="00A370BB"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r>
        <w:rPr>
          <w:rStyle w:val="legds"/>
          <w:rFonts w:asciiTheme="minorHAnsi" w:hAnsiTheme="minorHAnsi" w:cstheme="minorHAnsi"/>
          <w:color w:val="000000"/>
        </w:rPr>
        <w:t>There are</w:t>
      </w:r>
      <w:r w:rsidR="0086747A">
        <w:rPr>
          <w:rStyle w:val="legds"/>
          <w:rFonts w:asciiTheme="minorHAnsi" w:hAnsiTheme="minorHAnsi" w:cstheme="minorHAnsi"/>
          <w:color w:val="000000"/>
        </w:rPr>
        <w:t xml:space="preserve"> also</w:t>
      </w:r>
      <w:r>
        <w:rPr>
          <w:rStyle w:val="legds"/>
          <w:rFonts w:asciiTheme="minorHAnsi" w:hAnsiTheme="minorHAnsi" w:cstheme="minorHAnsi"/>
          <w:color w:val="000000"/>
        </w:rPr>
        <w:t xml:space="preserve"> a range of </w:t>
      </w:r>
      <w:r w:rsidR="00C14609">
        <w:rPr>
          <w:rStyle w:val="legds"/>
          <w:rFonts w:asciiTheme="minorHAnsi" w:hAnsiTheme="minorHAnsi" w:cstheme="minorHAnsi"/>
          <w:color w:val="000000"/>
        </w:rPr>
        <w:t>disadvantages</w:t>
      </w:r>
      <w:r w:rsidR="00274D5D">
        <w:rPr>
          <w:rStyle w:val="legds"/>
          <w:rFonts w:asciiTheme="minorHAnsi" w:hAnsiTheme="minorHAnsi" w:cstheme="minorHAnsi"/>
          <w:color w:val="000000"/>
        </w:rPr>
        <w:t xml:space="preserve"> to the change of this legislation these include</w:t>
      </w:r>
      <w:r w:rsidR="00C77FB6">
        <w:rPr>
          <w:rStyle w:val="legds"/>
          <w:rFonts w:asciiTheme="minorHAnsi" w:hAnsiTheme="minorHAnsi" w:cstheme="minorHAnsi"/>
          <w:color w:val="000000"/>
        </w:rPr>
        <w:t xml:space="preserve"> they “</w:t>
      </w:r>
      <w:r w:rsidR="00C77FB6" w:rsidRPr="00C77FB6">
        <w:rPr>
          <w:rStyle w:val="legds"/>
          <w:rFonts w:asciiTheme="minorHAnsi" w:hAnsiTheme="minorHAnsi" w:cstheme="minorHAnsi"/>
          <w:color w:val="000000"/>
        </w:rPr>
        <w:t>What sort of qualifying triggers they will accept is not stated</w:t>
      </w:r>
      <w:r w:rsidR="00B10704">
        <w:rPr>
          <w:rStyle w:val="legds"/>
          <w:rFonts w:asciiTheme="minorHAnsi" w:hAnsiTheme="minorHAnsi" w:cstheme="minorHAnsi"/>
          <w:color w:val="000000"/>
        </w:rPr>
        <w:t xml:space="preserve">” </w:t>
      </w:r>
      <w:r w:rsidR="00A35313">
        <w:rPr>
          <w:rStyle w:val="legds"/>
          <w:rFonts w:asciiTheme="minorHAnsi" w:hAnsiTheme="minorHAnsi" w:cstheme="minorHAnsi"/>
          <w:color w:val="000000"/>
        </w:rPr>
        <w:t>another would be “</w:t>
      </w:r>
      <w:r w:rsidR="00A35313" w:rsidRPr="00A35313">
        <w:rPr>
          <w:rStyle w:val="legds"/>
          <w:rFonts w:asciiTheme="minorHAnsi" w:hAnsiTheme="minorHAnsi" w:cstheme="minorHAnsi"/>
          <w:color w:val="000000"/>
        </w:rPr>
        <w:t xml:space="preserve">The impact of sexual infidelity is further acknowledged by the law in Section 54(1)(c)(3) as a potential component of the third element of the defence. Sexual infidelity is not mentioned at all in those sections. Another reading might be that since sexual infidelity is no longer a qualifying trigger for which </w:t>
      </w:r>
      <w:proofErr w:type="gramStart"/>
      <w:r w:rsidR="00A35313" w:rsidRPr="00A35313">
        <w:rPr>
          <w:rStyle w:val="legds"/>
          <w:rFonts w:asciiTheme="minorHAnsi" w:hAnsiTheme="minorHAnsi" w:cstheme="minorHAnsi"/>
          <w:color w:val="000000"/>
        </w:rPr>
        <w:t>s.54</w:t>
      </w:r>
      <w:r w:rsidR="0086747A">
        <w:rPr>
          <w:rStyle w:val="legds"/>
          <w:rFonts w:asciiTheme="minorHAnsi" w:hAnsiTheme="minorHAnsi" w:cstheme="minorHAnsi"/>
          <w:color w:val="000000"/>
        </w:rPr>
        <w:t xml:space="preserve"> </w:t>
      </w:r>
      <w:r w:rsidR="00A35313" w:rsidRPr="00A35313">
        <w:rPr>
          <w:rStyle w:val="legds"/>
          <w:rFonts w:asciiTheme="minorHAnsi" w:hAnsiTheme="minorHAnsi" w:cstheme="minorHAnsi"/>
          <w:color w:val="000000"/>
        </w:rPr>
        <w:t xml:space="preserve"> (</w:t>
      </w:r>
      <w:proofErr w:type="gramEnd"/>
      <w:r w:rsidR="00A35313" w:rsidRPr="00A35313">
        <w:rPr>
          <w:rStyle w:val="legds"/>
          <w:rFonts w:asciiTheme="minorHAnsi" w:hAnsiTheme="minorHAnsi" w:cstheme="minorHAnsi"/>
          <w:color w:val="000000"/>
        </w:rPr>
        <w:t>1) (c) is foreseen, it is no longer necessary to revaluate it in regard to the third component</w:t>
      </w:r>
      <w:r w:rsidR="00A35313">
        <w:rPr>
          <w:rStyle w:val="legds"/>
          <w:rFonts w:asciiTheme="minorHAnsi" w:hAnsiTheme="minorHAnsi" w:cstheme="minorHAnsi"/>
          <w:color w:val="000000"/>
        </w:rPr>
        <w:t>”.</w:t>
      </w:r>
      <w:r w:rsidR="00274741">
        <w:rPr>
          <w:rStyle w:val="legds"/>
          <w:rFonts w:asciiTheme="minorHAnsi" w:hAnsiTheme="minorHAnsi" w:cstheme="minorHAnsi"/>
          <w:color w:val="000000"/>
        </w:rPr>
        <w:t xml:space="preserve"> </w:t>
      </w:r>
      <w:r w:rsidR="001F1145">
        <w:rPr>
          <w:rStyle w:val="legds"/>
          <w:rFonts w:asciiTheme="minorHAnsi" w:hAnsiTheme="minorHAnsi" w:cstheme="minorHAnsi"/>
          <w:color w:val="000000"/>
        </w:rPr>
        <w:t xml:space="preserve">There </w:t>
      </w:r>
      <w:r w:rsidR="00274741">
        <w:rPr>
          <w:rStyle w:val="legds"/>
          <w:rFonts w:asciiTheme="minorHAnsi" w:hAnsiTheme="minorHAnsi" w:cstheme="minorHAnsi"/>
          <w:color w:val="000000"/>
        </w:rPr>
        <w:t>have</w:t>
      </w:r>
      <w:r w:rsidR="001F1145">
        <w:rPr>
          <w:rStyle w:val="legds"/>
          <w:rFonts w:asciiTheme="minorHAnsi" w:hAnsiTheme="minorHAnsi" w:cstheme="minorHAnsi"/>
          <w:color w:val="000000"/>
        </w:rPr>
        <w:t xml:space="preserve"> been many reformulated legislations that the Coroners and Justice Act (2009) has changed within the Homicide Act (1957). These include, </w:t>
      </w:r>
      <w:r w:rsidR="008E4DA1">
        <w:rPr>
          <w:rStyle w:val="legds"/>
          <w:rFonts w:asciiTheme="minorHAnsi" w:hAnsiTheme="minorHAnsi" w:cstheme="minorHAnsi"/>
          <w:color w:val="000000"/>
        </w:rPr>
        <w:t>“</w:t>
      </w:r>
      <w:r w:rsidR="008E4DA1" w:rsidRPr="008E4DA1">
        <w:rPr>
          <w:rStyle w:val="legds"/>
          <w:rFonts w:asciiTheme="minorHAnsi" w:hAnsiTheme="minorHAnsi" w:cstheme="minorHAnsi"/>
          <w:color w:val="000000"/>
        </w:rPr>
        <w:t>The revised legislation now includes three recognised medical conditions. They include adjustment disorder, Asperger's syndrome, and schizophrenia</w:t>
      </w:r>
      <w:r w:rsidR="008E4DA1">
        <w:rPr>
          <w:rStyle w:val="legds"/>
          <w:rFonts w:asciiTheme="minorHAnsi" w:hAnsiTheme="minorHAnsi" w:cstheme="minorHAnsi"/>
          <w:color w:val="000000"/>
        </w:rPr>
        <w:t>”</w:t>
      </w:r>
      <w:sdt>
        <w:sdtPr>
          <w:rPr>
            <w:rStyle w:val="legds"/>
            <w:rFonts w:asciiTheme="minorHAnsi" w:hAnsiTheme="minorHAnsi" w:cstheme="minorHAnsi"/>
            <w:color w:val="000000"/>
          </w:rPr>
          <w:id w:val="-755055587"/>
          <w:citation/>
        </w:sdtPr>
        <w:sdtContent>
          <w:r w:rsidR="008E4DA1">
            <w:rPr>
              <w:rStyle w:val="legds"/>
              <w:rFonts w:asciiTheme="minorHAnsi" w:hAnsiTheme="minorHAnsi" w:cstheme="minorHAnsi"/>
              <w:color w:val="000000"/>
            </w:rPr>
            <w:fldChar w:fldCharType="begin"/>
          </w:r>
          <w:r w:rsidR="008E4DA1">
            <w:rPr>
              <w:rStyle w:val="legds"/>
              <w:rFonts w:asciiTheme="minorHAnsi" w:hAnsiTheme="minorHAnsi" w:cstheme="minorHAnsi"/>
              <w:color w:val="000000"/>
            </w:rPr>
            <w:instrText xml:space="preserve"> CITATION Emi21 \l 2057 </w:instrText>
          </w:r>
          <w:r w:rsidR="008E4DA1">
            <w:rPr>
              <w:rStyle w:val="legds"/>
              <w:rFonts w:asciiTheme="minorHAnsi" w:hAnsiTheme="minorHAnsi" w:cstheme="minorHAnsi"/>
              <w:color w:val="000000"/>
            </w:rPr>
            <w:fldChar w:fldCharType="separate"/>
          </w:r>
          <w:r w:rsidR="008E4DA1">
            <w:rPr>
              <w:rStyle w:val="legds"/>
              <w:rFonts w:asciiTheme="minorHAnsi" w:hAnsiTheme="minorHAnsi" w:cstheme="minorHAnsi"/>
              <w:noProof/>
              <w:color w:val="000000"/>
            </w:rPr>
            <w:t xml:space="preserve"> </w:t>
          </w:r>
          <w:r w:rsidR="008E4DA1" w:rsidRPr="008E4DA1">
            <w:rPr>
              <w:rFonts w:asciiTheme="minorHAnsi" w:hAnsiTheme="minorHAnsi" w:cstheme="minorHAnsi"/>
              <w:noProof/>
              <w:color w:val="000000"/>
            </w:rPr>
            <w:t>(Emily Finch, 2021)</w:t>
          </w:r>
          <w:r w:rsidR="008E4DA1">
            <w:rPr>
              <w:rStyle w:val="legds"/>
              <w:rFonts w:asciiTheme="minorHAnsi" w:hAnsiTheme="minorHAnsi" w:cstheme="minorHAnsi"/>
              <w:color w:val="000000"/>
            </w:rPr>
            <w:fldChar w:fldCharType="end"/>
          </w:r>
        </w:sdtContent>
      </w:sdt>
      <w:r w:rsidR="008E4DA1">
        <w:rPr>
          <w:rStyle w:val="legds"/>
          <w:rFonts w:asciiTheme="minorHAnsi" w:hAnsiTheme="minorHAnsi" w:cstheme="minorHAnsi"/>
          <w:color w:val="000000"/>
        </w:rPr>
        <w:t xml:space="preserve">. </w:t>
      </w:r>
      <w:r w:rsidR="00AA61CD">
        <w:rPr>
          <w:rStyle w:val="legds"/>
          <w:rFonts w:asciiTheme="minorHAnsi" w:hAnsiTheme="minorHAnsi" w:cstheme="minorHAnsi"/>
          <w:color w:val="000000"/>
        </w:rPr>
        <w:t xml:space="preserve">In addition to this </w:t>
      </w:r>
      <w:r w:rsidR="007B5475" w:rsidRPr="007B5475">
        <w:rPr>
          <w:rStyle w:val="legds"/>
          <w:rFonts w:asciiTheme="minorHAnsi" w:hAnsiTheme="minorHAnsi" w:cstheme="minorHAnsi"/>
          <w:color w:val="000000"/>
        </w:rPr>
        <w:t xml:space="preserve">Another revision made to the </w:t>
      </w:r>
      <w:r w:rsidR="007B5475">
        <w:rPr>
          <w:rStyle w:val="legds"/>
          <w:rFonts w:asciiTheme="minorHAnsi" w:hAnsiTheme="minorHAnsi" w:cstheme="minorHAnsi"/>
          <w:color w:val="000000"/>
        </w:rPr>
        <w:t>“</w:t>
      </w:r>
      <w:r w:rsidR="007B5475" w:rsidRPr="007B5475">
        <w:rPr>
          <w:rStyle w:val="legds"/>
          <w:rFonts w:asciiTheme="minorHAnsi" w:hAnsiTheme="minorHAnsi" w:cstheme="minorHAnsi"/>
          <w:color w:val="000000"/>
        </w:rPr>
        <w:t>Homicide Act (1957) by the Coroners and Justice Act (2009) was to change the defence, reducing murder to voluntary manslaughter</w:t>
      </w:r>
      <w:r w:rsidR="007B5475">
        <w:rPr>
          <w:rStyle w:val="legds"/>
          <w:rFonts w:asciiTheme="minorHAnsi" w:hAnsiTheme="minorHAnsi" w:cstheme="minorHAnsi"/>
          <w:color w:val="000000"/>
        </w:rPr>
        <w:t>”</w:t>
      </w:r>
      <w:sdt>
        <w:sdtPr>
          <w:rPr>
            <w:rStyle w:val="legds"/>
            <w:rFonts w:asciiTheme="minorHAnsi" w:hAnsiTheme="minorHAnsi" w:cstheme="minorHAnsi"/>
            <w:color w:val="000000"/>
          </w:rPr>
          <w:id w:val="703070519"/>
          <w:citation/>
        </w:sdtPr>
        <w:sdtContent>
          <w:r w:rsidR="00AB74AF">
            <w:rPr>
              <w:rStyle w:val="legds"/>
              <w:rFonts w:asciiTheme="minorHAnsi" w:hAnsiTheme="minorHAnsi" w:cstheme="minorHAnsi"/>
              <w:color w:val="000000"/>
            </w:rPr>
            <w:fldChar w:fldCharType="begin"/>
          </w:r>
          <w:r w:rsidR="00AB74AF">
            <w:rPr>
              <w:rStyle w:val="legds"/>
              <w:rFonts w:asciiTheme="minorHAnsi" w:hAnsiTheme="minorHAnsi" w:cstheme="minorHAnsi"/>
              <w:color w:val="000000"/>
            </w:rPr>
            <w:instrText xml:space="preserve"> CITATION Ant10 \l 2057 </w:instrText>
          </w:r>
          <w:r w:rsidR="00AB74AF">
            <w:rPr>
              <w:rStyle w:val="legds"/>
              <w:rFonts w:asciiTheme="minorHAnsi" w:hAnsiTheme="minorHAnsi" w:cstheme="minorHAnsi"/>
              <w:color w:val="000000"/>
            </w:rPr>
            <w:fldChar w:fldCharType="separate"/>
          </w:r>
          <w:r w:rsidR="00AB74AF">
            <w:rPr>
              <w:rStyle w:val="legds"/>
              <w:rFonts w:asciiTheme="minorHAnsi" w:hAnsiTheme="minorHAnsi" w:cstheme="minorHAnsi"/>
              <w:noProof/>
              <w:color w:val="000000"/>
            </w:rPr>
            <w:t xml:space="preserve"> </w:t>
          </w:r>
          <w:r w:rsidR="00AB74AF" w:rsidRPr="00AB74AF">
            <w:rPr>
              <w:rFonts w:asciiTheme="minorHAnsi" w:hAnsiTheme="minorHAnsi" w:cstheme="minorHAnsi"/>
              <w:noProof/>
              <w:color w:val="000000"/>
            </w:rPr>
            <w:t>(Edwards, 2010)</w:t>
          </w:r>
          <w:r w:rsidR="00AB74AF">
            <w:rPr>
              <w:rStyle w:val="legds"/>
              <w:rFonts w:asciiTheme="minorHAnsi" w:hAnsiTheme="minorHAnsi" w:cstheme="minorHAnsi"/>
              <w:color w:val="000000"/>
            </w:rPr>
            <w:fldChar w:fldCharType="end"/>
          </w:r>
        </w:sdtContent>
      </w:sdt>
      <w:r w:rsidR="001A7EEB">
        <w:rPr>
          <w:rStyle w:val="legds"/>
          <w:rFonts w:asciiTheme="minorHAnsi" w:hAnsiTheme="minorHAnsi" w:cstheme="minorHAnsi"/>
          <w:color w:val="000000"/>
        </w:rPr>
        <w:t xml:space="preserve">. </w:t>
      </w:r>
      <w:r w:rsidR="000070E8">
        <w:rPr>
          <w:rStyle w:val="legds"/>
          <w:rFonts w:asciiTheme="minorHAnsi" w:hAnsiTheme="minorHAnsi" w:cstheme="minorHAnsi"/>
          <w:color w:val="000000"/>
        </w:rPr>
        <w:t>“</w:t>
      </w:r>
      <w:r w:rsidR="000070E8" w:rsidRPr="000070E8">
        <w:rPr>
          <w:rStyle w:val="legds"/>
          <w:rFonts w:asciiTheme="minorHAnsi" w:hAnsiTheme="minorHAnsi" w:cstheme="minorHAnsi"/>
          <w:color w:val="000000"/>
        </w:rPr>
        <w:t>It is no longer relevant whether loss of control was sudden when discussing it. This will enable the defence, especially in the case of battered women, to use a slow-burn defence when a victim of long-term abuse commits a final, insignificant act that results in their death</w:t>
      </w:r>
      <w:r w:rsidR="000070E8">
        <w:rPr>
          <w:rStyle w:val="legds"/>
          <w:rFonts w:asciiTheme="minorHAnsi" w:hAnsiTheme="minorHAnsi" w:cstheme="minorHAnsi"/>
          <w:color w:val="000000"/>
        </w:rPr>
        <w:t>”</w:t>
      </w:r>
      <w:sdt>
        <w:sdtPr>
          <w:rPr>
            <w:rStyle w:val="legds"/>
            <w:rFonts w:asciiTheme="minorHAnsi" w:hAnsiTheme="minorHAnsi" w:cstheme="minorHAnsi"/>
            <w:color w:val="000000"/>
          </w:rPr>
          <w:id w:val="-1156072673"/>
          <w:citation/>
        </w:sdtPr>
        <w:sdtContent>
          <w:r w:rsidR="000A7679">
            <w:rPr>
              <w:rStyle w:val="legds"/>
              <w:rFonts w:asciiTheme="minorHAnsi" w:hAnsiTheme="minorHAnsi" w:cstheme="minorHAnsi"/>
              <w:color w:val="000000"/>
            </w:rPr>
            <w:fldChar w:fldCharType="begin"/>
          </w:r>
          <w:r w:rsidR="000A7679">
            <w:rPr>
              <w:rStyle w:val="legds"/>
              <w:rFonts w:asciiTheme="minorHAnsi" w:hAnsiTheme="minorHAnsi" w:cstheme="minorHAnsi"/>
              <w:color w:val="000000"/>
            </w:rPr>
            <w:instrText xml:space="preserve"> CITATION Ant10 \l 2057 </w:instrText>
          </w:r>
          <w:r w:rsidR="000A7679">
            <w:rPr>
              <w:rStyle w:val="legds"/>
              <w:rFonts w:asciiTheme="minorHAnsi" w:hAnsiTheme="minorHAnsi" w:cstheme="minorHAnsi"/>
              <w:color w:val="000000"/>
            </w:rPr>
            <w:fldChar w:fldCharType="separate"/>
          </w:r>
          <w:r w:rsidR="000A7679">
            <w:rPr>
              <w:rStyle w:val="legds"/>
              <w:rFonts w:asciiTheme="minorHAnsi" w:hAnsiTheme="minorHAnsi" w:cstheme="minorHAnsi"/>
              <w:noProof/>
              <w:color w:val="000000"/>
            </w:rPr>
            <w:t xml:space="preserve"> </w:t>
          </w:r>
          <w:r w:rsidR="000A7679" w:rsidRPr="000A7679">
            <w:rPr>
              <w:rFonts w:asciiTheme="minorHAnsi" w:hAnsiTheme="minorHAnsi" w:cstheme="minorHAnsi"/>
              <w:noProof/>
              <w:color w:val="000000"/>
            </w:rPr>
            <w:t>(Edwards, 2010)</w:t>
          </w:r>
          <w:r w:rsidR="000A7679">
            <w:rPr>
              <w:rStyle w:val="legds"/>
              <w:rFonts w:asciiTheme="minorHAnsi" w:hAnsiTheme="minorHAnsi" w:cstheme="minorHAnsi"/>
              <w:color w:val="000000"/>
            </w:rPr>
            <w:fldChar w:fldCharType="end"/>
          </w:r>
        </w:sdtContent>
      </w:sdt>
      <w:r w:rsidR="000A7679">
        <w:rPr>
          <w:rStyle w:val="legds"/>
          <w:rFonts w:asciiTheme="minorHAnsi" w:hAnsiTheme="minorHAnsi" w:cstheme="minorHAnsi"/>
          <w:color w:val="000000"/>
        </w:rPr>
        <w:t xml:space="preserve">. </w:t>
      </w:r>
    </w:p>
    <w:p w14:paraId="0B5E1C99" w14:textId="6C7CDDF6" w:rsidR="00B22E6A" w:rsidRDefault="00C4069F"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r>
        <w:rPr>
          <w:rStyle w:val="legds"/>
          <w:rFonts w:asciiTheme="minorHAnsi" w:hAnsiTheme="minorHAnsi" w:cstheme="minorHAnsi"/>
          <w:color w:val="000000"/>
        </w:rPr>
        <w:t xml:space="preserve">To conclude there are many arguments to suggest that </w:t>
      </w:r>
      <w:r w:rsidR="00F51F52">
        <w:rPr>
          <w:rStyle w:val="legds"/>
          <w:rFonts w:asciiTheme="minorHAnsi" w:hAnsiTheme="minorHAnsi" w:cstheme="minorHAnsi"/>
          <w:color w:val="000000"/>
        </w:rPr>
        <w:t xml:space="preserve">the Coroners and Justice Act 2009 changed the defence for diminished responsibility for the better. This argument is clear to see throughout this </w:t>
      </w:r>
      <w:r w:rsidR="00DC5A0E">
        <w:rPr>
          <w:rStyle w:val="legds"/>
          <w:rFonts w:asciiTheme="minorHAnsi" w:hAnsiTheme="minorHAnsi" w:cstheme="minorHAnsi"/>
          <w:color w:val="000000"/>
        </w:rPr>
        <w:t>essay</w:t>
      </w:r>
      <w:r w:rsidR="001879E3">
        <w:rPr>
          <w:rStyle w:val="legds"/>
          <w:rFonts w:asciiTheme="minorHAnsi" w:hAnsiTheme="minorHAnsi" w:cstheme="minorHAnsi"/>
          <w:color w:val="000000"/>
        </w:rPr>
        <w:t xml:space="preserve"> with clear arguments from both advantages and disadvantages </w:t>
      </w:r>
      <w:r w:rsidR="00274741">
        <w:rPr>
          <w:rStyle w:val="legds"/>
          <w:rFonts w:asciiTheme="minorHAnsi" w:hAnsiTheme="minorHAnsi" w:cstheme="minorHAnsi"/>
          <w:color w:val="000000"/>
        </w:rPr>
        <w:t xml:space="preserve">regarding the amendment of the Homicide Act 1957. </w:t>
      </w:r>
      <w:r w:rsidR="00915182">
        <w:rPr>
          <w:rStyle w:val="legds"/>
          <w:rFonts w:asciiTheme="minorHAnsi" w:hAnsiTheme="minorHAnsi" w:cstheme="minorHAnsi"/>
          <w:color w:val="000000"/>
        </w:rPr>
        <w:t xml:space="preserve">This shows </w:t>
      </w:r>
      <w:r w:rsidR="00B22E6A">
        <w:rPr>
          <w:rStyle w:val="legds"/>
          <w:rFonts w:asciiTheme="minorHAnsi" w:hAnsiTheme="minorHAnsi" w:cstheme="minorHAnsi"/>
          <w:color w:val="000000"/>
        </w:rPr>
        <w:t xml:space="preserve">clear evidence </w:t>
      </w:r>
      <w:r w:rsidR="00B8172A">
        <w:rPr>
          <w:rStyle w:val="legds"/>
          <w:rFonts w:asciiTheme="minorHAnsi" w:hAnsiTheme="minorHAnsi" w:cstheme="minorHAnsi"/>
          <w:color w:val="000000"/>
        </w:rPr>
        <w:t xml:space="preserve">and that the changes that have been put into place are beneficial and that the legislation is now </w:t>
      </w:r>
      <w:r w:rsidR="007B6F0A">
        <w:rPr>
          <w:rStyle w:val="legds"/>
          <w:rFonts w:asciiTheme="minorHAnsi" w:hAnsiTheme="minorHAnsi" w:cstheme="minorHAnsi"/>
          <w:color w:val="000000"/>
        </w:rPr>
        <w:t xml:space="preserve">up to date and being used effectively. </w:t>
      </w:r>
    </w:p>
    <w:p w14:paraId="29F00401" w14:textId="77D65B66" w:rsidR="00947CCA" w:rsidRDefault="00947CCA"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757D4B5E" w14:textId="62C143F7" w:rsidR="00947CCA" w:rsidRDefault="00947CCA"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2B594D73" w14:textId="1BFCEBC7" w:rsidR="00947CCA" w:rsidRDefault="00947CCA"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50EDF135" w14:textId="534B55C5" w:rsidR="00947CCA" w:rsidRDefault="00947CCA"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0C264667" w14:textId="33679D1C" w:rsidR="00947CCA" w:rsidRDefault="00947CCA"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2902FDC9" w14:textId="72CECDDA" w:rsidR="00947CCA" w:rsidRDefault="00947CCA"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02BC0921" w14:textId="02B6DDE1" w:rsidR="00947CCA" w:rsidRDefault="00947CCA"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3C6ABEA2" w14:textId="662018AC" w:rsidR="00947CCA" w:rsidRDefault="00947CCA"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785F7026" w14:textId="005E50B4" w:rsidR="00947CCA" w:rsidRDefault="00947CCA"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3D4AB646" w14:textId="763F6DB3" w:rsidR="00947CCA" w:rsidRDefault="00947CCA"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533D15C3" w14:textId="6F8F9D52" w:rsidR="00947CCA" w:rsidRDefault="00947CCA"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sdt>
      <w:sdtPr>
        <w:rPr>
          <w:rFonts w:asciiTheme="minorHAnsi" w:eastAsiaTheme="minorHAnsi" w:hAnsiTheme="minorHAnsi" w:cstheme="minorBidi"/>
          <w:b w:val="0"/>
          <w:bCs w:val="0"/>
          <w:color w:val="auto"/>
          <w:sz w:val="24"/>
          <w:szCs w:val="24"/>
          <w:lang w:val="en-GB" w:bidi="ar-SA"/>
        </w:rPr>
        <w:id w:val="-183836971"/>
        <w:docPartObj>
          <w:docPartGallery w:val="Bibliographies"/>
          <w:docPartUnique/>
        </w:docPartObj>
      </w:sdtPr>
      <w:sdtContent>
        <w:p w14:paraId="0785FF88" w14:textId="739371E6" w:rsidR="00947CCA" w:rsidRDefault="00947CCA">
          <w:pPr>
            <w:pStyle w:val="Heading1"/>
          </w:pPr>
          <w:r>
            <w:t>Bibliography</w:t>
          </w:r>
        </w:p>
        <w:sdt>
          <w:sdtPr>
            <w:id w:val="111145805"/>
            <w:bibliography/>
          </w:sdtPr>
          <w:sdtContent>
            <w:p w14:paraId="703049F6" w14:textId="77777777" w:rsidR="00947CCA" w:rsidRDefault="00947CCA" w:rsidP="00947CCA">
              <w:pPr>
                <w:pStyle w:val="Bibliography"/>
                <w:rPr>
                  <w:noProof/>
                  <w:lang w:val="en-US"/>
                </w:rPr>
              </w:pPr>
              <w:r>
                <w:fldChar w:fldCharType="begin"/>
              </w:r>
              <w:r>
                <w:instrText xml:space="preserve"> BIBLIOGRAPHY </w:instrText>
              </w:r>
              <w:r>
                <w:fldChar w:fldCharType="separate"/>
              </w:r>
              <w:r>
                <w:rPr>
                  <w:noProof/>
                  <w:lang w:val="en-US"/>
                </w:rPr>
                <w:t xml:space="preserve">Ashmans Solicitors , 2022. </w:t>
              </w:r>
              <w:r>
                <w:rPr>
                  <w:i/>
                  <w:iCs/>
                  <w:noProof/>
                  <w:lang w:val="en-US"/>
                </w:rPr>
                <w:t xml:space="preserve">Murder Trials: What is Diminished Responsibility. </w:t>
              </w:r>
              <w:r>
                <w:rPr>
                  <w:noProof/>
                  <w:lang w:val="en-US"/>
                </w:rPr>
                <w:t xml:space="preserve">[Online] </w:t>
              </w:r>
              <w:r>
                <w:rPr>
                  <w:noProof/>
                  <w:lang w:val="en-US"/>
                </w:rPr>
                <w:br/>
                <w:t xml:space="preserve">Available at: </w:t>
              </w:r>
              <w:r>
                <w:rPr>
                  <w:noProof/>
                  <w:u w:val="single"/>
                  <w:lang w:val="en-US"/>
                </w:rPr>
                <w:t>https://www.ashmanssolicitors.com/articles/murder-trials-what-is-diminished-responsibility/</w:t>
              </w:r>
              <w:r>
                <w:rPr>
                  <w:noProof/>
                  <w:lang w:val="en-US"/>
                </w:rPr>
                <w:br/>
                <w:t>[Accessed Monday 6th March 2023].</w:t>
              </w:r>
            </w:p>
            <w:p w14:paraId="07925935" w14:textId="77777777" w:rsidR="00947CCA" w:rsidRDefault="00947CCA" w:rsidP="00947CCA">
              <w:pPr>
                <w:pStyle w:val="Bibliography"/>
                <w:rPr>
                  <w:noProof/>
                  <w:lang w:val="en-US"/>
                </w:rPr>
              </w:pPr>
              <w:r>
                <w:rPr>
                  <w:noProof/>
                  <w:lang w:val="en-US"/>
                </w:rPr>
                <w:t xml:space="preserve">Blockley, C.-A., 2014. </w:t>
              </w:r>
              <w:r>
                <w:rPr>
                  <w:i/>
                  <w:iCs/>
                  <w:noProof/>
                  <w:lang w:val="en-US"/>
                </w:rPr>
                <w:t xml:space="preserve">The Coroners and Justice Act 2009: '(A)Mending' the Law on Provocation?. </w:t>
              </w:r>
              <w:r>
                <w:rPr>
                  <w:noProof/>
                  <w:lang w:val="en-US"/>
                </w:rPr>
                <w:t xml:space="preserve">[Online] </w:t>
              </w:r>
              <w:r>
                <w:rPr>
                  <w:noProof/>
                  <w:lang w:val="en-US"/>
                </w:rPr>
                <w:br/>
                <w:t xml:space="preserve">Available at: </w:t>
              </w:r>
              <w:r>
                <w:rPr>
                  <w:noProof/>
                  <w:u w:val="single"/>
                  <w:lang w:val="en-US"/>
                </w:rPr>
                <w:t>https://pearl.plymouth.ac.uk/bitstream/handle/10026.1/8995/PLCJR_V6_11_Blockley.pdf?sequence=4&amp;isAllowed=y</w:t>
              </w:r>
              <w:r>
                <w:rPr>
                  <w:noProof/>
                  <w:lang w:val="en-US"/>
                </w:rPr>
                <w:br/>
                <w:t>[Accessed Friday 10th March 2023].</w:t>
              </w:r>
            </w:p>
            <w:p w14:paraId="1474FD08" w14:textId="77777777" w:rsidR="00947CCA" w:rsidRDefault="00947CCA" w:rsidP="00947CCA">
              <w:pPr>
                <w:pStyle w:val="Bibliography"/>
                <w:rPr>
                  <w:noProof/>
                  <w:lang w:val="en-US"/>
                </w:rPr>
              </w:pPr>
              <w:r>
                <w:rPr>
                  <w:noProof/>
                  <w:lang w:val="en-US"/>
                </w:rPr>
                <w:t xml:space="preserve">Clough, A., 2010. </w:t>
              </w:r>
              <w:r>
                <w:rPr>
                  <w:i/>
                  <w:iCs/>
                  <w:noProof/>
                  <w:lang w:val="en-US"/>
                </w:rPr>
                <w:t xml:space="preserve">Loss of self-control as a defence: the key to replacing provocation. </w:t>
              </w:r>
              <w:r>
                <w:rPr>
                  <w:noProof/>
                  <w:lang w:val="en-US"/>
                </w:rPr>
                <w:t xml:space="preserve">[Online] </w:t>
              </w:r>
              <w:r>
                <w:rPr>
                  <w:noProof/>
                  <w:lang w:val="en-US"/>
                </w:rPr>
                <w:br/>
                <w:t xml:space="preserve">Available at: </w:t>
              </w:r>
              <w:r>
                <w:rPr>
                  <w:noProof/>
                  <w:u w:val="single"/>
                  <w:lang w:val="en-US"/>
                </w:rPr>
                <w:t>http://researchonline.ljmu.ac.uk/id/eprint/5088/4/Loss</w:t>
              </w:r>
              <w:r>
                <w:rPr>
                  <w:noProof/>
                  <w:lang w:val="en-US"/>
                </w:rPr>
                <w:br/>
                <w:t>[Accessed Friday 10th March 2023].</w:t>
              </w:r>
            </w:p>
            <w:p w14:paraId="671BC6EA" w14:textId="77777777" w:rsidR="00947CCA" w:rsidRDefault="00947CCA" w:rsidP="00947CCA">
              <w:pPr>
                <w:pStyle w:val="Bibliography"/>
                <w:rPr>
                  <w:noProof/>
                  <w:lang w:val="en-US"/>
                </w:rPr>
              </w:pPr>
              <w:r>
                <w:rPr>
                  <w:noProof/>
                  <w:lang w:val="en-US"/>
                </w:rPr>
                <w:t xml:space="preserve">Edwards, A., 2010. </w:t>
              </w:r>
              <w:r>
                <w:rPr>
                  <w:i/>
                  <w:iCs/>
                  <w:noProof/>
                  <w:lang w:val="en-US"/>
                </w:rPr>
                <w:t xml:space="preserve">The Law Society Gazette. </w:t>
              </w:r>
              <w:r>
                <w:rPr>
                  <w:noProof/>
                  <w:lang w:val="en-US"/>
                </w:rPr>
                <w:t xml:space="preserve">[Online] </w:t>
              </w:r>
              <w:r>
                <w:rPr>
                  <w:noProof/>
                  <w:lang w:val="en-US"/>
                </w:rPr>
                <w:br/>
                <w:t xml:space="preserve">Available at: </w:t>
              </w:r>
              <w:r>
                <w:rPr>
                  <w:noProof/>
                  <w:u w:val="single"/>
                  <w:lang w:val="en-US"/>
                </w:rPr>
                <w:t>https://www.lawgazette.co.uk/law/changes-to-the-law-of-homicide/56789.article</w:t>
              </w:r>
              <w:r>
                <w:rPr>
                  <w:noProof/>
                  <w:lang w:val="en-US"/>
                </w:rPr>
                <w:br/>
                <w:t>[Accessed Tuesday 7th March 2023].</w:t>
              </w:r>
            </w:p>
            <w:p w14:paraId="2FAAE2E3" w14:textId="77777777" w:rsidR="00947CCA" w:rsidRDefault="00947CCA" w:rsidP="00947CCA">
              <w:pPr>
                <w:pStyle w:val="Bibliography"/>
                <w:rPr>
                  <w:noProof/>
                  <w:lang w:val="en-US"/>
                </w:rPr>
              </w:pPr>
              <w:r>
                <w:rPr>
                  <w:noProof/>
                  <w:lang w:val="en-US"/>
                </w:rPr>
                <w:t xml:space="preserve">EDWARDS, M. J. A. &amp;. I., 2021. </w:t>
              </w:r>
              <w:r>
                <w:rPr>
                  <w:i/>
                  <w:iCs/>
                  <w:noProof/>
                  <w:lang w:val="en-US"/>
                </w:rPr>
                <w:t xml:space="preserve">Criminal Law. </w:t>
              </w:r>
              <w:r>
                <w:rPr>
                  <w:noProof/>
                  <w:lang w:val="en-US"/>
                </w:rPr>
                <w:t>16th ed. s.l.:Oxfor University Press .</w:t>
              </w:r>
            </w:p>
            <w:p w14:paraId="49CEFD2D" w14:textId="77777777" w:rsidR="00947CCA" w:rsidRDefault="00947CCA" w:rsidP="00947CCA">
              <w:pPr>
                <w:pStyle w:val="Bibliography"/>
                <w:rPr>
                  <w:noProof/>
                  <w:lang w:val="en-US"/>
                </w:rPr>
              </w:pPr>
              <w:r>
                <w:rPr>
                  <w:noProof/>
                  <w:lang w:val="en-US"/>
                </w:rPr>
                <w:t xml:space="preserve">Emily Finch, S. F., 2021. </w:t>
              </w:r>
              <w:r>
                <w:rPr>
                  <w:i/>
                  <w:iCs/>
                  <w:noProof/>
                  <w:lang w:val="en-US"/>
                </w:rPr>
                <w:t xml:space="preserve">Criminal Law. </w:t>
              </w:r>
              <w:r>
                <w:rPr>
                  <w:noProof/>
                  <w:lang w:val="en-US"/>
                </w:rPr>
                <w:t>8th Edition ed. s.l.:Pearson.</w:t>
              </w:r>
            </w:p>
            <w:p w14:paraId="24D3719B" w14:textId="77777777" w:rsidR="00947CCA" w:rsidRDefault="00947CCA" w:rsidP="00947CCA">
              <w:pPr>
                <w:pStyle w:val="Bibliography"/>
                <w:rPr>
                  <w:noProof/>
                  <w:lang w:val="en-US"/>
                </w:rPr>
              </w:pPr>
              <w:r>
                <w:rPr>
                  <w:noProof/>
                  <w:lang w:val="en-US"/>
                </w:rPr>
                <w:t xml:space="preserve">Ian Edwards, M. J. A., 2021. </w:t>
              </w:r>
              <w:r>
                <w:rPr>
                  <w:i/>
                  <w:iCs/>
                  <w:noProof/>
                  <w:lang w:val="en-US"/>
                </w:rPr>
                <w:t xml:space="preserve">Criminal law. </w:t>
              </w:r>
              <w:r>
                <w:rPr>
                  <w:noProof/>
                  <w:lang w:val="en-US"/>
                </w:rPr>
                <w:t>16th Edition ed. s.l.: Oxford University Press .</w:t>
              </w:r>
            </w:p>
            <w:p w14:paraId="5EB9FB02" w14:textId="77777777" w:rsidR="00947CCA" w:rsidRDefault="00947CCA" w:rsidP="00947CCA">
              <w:pPr>
                <w:pStyle w:val="Bibliography"/>
                <w:rPr>
                  <w:noProof/>
                  <w:lang w:val="en-US"/>
                </w:rPr>
              </w:pPr>
              <w:r>
                <w:rPr>
                  <w:noProof/>
                  <w:lang w:val="en-US"/>
                </w:rPr>
                <w:t xml:space="preserve">Ministry of Justice, 2010. </w:t>
              </w:r>
              <w:r>
                <w:rPr>
                  <w:i/>
                  <w:iCs/>
                  <w:noProof/>
                  <w:lang w:val="en-US"/>
                </w:rPr>
                <w:t xml:space="preserve">Partial defences to murder: loss of control and diminished responsibility; and infanticide: Implementation of Sections 52, and 54 to 57 of the Coroners and Justice Act 2009. </w:t>
              </w:r>
              <w:r>
                <w:rPr>
                  <w:noProof/>
                  <w:lang w:val="en-US"/>
                </w:rPr>
                <w:t xml:space="preserve">[Online] </w:t>
              </w:r>
              <w:r>
                <w:rPr>
                  <w:noProof/>
                  <w:lang w:val="en-US"/>
                </w:rPr>
                <w:br/>
                <w:t xml:space="preserve">Available at: </w:t>
              </w:r>
              <w:r>
                <w:rPr>
                  <w:noProof/>
                  <w:u w:val="single"/>
                  <w:lang w:val="en-US"/>
                </w:rPr>
                <w:t>https://www.justice.gov.uk/downloads/legislation/bills-acts/circulars/moj/2010/circular-12-2010-coroners-justice-act-homicide-provisions.pdf</w:t>
              </w:r>
              <w:r>
                <w:rPr>
                  <w:noProof/>
                  <w:lang w:val="en-US"/>
                </w:rPr>
                <w:br/>
                <w:t>[Accessed Monday 6th March 2023].</w:t>
              </w:r>
            </w:p>
            <w:p w14:paraId="0BAF7B27" w14:textId="257E8D86" w:rsidR="00B85CE5" w:rsidRDefault="00947CCA" w:rsidP="00947CCA">
              <w:pPr>
                <w:rPr>
                  <w:bCs/>
                  <w:noProof/>
                </w:rPr>
              </w:pPr>
              <w:r>
                <w:rPr>
                  <w:b/>
                  <w:bCs/>
                  <w:noProof/>
                </w:rPr>
                <w:fldChar w:fldCharType="end"/>
              </w:r>
              <w:r w:rsidR="00B85CE5">
                <w:rPr>
                  <w:bCs/>
                  <w:noProof/>
                </w:rPr>
                <w:t xml:space="preserve">Section 2 Homicide Act </w:t>
              </w:r>
              <w:r w:rsidR="004B25D4">
                <w:rPr>
                  <w:bCs/>
                  <w:noProof/>
                </w:rPr>
                <w:t>(</w:t>
              </w:r>
              <w:r w:rsidR="00B85CE5">
                <w:rPr>
                  <w:bCs/>
                  <w:noProof/>
                </w:rPr>
                <w:t>1957</w:t>
              </w:r>
              <w:r w:rsidR="004B25D4">
                <w:rPr>
                  <w:bCs/>
                  <w:noProof/>
                </w:rPr>
                <w:t>)</w:t>
              </w:r>
              <w:r w:rsidR="00B85CE5">
                <w:rPr>
                  <w:bCs/>
                  <w:noProof/>
                </w:rPr>
                <w:t xml:space="preserve"> </w:t>
              </w:r>
            </w:p>
            <w:p w14:paraId="516BC9BA" w14:textId="77777777" w:rsidR="004B25D4" w:rsidRDefault="004B25D4" w:rsidP="00947CCA">
              <w:pPr>
                <w:rPr>
                  <w:bCs/>
                  <w:noProof/>
                </w:rPr>
              </w:pPr>
              <w:r>
                <w:rPr>
                  <w:bCs/>
                  <w:noProof/>
                </w:rPr>
                <w:t>Section 52 Coroners and Justice Act (2009)</w:t>
              </w:r>
            </w:p>
            <w:p w14:paraId="1077677C" w14:textId="77777777" w:rsidR="004B25D4" w:rsidRDefault="004B25D4" w:rsidP="00947CCA">
              <w:pPr>
                <w:rPr>
                  <w:bCs/>
                  <w:noProof/>
                </w:rPr>
              </w:pPr>
              <w:r>
                <w:rPr>
                  <w:bCs/>
                  <w:noProof/>
                </w:rPr>
                <w:t>R v Byrne (1960)</w:t>
              </w:r>
            </w:p>
            <w:p w14:paraId="364228E5" w14:textId="77777777" w:rsidR="004B25D4" w:rsidRDefault="004B25D4" w:rsidP="00947CCA">
              <w:pPr>
                <w:rPr>
                  <w:bCs/>
                  <w:noProof/>
                </w:rPr>
              </w:pPr>
              <w:r>
                <w:rPr>
                  <w:bCs/>
                  <w:noProof/>
                </w:rPr>
                <w:t>R v Golds (2016)</w:t>
              </w:r>
            </w:p>
            <w:p w14:paraId="3AA8CC30" w14:textId="1C2CAD0B" w:rsidR="00947CCA" w:rsidRDefault="004B25D4" w:rsidP="00947CCA">
              <w:r>
                <w:rPr>
                  <w:bCs/>
                  <w:noProof/>
                </w:rPr>
                <w:t xml:space="preserve">R v Clinton, Parker Evans (2012)  </w:t>
              </w:r>
            </w:p>
          </w:sdtContent>
        </w:sdt>
      </w:sdtContent>
    </w:sdt>
    <w:p w14:paraId="73934A39" w14:textId="77777777" w:rsidR="00947CCA" w:rsidRDefault="00947CCA"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49668FCC" w14:textId="77777777" w:rsidR="00274D5D" w:rsidRDefault="00274D5D" w:rsidP="00CD3D4E">
      <w:pPr>
        <w:pStyle w:val="legclearfix"/>
        <w:shd w:val="clear" w:color="auto" w:fill="FFFFFF"/>
        <w:spacing w:before="0" w:beforeAutospacing="0" w:after="120" w:afterAutospacing="0" w:line="360" w:lineRule="atLeast"/>
        <w:rPr>
          <w:rStyle w:val="legds"/>
          <w:rFonts w:asciiTheme="minorHAnsi" w:hAnsiTheme="minorHAnsi" w:cstheme="minorHAnsi"/>
          <w:color w:val="000000"/>
        </w:rPr>
      </w:pPr>
    </w:p>
    <w:p w14:paraId="22847395" w14:textId="77777777" w:rsidR="00563534" w:rsidRPr="004C6468" w:rsidRDefault="00563534" w:rsidP="00CD3D4E">
      <w:pPr>
        <w:pStyle w:val="legclearfix"/>
        <w:shd w:val="clear" w:color="auto" w:fill="FFFFFF"/>
        <w:spacing w:before="0" w:beforeAutospacing="0" w:after="120" w:afterAutospacing="0" w:line="360" w:lineRule="atLeast"/>
        <w:rPr>
          <w:rStyle w:val="legds"/>
          <w:rFonts w:asciiTheme="minorHAnsi" w:hAnsiTheme="minorHAnsi" w:cstheme="minorHAnsi"/>
        </w:rPr>
      </w:pPr>
    </w:p>
    <w:p w14:paraId="236D7244" w14:textId="59B08BEA" w:rsidR="00452789" w:rsidRPr="00CD3D4E" w:rsidRDefault="00452789">
      <w:pPr>
        <w:rPr>
          <w:rFonts w:cstheme="minorHAnsi"/>
        </w:rPr>
      </w:pPr>
    </w:p>
    <w:p w14:paraId="0903B675" w14:textId="77777777" w:rsidR="00452789" w:rsidRDefault="00452789"/>
    <w:p w14:paraId="0E54570E" w14:textId="77777777" w:rsidR="00452789" w:rsidRDefault="00452789"/>
    <w:p w14:paraId="15B9EFBC" w14:textId="192EB70C" w:rsidR="00452789" w:rsidRDefault="00452789"/>
    <w:p w14:paraId="3031003B" w14:textId="62E2AC1A" w:rsidR="00452789" w:rsidRDefault="00452789"/>
    <w:p w14:paraId="2CF14507" w14:textId="77777777" w:rsidR="00452789" w:rsidRDefault="00452789"/>
    <w:p w14:paraId="0F2B6809" w14:textId="77777777" w:rsidR="007B15BA" w:rsidRPr="00302639" w:rsidRDefault="007B15BA"/>
    <w:sectPr w:rsidR="007B15BA" w:rsidRPr="003026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DAC"/>
    <w:rsid w:val="000070E8"/>
    <w:rsid w:val="00095210"/>
    <w:rsid w:val="000A7679"/>
    <w:rsid w:val="000F44A6"/>
    <w:rsid w:val="000F4894"/>
    <w:rsid w:val="00112995"/>
    <w:rsid w:val="001879E3"/>
    <w:rsid w:val="001A7EEB"/>
    <w:rsid w:val="001E0DE7"/>
    <w:rsid w:val="001F1145"/>
    <w:rsid w:val="00204722"/>
    <w:rsid w:val="002254D8"/>
    <w:rsid w:val="00232776"/>
    <w:rsid w:val="00274741"/>
    <w:rsid w:val="00274D5D"/>
    <w:rsid w:val="002E5457"/>
    <w:rsid w:val="002E68AA"/>
    <w:rsid w:val="002E73CD"/>
    <w:rsid w:val="00302639"/>
    <w:rsid w:val="00316ADB"/>
    <w:rsid w:val="0032392F"/>
    <w:rsid w:val="00326E9A"/>
    <w:rsid w:val="00376FD9"/>
    <w:rsid w:val="003B2016"/>
    <w:rsid w:val="003D2D44"/>
    <w:rsid w:val="00452789"/>
    <w:rsid w:val="004554A2"/>
    <w:rsid w:val="00490C9D"/>
    <w:rsid w:val="004B25D4"/>
    <w:rsid w:val="004C6468"/>
    <w:rsid w:val="005010CA"/>
    <w:rsid w:val="00527AFC"/>
    <w:rsid w:val="00563534"/>
    <w:rsid w:val="00637928"/>
    <w:rsid w:val="006447C9"/>
    <w:rsid w:val="00662B19"/>
    <w:rsid w:val="006865C8"/>
    <w:rsid w:val="00694221"/>
    <w:rsid w:val="00697DAC"/>
    <w:rsid w:val="006D2A6E"/>
    <w:rsid w:val="007078C0"/>
    <w:rsid w:val="00744BEC"/>
    <w:rsid w:val="00777809"/>
    <w:rsid w:val="007A2F2D"/>
    <w:rsid w:val="007A60DC"/>
    <w:rsid w:val="007B15BA"/>
    <w:rsid w:val="007B5475"/>
    <w:rsid w:val="007B6F0A"/>
    <w:rsid w:val="0083194D"/>
    <w:rsid w:val="00842A31"/>
    <w:rsid w:val="0086747A"/>
    <w:rsid w:val="00867F3B"/>
    <w:rsid w:val="0087170E"/>
    <w:rsid w:val="008754A7"/>
    <w:rsid w:val="0088380F"/>
    <w:rsid w:val="008B25AC"/>
    <w:rsid w:val="008D67A6"/>
    <w:rsid w:val="008E4DA1"/>
    <w:rsid w:val="00915182"/>
    <w:rsid w:val="00926CFC"/>
    <w:rsid w:val="00947CCA"/>
    <w:rsid w:val="00964F4D"/>
    <w:rsid w:val="009717CE"/>
    <w:rsid w:val="009808B1"/>
    <w:rsid w:val="009E11BC"/>
    <w:rsid w:val="00A03CEB"/>
    <w:rsid w:val="00A35313"/>
    <w:rsid w:val="00A370BB"/>
    <w:rsid w:val="00A51620"/>
    <w:rsid w:val="00A53C88"/>
    <w:rsid w:val="00A62B22"/>
    <w:rsid w:val="00AA61CD"/>
    <w:rsid w:val="00AB74AF"/>
    <w:rsid w:val="00AF5537"/>
    <w:rsid w:val="00AF5E9B"/>
    <w:rsid w:val="00B10704"/>
    <w:rsid w:val="00B17061"/>
    <w:rsid w:val="00B22E6A"/>
    <w:rsid w:val="00B5005F"/>
    <w:rsid w:val="00B8172A"/>
    <w:rsid w:val="00B85CE5"/>
    <w:rsid w:val="00B962D3"/>
    <w:rsid w:val="00BA30BB"/>
    <w:rsid w:val="00BA3AF4"/>
    <w:rsid w:val="00BC5E10"/>
    <w:rsid w:val="00BC5F6A"/>
    <w:rsid w:val="00C14609"/>
    <w:rsid w:val="00C4069F"/>
    <w:rsid w:val="00C56D4F"/>
    <w:rsid w:val="00C60247"/>
    <w:rsid w:val="00C652E2"/>
    <w:rsid w:val="00C77FB6"/>
    <w:rsid w:val="00C862D9"/>
    <w:rsid w:val="00CD3D4E"/>
    <w:rsid w:val="00CD3F4A"/>
    <w:rsid w:val="00D75090"/>
    <w:rsid w:val="00D8178D"/>
    <w:rsid w:val="00DC0D2C"/>
    <w:rsid w:val="00DC5A0E"/>
    <w:rsid w:val="00DE3122"/>
    <w:rsid w:val="00E17D45"/>
    <w:rsid w:val="00E22286"/>
    <w:rsid w:val="00E61D2A"/>
    <w:rsid w:val="00E62DE0"/>
    <w:rsid w:val="00E95146"/>
    <w:rsid w:val="00EB5FAE"/>
    <w:rsid w:val="00EE7CF3"/>
    <w:rsid w:val="00EF5500"/>
    <w:rsid w:val="00F51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1FD3687"/>
  <w15:chartTrackingRefBased/>
  <w15:docId w15:val="{ACECA2FE-4848-DB4D-87D3-BC1BEAE46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7CC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078C0"/>
  </w:style>
  <w:style w:type="paragraph" w:customStyle="1" w:styleId="legclearfix">
    <w:name w:val="legclearfix"/>
    <w:basedOn w:val="Normal"/>
    <w:rsid w:val="00CD3D4E"/>
    <w:pPr>
      <w:spacing w:before="100" w:beforeAutospacing="1" w:after="100" w:afterAutospacing="1"/>
    </w:pPr>
    <w:rPr>
      <w:rFonts w:ascii="Times New Roman" w:eastAsia="Times New Roman" w:hAnsi="Times New Roman" w:cs="Times New Roman"/>
      <w:lang w:eastAsia="en-GB"/>
    </w:rPr>
  </w:style>
  <w:style w:type="character" w:customStyle="1" w:styleId="legds">
    <w:name w:val="legds"/>
    <w:basedOn w:val="DefaultParagraphFont"/>
    <w:rsid w:val="00CD3D4E"/>
  </w:style>
  <w:style w:type="character" w:customStyle="1" w:styleId="Heading1Char">
    <w:name w:val="Heading 1 Char"/>
    <w:basedOn w:val="DefaultParagraphFont"/>
    <w:link w:val="Heading1"/>
    <w:uiPriority w:val="9"/>
    <w:rsid w:val="00947CC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47C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4331">
      <w:bodyDiv w:val="1"/>
      <w:marLeft w:val="0"/>
      <w:marRight w:val="0"/>
      <w:marTop w:val="0"/>
      <w:marBottom w:val="0"/>
      <w:divBdr>
        <w:top w:val="none" w:sz="0" w:space="0" w:color="auto"/>
        <w:left w:val="none" w:sz="0" w:space="0" w:color="auto"/>
        <w:bottom w:val="none" w:sz="0" w:space="0" w:color="auto"/>
        <w:right w:val="none" w:sz="0" w:space="0" w:color="auto"/>
      </w:divBdr>
    </w:div>
    <w:div w:id="489488899">
      <w:bodyDiv w:val="1"/>
      <w:marLeft w:val="0"/>
      <w:marRight w:val="0"/>
      <w:marTop w:val="0"/>
      <w:marBottom w:val="0"/>
      <w:divBdr>
        <w:top w:val="none" w:sz="0" w:space="0" w:color="auto"/>
        <w:left w:val="none" w:sz="0" w:space="0" w:color="auto"/>
        <w:bottom w:val="none" w:sz="0" w:space="0" w:color="auto"/>
        <w:right w:val="none" w:sz="0" w:space="0" w:color="auto"/>
      </w:divBdr>
    </w:div>
    <w:div w:id="546993553">
      <w:bodyDiv w:val="1"/>
      <w:marLeft w:val="0"/>
      <w:marRight w:val="0"/>
      <w:marTop w:val="0"/>
      <w:marBottom w:val="0"/>
      <w:divBdr>
        <w:top w:val="none" w:sz="0" w:space="0" w:color="auto"/>
        <w:left w:val="none" w:sz="0" w:space="0" w:color="auto"/>
        <w:bottom w:val="none" w:sz="0" w:space="0" w:color="auto"/>
        <w:right w:val="none" w:sz="0" w:space="0" w:color="auto"/>
      </w:divBdr>
    </w:div>
    <w:div w:id="568073763">
      <w:bodyDiv w:val="1"/>
      <w:marLeft w:val="0"/>
      <w:marRight w:val="0"/>
      <w:marTop w:val="0"/>
      <w:marBottom w:val="0"/>
      <w:divBdr>
        <w:top w:val="none" w:sz="0" w:space="0" w:color="auto"/>
        <w:left w:val="none" w:sz="0" w:space="0" w:color="auto"/>
        <w:bottom w:val="none" w:sz="0" w:space="0" w:color="auto"/>
        <w:right w:val="none" w:sz="0" w:space="0" w:color="auto"/>
      </w:divBdr>
    </w:div>
    <w:div w:id="746849655">
      <w:bodyDiv w:val="1"/>
      <w:marLeft w:val="0"/>
      <w:marRight w:val="0"/>
      <w:marTop w:val="0"/>
      <w:marBottom w:val="0"/>
      <w:divBdr>
        <w:top w:val="none" w:sz="0" w:space="0" w:color="auto"/>
        <w:left w:val="none" w:sz="0" w:space="0" w:color="auto"/>
        <w:bottom w:val="none" w:sz="0" w:space="0" w:color="auto"/>
        <w:right w:val="none" w:sz="0" w:space="0" w:color="auto"/>
      </w:divBdr>
    </w:div>
    <w:div w:id="977884393">
      <w:bodyDiv w:val="1"/>
      <w:marLeft w:val="0"/>
      <w:marRight w:val="0"/>
      <w:marTop w:val="0"/>
      <w:marBottom w:val="0"/>
      <w:divBdr>
        <w:top w:val="none" w:sz="0" w:space="0" w:color="auto"/>
        <w:left w:val="none" w:sz="0" w:space="0" w:color="auto"/>
        <w:bottom w:val="none" w:sz="0" w:space="0" w:color="auto"/>
        <w:right w:val="none" w:sz="0" w:space="0" w:color="auto"/>
      </w:divBdr>
    </w:div>
    <w:div w:id="1244297997">
      <w:bodyDiv w:val="1"/>
      <w:marLeft w:val="0"/>
      <w:marRight w:val="0"/>
      <w:marTop w:val="0"/>
      <w:marBottom w:val="0"/>
      <w:divBdr>
        <w:top w:val="none" w:sz="0" w:space="0" w:color="auto"/>
        <w:left w:val="none" w:sz="0" w:space="0" w:color="auto"/>
        <w:bottom w:val="none" w:sz="0" w:space="0" w:color="auto"/>
        <w:right w:val="none" w:sz="0" w:space="0" w:color="auto"/>
      </w:divBdr>
    </w:div>
    <w:div w:id="1724720113">
      <w:bodyDiv w:val="1"/>
      <w:marLeft w:val="0"/>
      <w:marRight w:val="0"/>
      <w:marTop w:val="0"/>
      <w:marBottom w:val="0"/>
      <w:divBdr>
        <w:top w:val="none" w:sz="0" w:space="0" w:color="auto"/>
        <w:left w:val="none" w:sz="0" w:space="0" w:color="auto"/>
        <w:bottom w:val="none" w:sz="0" w:space="0" w:color="auto"/>
        <w:right w:val="none" w:sz="0" w:space="0" w:color="auto"/>
      </w:divBdr>
    </w:div>
    <w:div w:id="1813139470">
      <w:bodyDiv w:val="1"/>
      <w:marLeft w:val="0"/>
      <w:marRight w:val="0"/>
      <w:marTop w:val="0"/>
      <w:marBottom w:val="0"/>
      <w:divBdr>
        <w:top w:val="none" w:sz="0" w:space="0" w:color="auto"/>
        <w:left w:val="none" w:sz="0" w:space="0" w:color="auto"/>
        <w:bottom w:val="none" w:sz="0" w:space="0" w:color="auto"/>
        <w:right w:val="none" w:sz="0" w:space="0" w:color="auto"/>
      </w:divBdr>
    </w:div>
    <w:div w:id="1832675953">
      <w:bodyDiv w:val="1"/>
      <w:marLeft w:val="0"/>
      <w:marRight w:val="0"/>
      <w:marTop w:val="0"/>
      <w:marBottom w:val="0"/>
      <w:divBdr>
        <w:top w:val="none" w:sz="0" w:space="0" w:color="auto"/>
        <w:left w:val="none" w:sz="0" w:space="0" w:color="auto"/>
        <w:bottom w:val="none" w:sz="0" w:space="0" w:color="auto"/>
        <w:right w:val="none" w:sz="0" w:space="0" w:color="auto"/>
      </w:divBdr>
    </w:div>
    <w:div w:id="2024623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Min102</b:Tag>
    <b:SourceType>InternetSite</b:SourceType>
    <b:Guid>{8C99A5B0-0728-1944-80D6-05F6E37B3FEC}</b:Guid>
    <b:Author>
      <b:Author>
        <b:Corporate>Ministry of Justice</b:Corporate>
      </b:Author>
    </b:Author>
    <b:Title>Partial defences to murder: loss of control and diminished responsibility; and infanticide: Implementation of Sections 52, and 54 to 57 of the Coroners and Justice Act 2009</b:Title>
    <b:URL>https://www.justice.gov.uk/downloads/legislation/bills-acts/circulars/moj/2010/circular-12-2010-coroners-justice-act-homicide-provisions.pdf</b:URL>
    <b:Year>2010</b:Year>
    <b:YearAccessed>2023</b:YearAccessed>
    <b:MonthAccessed>March</b:MonthAccessed>
    <b:DayAccessed>Monday 6th</b:DayAccessed>
    <b:RefOrder>1</b:RefOrder>
  </b:Source>
  <b:Source>
    <b:Tag>Ash22</b:Tag>
    <b:SourceType>InternetSite</b:SourceType>
    <b:Guid>{E6BDE917-57C4-8B4A-8A00-4DDEBBAB028B}</b:Guid>
    <b:Author>
      <b:Author>
        <b:Corporate>Ashmans Solicitors </b:Corporate>
      </b:Author>
    </b:Author>
    <b:Title>Murder Trials: What is Diminished Responsibility</b:Title>
    <b:URL>https://www.ashmanssolicitors.com/articles/murder-trials-what-is-diminished-responsibility/</b:URL>
    <b:Year>2022</b:Year>
    <b:YearAccessed>2023</b:YearAccessed>
    <b:MonthAccessed>March</b:MonthAccessed>
    <b:DayAccessed>Monday 6th </b:DayAccessed>
    <b:RefOrder>2</b:RefOrder>
  </b:Source>
  <b:Source>
    <b:Tag>Ian21</b:Tag>
    <b:SourceType>Book</b:SourceType>
    <b:Guid>{A92BC77C-266C-B140-A2EF-7BF3745C3055}</b:Guid>
    <b:Title>Criminal law</b:Title>
    <b:Year>2021</b:Year>
    <b:Author>
      <b:Author>
        <b:NameList>
          <b:Person>
            <b:Last>Ian Edwards</b:Last>
            <b:First>M</b:First>
            <b:Middle>J Allen</b:Middle>
          </b:Person>
        </b:NameList>
      </b:Author>
    </b:Author>
    <b:Publisher> Oxford University Press </b:Publisher>
    <b:Edition>16th Edition </b:Edition>
    <b:RefOrder>3</b:RefOrder>
  </b:Source>
  <b:Source>
    <b:Tag>Emi21</b:Tag>
    <b:SourceType>Book</b:SourceType>
    <b:Guid>{80A0416F-8017-A742-9513-1BE8251F9575}</b:Guid>
    <b:Title>Criminal Law </b:Title>
    <b:Year>2021</b:Year>
    <b:Author>
      <b:Author>
        <b:NameList>
          <b:Person>
            <b:Last>Emily Finch</b:Last>
            <b:First>Stefan</b:First>
            <b:Middle>Fafinski</b:Middle>
          </b:Person>
        </b:NameList>
      </b:Author>
    </b:Author>
    <b:Publisher>Pearson</b:Publisher>
    <b:Edition>8th Edition </b:Edition>
    <b:RefOrder>7</b:RefOrder>
  </b:Source>
  <b:Source>
    <b:Tag>Ant10</b:Tag>
    <b:SourceType>InternetSite</b:SourceType>
    <b:Guid>{F58C887E-DD05-8A4C-B971-51D79B9064E2}</b:Guid>
    <b:Title>The Law Society Gazette </b:Title>
    <b:Year>2010</b:Year>
    <b:Author>
      <b:Author>
        <b:NameList>
          <b:Person>
            <b:Last>Edwards</b:Last>
            <b:First>Anthony</b:First>
          </b:Person>
        </b:NameList>
      </b:Author>
    </b:Author>
    <b:URL>https://www.lawgazette.co.uk/law/changes-to-the-law-of-homicide/56789.article</b:URL>
    <b:YearAccessed>2023</b:YearAccessed>
    <b:MonthAccessed>March </b:MonthAccessed>
    <b:DayAccessed>Tuesday 7th </b:DayAccessed>
    <b:RefOrder>8</b:RefOrder>
  </b:Source>
  <b:Source>
    <b:Tag>Car14</b:Tag>
    <b:SourceType>InternetSite</b:SourceType>
    <b:Guid>{91414838-C398-0E45-A6C0-DD3EC6F038B1}</b:Guid>
    <b:Author>
      <b:Author>
        <b:NameList>
          <b:Person>
            <b:Last>Blockley</b:Last>
            <b:First>Carrie-Ann</b:First>
          </b:Person>
        </b:NameList>
      </b:Author>
    </b:Author>
    <b:Title>The Coroners and Justice Act 2009: '(A)Mending' the Law on Provocation?</b:Title>
    <b:URL>https://pearl.plymouth.ac.uk/bitstream/handle/10026.1/8995/PLCJR_V6_11_Blockley.pdf?sequence=4&amp;isAllowed=y</b:URL>
    <b:Year>2014</b:Year>
    <b:YearAccessed>2023</b:YearAccessed>
    <b:MonthAccessed>March </b:MonthAccessed>
    <b:DayAccessed>Friday 10th </b:DayAccessed>
    <b:RefOrder>4</b:RefOrder>
  </b:Source>
  <b:Source>
    <b:Tag>ACl10</b:Tag>
    <b:SourceType>InternetSite</b:SourceType>
    <b:Guid>{DB77786F-54C2-9B48-A96A-49821E989E7A}</b:Guid>
    <b:Author>
      <b:Author>
        <b:NameList>
          <b:Person>
            <b:Last>Clough</b:Last>
            <b:First>A</b:First>
          </b:Person>
        </b:NameList>
      </b:Author>
    </b:Author>
    <b:Title>Loss of self-control as a defence: the key to replacing provocation</b:Title>
    <b:URL>http://researchonline.ljmu.ac.uk/id/eprint/5088/4/Loss</b:URL>
    <b:Year>2010</b:Year>
    <b:YearAccessed>2023</b:YearAccessed>
    <b:MonthAccessed>March</b:MonthAccessed>
    <b:DayAccessed>Friday 10th </b:DayAccessed>
    <b:RefOrder>5</b:RefOrder>
  </b:Source>
  <b:Source>
    <b:Tag>MIC211</b:Tag>
    <b:SourceType>Book</b:SourceType>
    <b:Guid>{D4B1270E-400D-9D48-A86D-E81C73F32A79}</b:Guid>
    <b:Author>
      <b:Author>
        <b:NameList>
          <b:Person>
            <b:Last>EDWARDS</b:Last>
            <b:First>MICHAEL</b:First>
            <b:Middle>J. ALLEN &amp; IAN</b:Middle>
          </b:Person>
        </b:NameList>
      </b:Author>
    </b:Author>
    <b:Title>Criminal Law </b:Title>
    <b:Publisher>Oxfor University Press </b:Publisher>
    <b:Year>2021</b:Year>
    <b:Edition>16th </b:Edition>
    <b:RefOrder>6</b:RefOrder>
  </b:Source>
</b:Sources>
</file>

<file path=customXml/itemProps1.xml><?xml version="1.0" encoding="utf-8"?>
<ds:datastoreItem xmlns:ds="http://schemas.openxmlformats.org/officeDocument/2006/customXml" ds:itemID="{D878BD90-97D3-ED4C-8779-EAA0D0BD9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4</Pages>
  <Words>1533</Words>
  <Characters>8741</Characters>
  <Application>Microsoft Office Word</Application>
  <DocSecurity>0</DocSecurity>
  <Lines>72</Lines>
  <Paragraphs>20</Paragraphs>
  <ScaleCrop>false</ScaleCrop>
  <Company/>
  <LinksUpToDate>false</LinksUpToDate>
  <CharactersWithSpaces>10254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D'Andre Wells (2204698)</dc:creator>
  <cp:keywords/>
  <dc:description/>
  <cp:lastModifiedBy>D'Andre Wells (2204698)</cp:lastModifiedBy>
  <cp:revision>108</cp:revision>
  <dcterms:created xsi:type="dcterms:W3CDTF">2023-03-06T13:02:00Z</dcterms:created>
  <dcterms:modified xsi:type="dcterms:W3CDTF">2023-03-10T19:03:00Z</dcterms:modified>
</cp:coreProperties>
</file>