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CC6CA" w14:textId="77777777" w:rsidR="00E20F5F" w:rsidRPr="00EA1F31" w:rsidRDefault="00E20F5F" w:rsidP="00EA1F31">
      <w:pPr>
        <w:spacing w:line="360" w:lineRule="auto"/>
        <w:contextualSpacing/>
        <w:jc w:val="both"/>
        <w:rPr>
          <w:rFonts w:ascii="Arial" w:hAnsi="Arial"/>
          <w:sz w:val="22"/>
        </w:rPr>
      </w:pPr>
    </w:p>
    <w:p w14:paraId="10832CC5" w14:textId="77777777" w:rsidR="00E20F5F" w:rsidRPr="00EA1F31" w:rsidRDefault="00E20F5F" w:rsidP="00EA1F31">
      <w:pPr>
        <w:spacing w:line="360" w:lineRule="auto"/>
        <w:contextualSpacing/>
        <w:jc w:val="both"/>
        <w:rPr>
          <w:rFonts w:ascii="Arial" w:hAnsi="Arial"/>
          <w:sz w:val="22"/>
        </w:rPr>
      </w:pPr>
    </w:p>
    <w:p w14:paraId="13593EF0" w14:textId="77777777" w:rsidR="00E20F5F" w:rsidRPr="00EA1F31" w:rsidRDefault="00E20F5F" w:rsidP="00EA1F31">
      <w:pPr>
        <w:spacing w:line="360" w:lineRule="auto"/>
        <w:contextualSpacing/>
        <w:jc w:val="both"/>
        <w:rPr>
          <w:rFonts w:ascii="Arial" w:hAnsi="Arial"/>
          <w:sz w:val="22"/>
        </w:rPr>
      </w:pPr>
    </w:p>
    <w:p w14:paraId="61D02798" w14:textId="77777777" w:rsidR="00E20F5F" w:rsidRPr="00EA1F31" w:rsidRDefault="00E20F5F" w:rsidP="00EA1F31">
      <w:pPr>
        <w:spacing w:line="360" w:lineRule="auto"/>
        <w:contextualSpacing/>
        <w:jc w:val="both"/>
        <w:rPr>
          <w:rFonts w:ascii="Arial" w:hAnsi="Arial"/>
          <w:sz w:val="22"/>
        </w:rPr>
      </w:pPr>
    </w:p>
    <w:p w14:paraId="098BEB15" w14:textId="77777777" w:rsidR="00E20F5F" w:rsidRPr="00EA1F31" w:rsidRDefault="00E20F5F" w:rsidP="00EA1F31">
      <w:pPr>
        <w:spacing w:line="360" w:lineRule="auto"/>
        <w:contextualSpacing/>
        <w:jc w:val="both"/>
        <w:rPr>
          <w:rFonts w:ascii="Arial" w:hAnsi="Arial"/>
          <w:sz w:val="22"/>
        </w:rPr>
      </w:pPr>
    </w:p>
    <w:p w14:paraId="57C63794" w14:textId="77777777" w:rsidR="00E20F5F" w:rsidRPr="00EA1F31" w:rsidRDefault="00E20F5F" w:rsidP="00EA1F31">
      <w:pPr>
        <w:spacing w:line="360" w:lineRule="auto"/>
        <w:contextualSpacing/>
        <w:jc w:val="both"/>
        <w:rPr>
          <w:rFonts w:ascii="Arial" w:hAnsi="Arial"/>
          <w:sz w:val="22"/>
        </w:rPr>
      </w:pPr>
    </w:p>
    <w:p w14:paraId="6A4F1662" w14:textId="77777777" w:rsidR="00E20F5F" w:rsidRPr="00EA1F31" w:rsidRDefault="00E20F5F" w:rsidP="00EA1F31">
      <w:pPr>
        <w:spacing w:line="360" w:lineRule="auto"/>
        <w:contextualSpacing/>
        <w:jc w:val="both"/>
        <w:rPr>
          <w:rFonts w:ascii="Arial" w:hAnsi="Arial"/>
          <w:sz w:val="22"/>
        </w:rPr>
      </w:pPr>
    </w:p>
    <w:p w14:paraId="771AA3D6" w14:textId="77777777" w:rsidR="00E20F5F" w:rsidRPr="00EA1F31" w:rsidRDefault="00E20F5F" w:rsidP="00EA1F31">
      <w:pPr>
        <w:spacing w:line="360" w:lineRule="auto"/>
        <w:contextualSpacing/>
        <w:jc w:val="both"/>
        <w:rPr>
          <w:rFonts w:ascii="Arial" w:hAnsi="Arial"/>
          <w:sz w:val="22"/>
        </w:rPr>
      </w:pPr>
    </w:p>
    <w:p w14:paraId="540C3AB5" w14:textId="77777777" w:rsidR="00E20F5F" w:rsidRPr="00EA1F31" w:rsidRDefault="00E20F5F" w:rsidP="00EA1F31">
      <w:pPr>
        <w:spacing w:line="360" w:lineRule="auto"/>
        <w:contextualSpacing/>
        <w:jc w:val="both"/>
        <w:rPr>
          <w:rFonts w:ascii="Arial" w:hAnsi="Arial"/>
          <w:sz w:val="22"/>
        </w:rPr>
      </w:pPr>
    </w:p>
    <w:p w14:paraId="7435163B" w14:textId="77777777" w:rsidR="00E20F5F" w:rsidRPr="00EA1F31" w:rsidRDefault="00E20F5F" w:rsidP="00EA1F31">
      <w:pPr>
        <w:spacing w:line="360" w:lineRule="auto"/>
        <w:contextualSpacing/>
        <w:jc w:val="both"/>
        <w:rPr>
          <w:rFonts w:ascii="Arial" w:hAnsi="Arial"/>
          <w:sz w:val="22"/>
        </w:rPr>
      </w:pPr>
    </w:p>
    <w:p w14:paraId="33A2C587" w14:textId="77777777" w:rsidR="00E20F5F" w:rsidRPr="00EA1F31" w:rsidRDefault="00E20F5F" w:rsidP="00EA1F31">
      <w:pPr>
        <w:spacing w:line="360" w:lineRule="auto"/>
        <w:contextualSpacing/>
        <w:jc w:val="both"/>
        <w:rPr>
          <w:rFonts w:ascii="Arial" w:hAnsi="Arial"/>
          <w:sz w:val="22"/>
        </w:rPr>
      </w:pPr>
    </w:p>
    <w:p w14:paraId="06809BB2" w14:textId="77777777" w:rsidR="00E20F5F" w:rsidRPr="00BF5033" w:rsidRDefault="00C4558B" w:rsidP="000C6A94">
      <w:pPr>
        <w:spacing w:line="360" w:lineRule="auto"/>
        <w:contextualSpacing/>
        <w:jc w:val="center"/>
        <w:rPr>
          <w:rFonts w:ascii="Arial Black" w:hAnsi="Arial Black"/>
          <w:sz w:val="28"/>
          <w:szCs w:val="28"/>
        </w:rPr>
      </w:pPr>
      <w:r w:rsidRPr="00BF5033">
        <w:rPr>
          <w:rFonts w:ascii="Arial Black" w:hAnsi="Arial Black"/>
          <w:sz w:val="28"/>
          <w:szCs w:val="28"/>
        </w:rPr>
        <w:t>Introduction to Public Health</w:t>
      </w:r>
    </w:p>
    <w:p w14:paraId="0EE1B25D" w14:textId="2D5A74E7" w:rsidR="00E20F5F" w:rsidRPr="002540DE" w:rsidRDefault="00C4558B" w:rsidP="00A57023">
      <w:pPr>
        <w:spacing w:line="360" w:lineRule="auto"/>
        <w:contextualSpacing/>
        <w:jc w:val="center"/>
        <w:rPr>
          <w:rFonts w:ascii="Arial" w:hAnsi="Arial"/>
          <w:sz w:val="28"/>
          <w:szCs w:val="28"/>
        </w:rPr>
      </w:pPr>
      <w:r w:rsidRPr="002540DE">
        <w:rPr>
          <w:rFonts w:ascii="Arial" w:hAnsi="Arial"/>
          <w:sz w:val="28"/>
          <w:szCs w:val="28"/>
        </w:rPr>
        <w:t>Student’s Name</w:t>
      </w:r>
      <w:r w:rsidR="00BF5033" w:rsidRPr="002540DE">
        <w:rPr>
          <w:rFonts w:ascii="Arial" w:hAnsi="Arial"/>
          <w:sz w:val="28"/>
          <w:szCs w:val="28"/>
        </w:rPr>
        <w:t>: Ifrah Yassin</w:t>
      </w:r>
    </w:p>
    <w:p w14:paraId="4832AA12" w14:textId="760EBAE8" w:rsidR="00300999" w:rsidRPr="002540DE" w:rsidRDefault="00BF5033" w:rsidP="00A57023">
      <w:pPr>
        <w:spacing w:line="360" w:lineRule="auto"/>
        <w:contextualSpacing/>
        <w:jc w:val="center"/>
        <w:rPr>
          <w:rFonts w:ascii="Arial" w:hAnsi="Arial"/>
          <w:sz w:val="28"/>
          <w:szCs w:val="28"/>
        </w:rPr>
      </w:pPr>
      <w:r w:rsidRPr="002540DE">
        <w:rPr>
          <w:rFonts w:ascii="Arial" w:hAnsi="Arial"/>
          <w:sz w:val="28"/>
          <w:szCs w:val="28"/>
        </w:rPr>
        <w:t>Student’ number 2132691</w:t>
      </w:r>
    </w:p>
    <w:p w14:paraId="6762A0D7" w14:textId="2E2540C2" w:rsidR="00BF5033" w:rsidRPr="002540DE" w:rsidRDefault="00BF5033" w:rsidP="00A57023">
      <w:pPr>
        <w:spacing w:line="360" w:lineRule="auto"/>
        <w:contextualSpacing/>
        <w:jc w:val="center"/>
        <w:rPr>
          <w:rFonts w:ascii="Arial" w:hAnsi="Arial"/>
          <w:sz w:val="28"/>
          <w:szCs w:val="28"/>
        </w:rPr>
      </w:pPr>
      <w:r w:rsidRPr="002540DE">
        <w:rPr>
          <w:rFonts w:ascii="Arial" w:hAnsi="Arial"/>
          <w:sz w:val="28"/>
          <w:szCs w:val="28"/>
        </w:rPr>
        <w:t xml:space="preserve">Module code: </w:t>
      </w:r>
      <w:r w:rsidR="00D73247" w:rsidRPr="002540DE">
        <w:rPr>
          <w:rFonts w:ascii="Arial" w:hAnsi="Arial"/>
          <w:sz w:val="28"/>
          <w:szCs w:val="28"/>
        </w:rPr>
        <w:t>LC</w:t>
      </w:r>
      <w:r w:rsidR="00500F87" w:rsidRPr="002540DE">
        <w:rPr>
          <w:rFonts w:ascii="Arial" w:hAnsi="Arial"/>
          <w:sz w:val="28"/>
          <w:szCs w:val="28"/>
        </w:rPr>
        <w:t>HS4004</w:t>
      </w:r>
    </w:p>
    <w:p w14:paraId="5B6A1341" w14:textId="66322139" w:rsidR="0057403C" w:rsidRPr="002540DE" w:rsidRDefault="00AE1BF7" w:rsidP="00A57023">
      <w:pPr>
        <w:spacing w:line="360" w:lineRule="auto"/>
        <w:contextualSpacing/>
        <w:jc w:val="center"/>
        <w:rPr>
          <w:rFonts w:ascii="Arial" w:hAnsi="Arial"/>
          <w:sz w:val="28"/>
          <w:szCs w:val="28"/>
        </w:rPr>
      </w:pPr>
      <w:r w:rsidRPr="002540DE">
        <w:rPr>
          <w:rFonts w:ascii="Arial" w:hAnsi="Arial"/>
          <w:sz w:val="28"/>
          <w:szCs w:val="28"/>
        </w:rPr>
        <w:t xml:space="preserve">Lecturer </w:t>
      </w:r>
      <w:r w:rsidR="00FF151B" w:rsidRPr="002540DE">
        <w:rPr>
          <w:rFonts w:ascii="Arial" w:hAnsi="Arial"/>
          <w:sz w:val="28"/>
          <w:szCs w:val="28"/>
        </w:rPr>
        <w:t>N</w:t>
      </w:r>
      <w:r w:rsidRPr="002540DE">
        <w:rPr>
          <w:rFonts w:ascii="Arial" w:hAnsi="Arial"/>
          <w:sz w:val="28"/>
          <w:szCs w:val="28"/>
        </w:rPr>
        <w:t>ame:</w:t>
      </w:r>
      <w:r w:rsidR="00FF151B" w:rsidRPr="002540DE">
        <w:rPr>
          <w:rFonts w:ascii="Arial" w:hAnsi="Arial"/>
          <w:sz w:val="28"/>
          <w:szCs w:val="28"/>
        </w:rPr>
        <w:t xml:space="preserve"> Dr </w:t>
      </w:r>
      <w:r w:rsidR="00542668" w:rsidRPr="002540DE">
        <w:rPr>
          <w:rFonts w:ascii="Arial" w:hAnsi="Arial"/>
          <w:sz w:val="28"/>
          <w:szCs w:val="28"/>
        </w:rPr>
        <w:t>Muhammad Ho</w:t>
      </w:r>
      <w:r w:rsidR="00300999" w:rsidRPr="002540DE">
        <w:rPr>
          <w:rFonts w:ascii="Arial" w:hAnsi="Arial"/>
          <w:sz w:val="28"/>
          <w:szCs w:val="28"/>
        </w:rPr>
        <w:t>ssian</w:t>
      </w:r>
    </w:p>
    <w:p w14:paraId="0FB0FDF4" w14:textId="77777777" w:rsidR="0057403C" w:rsidRPr="00EA1F31" w:rsidRDefault="0057403C" w:rsidP="00A57023">
      <w:pPr>
        <w:spacing w:line="360" w:lineRule="auto"/>
        <w:contextualSpacing/>
        <w:jc w:val="center"/>
        <w:rPr>
          <w:rFonts w:ascii="Arial" w:hAnsi="Arial"/>
          <w:sz w:val="22"/>
        </w:rPr>
      </w:pPr>
    </w:p>
    <w:p w14:paraId="03846431" w14:textId="64CFA0E4" w:rsidR="00E20F5F" w:rsidRPr="00EA1F31" w:rsidRDefault="00C4558B" w:rsidP="000C6A94">
      <w:pPr>
        <w:spacing w:line="360" w:lineRule="auto"/>
        <w:contextualSpacing/>
        <w:jc w:val="center"/>
        <w:rPr>
          <w:rFonts w:ascii="Arial" w:hAnsi="Arial"/>
          <w:sz w:val="22"/>
        </w:rPr>
      </w:pPr>
      <w:r w:rsidRPr="00EA1F31">
        <w:rPr>
          <w:rFonts w:ascii="Arial" w:hAnsi="Arial"/>
          <w:sz w:val="22"/>
        </w:rPr>
        <w:br w:type="page"/>
      </w:r>
    </w:p>
    <w:sdt>
      <w:sdtPr>
        <w:rPr>
          <w:rFonts w:ascii="Arial" w:eastAsia="Arial" w:hAnsi="Arial" w:cs="Arial"/>
          <w:b/>
          <w:bCs/>
          <w:i/>
          <w:iCs w:val="0"/>
          <w:color w:val="auto"/>
          <w:sz w:val="22"/>
          <w:szCs w:val="22"/>
          <w:lang w:val="en-GB" w:eastAsia="en-GB"/>
          <w14:ligatures w14:val="standardContextual"/>
        </w:rPr>
        <w:id w:val="1027595909"/>
        <w:docPartObj>
          <w:docPartGallery w:val="Table of Contents"/>
          <w:docPartUnique/>
        </w:docPartObj>
      </w:sdtPr>
      <w:sdtEndPr>
        <w:rPr>
          <w:b w:val="0"/>
          <w:bCs w:val="0"/>
          <w:i w:val="0"/>
          <w:noProof/>
        </w:rPr>
      </w:sdtEndPr>
      <w:sdtContent>
        <w:p w14:paraId="09046D71" w14:textId="77777777" w:rsidR="00E247CB" w:rsidRPr="00FD6EFE" w:rsidRDefault="00C4558B" w:rsidP="00FD6EFE">
          <w:pPr>
            <w:pStyle w:val="TOCHeading"/>
            <w:jc w:val="center"/>
            <w:rPr>
              <w:rFonts w:ascii="Arial" w:hAnsi="Arial" w:cs="Arial"/>
              <w:b/>
              <w:bCs/>
              <w:color w:val="auto"/>
              <w:sz w:val="22"/>
              <w:szCs w:val="22"/>
            </w:rPr>
          </w:pPr>
          <w:r w:rsidRPr="00FD6EFE">
            <w:rPr>
              <w:rFonts w:ascii="Arial" w:hAnsi="Arial" w:cs="Arial"/>
              <w:b/>
              <w:bCs/>
              <w:color w:val="auto"/>
              <w:sz w:val="22"/>
              <w:szCs w:val="22"/>
            </w:rPr>
            <w:t>Table of Contents</w:t>
          </w:r>
        </w:p>
        <w:p w14:paraId="09E74007" w14:textId="77777777" w:rsidR="00E247CB" w:rsidRPr="00FD6EFE" w:rsidRDefault="00E247CB" w:rsidP="00EA1F31">
          <w:pPr>
            <w:spacing w:line="360" w:lineRule="auto"/>
            <w:contextualSpacing/>
            <w:jc w:val="both"/>
            <w:rPr>
              <w:rFonts w:ascii="Arial" w:hAnsi="Arial"/>
              <w:sz w:val="22"/>
              <w:lang w:val="en-US" w:eastAsia="en-US"/>
            </w:rPr>
          </w:pPr>
        </w:p>
        <w:p w14:paraId="078FF3F6" w14:textId="77777777" w:rsidR="00FD6EFE" w:rsidRPr="00FD6EFE" w:rsidRDefault="00C4558B">
          <w:pPr>
            <w:pStyle w:val="TOC1"/>
            <w:tabs>
              <w:tab w:val="right" w:leader="dot" w:pos="9350"/>
            </w:tabs>
            <w:rPr>
              <w:rFonts w:ascii="Arial" w:eastAsiaTheme="minorEastAsia" w:hAnsi="Arial"/>
              <w:noProof/>
              <w:sz w:val="22"/>
              <w14:ligatures w14:val="none"/>
            </w:rPr>
          </w:pPr>
          <w:r w:rsidRPr="00FD6EFE">
            <w:rPr>
              <w:rFonts w:ascii="Arial" w:hAnsi="Arial"/>
              <w:sz w:val="22"/>
            </w:rPr>
            <w:fldChar w:fldCharType="begin"/>
          </w:r>
          <w:r w:rsidRPr="00FD6EFE">
            <w:rPr>
              <w:rFonts w:ascii="Arial" w:hAnsi="Arial"/>
              <w:sz w:val="22"/>
            </w:rPr>
            <w:instrText xml:space="preserve"> TOC \o "1-3" \h \z \u </w:instrText>
          </w:r>
          <w:r w:rsidRPr="00FD6EFE">
            <w:rPr>
              <w:rFonts w:ascii="Arial" w:hAnsi="Arial"/>
              <w:sz w:val="22"/>
            </w:rPr>
            <w:fldChar w:fldCharType="separate"/>
          </w:r>
          <w:hyperlink w:anchor="_Toc117727117" w:history="1">
            <w:r w:rsidR="00FD6EFE" w:rsidRPr="00FD6EFE">
              <w:rPr>
                <w:rStyle w:val="Hyperlink"/>
                <w:rFonts w:ascii="Arial" w:hAnsi="Arial"/>
                <w:noProof/>
                <w:color w:val="auto"/>
                <w:sz w:val="22"/>
              </w:rPr>
              <w:t>Introduction</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_Toc117727117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3</w:t>
            </w:r>
            <w:r w:rsidR="00FD6EFE" w:rsidRPr="00FD6EFE">
              <w:rPr>
                <w:rFonts w:ascii="Arial" w:hAnsi="Arial"/>
                <w:noProof/>
                <w:webHidden/>
                <w:sz w:val="22"/>
              </w:rPr>
              <w:fldChar w:fldCharType="end"/>
            </w:r>
          </w:hyperlink>
        </w:p>
        <w:p w14:paraId="388EC64F" w14:textId="77777777" w:rsidR="00FD6EFE" w:rsidRPr="00FD6EFE" w:rsidRDefault="00000000">
          <w:pPr>
            <w:pStyle w:val="TOC1"/>
            <w:tabs>
              <w:tab w:val="right" w:leader="dot" w:pos="9350"/>
            </w:tabs>
            <w:rPr>
              <w:rFonts w:ascii="Arial" w:eastAsiaTheme="minorEastAsia" w:hAnsi="Arial"/>
              <w:noProof/>
              <w:sz w:val="22"/>
              <w14:ligatures w14:val="none"/>
            </w:rPr>
          </w:pPr>
          <w:hyperlink w:anchor="_Toc117727118" w:history="1">
            <w:r w:rsidR="00FD6EFE" w:rsidRPr="00FD6EFE">
              <w:rPr>
                <w:rStyle w:val="Hyperlink"/>
                <w:rFonts w:ascii="Arial" w:hAnsi="Arial"/>
                <w:noProof/>
                <w:color w:val="auto"/>
                <w:sz w:val="22"/>
              </w:rPr>
              <w:t>Strategies Used to Measure</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_Toc117727118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3</w:t>
            </w:r>
            <w:r w:rsidR="00FD6EFE" w:rsidRPr="00FD6EFE">
              <w:rPr>
                <w:rFonts w:ascii="Arial" w:hAnsi="Arial"/>
                <w:noProof/>
                <w:webHidden/>
                <w:sz w:val="22"/>
              </w:rPr>
              <w:fldChar w:fldCharType="end"/>
            </w:r>
          </w:hyperlink>
        </w:p>
        <w:p w14:paraId="585AA967" w14:textId="77777777" w:rsidR="00FD6EFE" w:rsidRPr="00FD6EFE" w:rsidRDefault="00000000">
          <w:pPr>
            <w:pStyle w:val="TOC2"/>
            <w:tabs>
              <w:tab w:val="right" w:leader="dot" w:pos="9350"/>
            </w:tabs>
            <w:rPr>
              <w:rFonts w:ascii="Arial" w:eastAsiaTheme="minorEastAsia" w:hAnsi="Arial"/>
              <w:noProof/>
              <w:sz w:val="22"/>
              <w14:ligatures w14:val="none"/>
            </w:rPr>
          </w:pPr>
          <w:hyperlink w:anchor="_Toc117727119" w:history="1">
            <w:r w:rsidR="00FD6EFE" w:rsidRPr="00FD6EFE">
              <w:rPr>
                <w:rStyle w:val="Hyperlink"/>
                <w:rFonts w:ascii="Arial" w:hAnsi="Arial"/>
                <w:noProof/>
                <w:color w:val="auto"/>
                <w:sz w:val="22"/>
              </w:rPr>
              <w:t>Polymerase Chain Reaction (PCR)</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_Toc117727119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3</w:t>
            </w:r>
            <w:r w:rsidR="00FD6EFE" w:rsidRPr="00FD6EFE">
              <w:rPr>
                <w:rFonts w:ascii="Arial" w:hAnsi="Arial"/>
                <w:noProof/>
                <w:webHidden/>
                <w:sz w:val="22"/>
              </w:rPr>
              <w:fldChar w:fldCharType="end"/>
            </w:r>
          </w:hyperlink>
        </w:p>
        <w:p w14:paraId="2921B30E" w14:textId="77777777" w:rsidR="00FD6EFE" w:rsidRPr="00FD6EFE" w:rsidRDefault="00000000">
          <w:pPr>
            <w:pStyle w:val="TOC2"/>
            <w:tabs>
              <w:tab w:val="right" w:leader="dot" w:pos="9350"/>
            </w:tabs>
            <w:rPr>
              <w:rFonts w:ascii="Arial" w:eastAsiaTheme="minorEastAsia" w:hAnsi="Arial"/>
              <w:noProof/>
              <w:sz w:val="22"/>
              <w14:ligatures w14:val="none"/>
            </w:rPr>
          </w:pPr>
          <w:hyperlink w:anchor="_Toc117727120" w:history="1">
            <w:r w:rsidR="00FD6EFE" w:rsidRPr="00FD6EFE">
              <w:rPr>
                <w:rStyle w:val="Hyperlink"/>
                <w:rFonts w:ascii="Arial" w:hAnsi="Arial"/>
                <w:noProof/>
                <w:color w:val="auto"/>
                <w:sz w:val="22"/>
                <w:shd w:val="clear" w:color="auto" w:fill="FFFFFF"/>
              </w:rPr>
              <w:t>Direct Fluorescent Antibody Assay (Dfa)</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_Toc117727120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3</w:t>
            </w:r>
            <w:r w:rsidR="00FD6EFE" w:rsidRPr="00FD6EFE">
              <w:rPr>
                <w:rFonts w:ascii="Arial" w:hAnsi="Arial"/>
                <w:noProof/>
                <w:webHidden/>
                <w:sz w:val="22"/>
              </w:rPr>
              <w:fldChar w:fldCharType="end"/>
            </w:r>
          </w:hyperlink>
        </w:p>
        <w:p w14:paraId="0CDEE360" w14:textId="77777777" w:rsidR="00FD6EFE" w:rsidRPr="00FD6EFE" w:rsidRDefault="00000000">
          <w:pPr>
            <w:pStyle w:val="TOC2"/>
            <w:tabs>
              <w:tab w:val="right" w:leader="dot" w:pos="9350"/>
            </w:tabs>
            <w:rPr>
              <w:rFonts w:ascii="Arial" w:eastAsiaTheme="minorEastAsia" w:hAnsi="Arial"/>
              <w:noProof/>
              <w:sz w:val="22"/>
              <w14:ligatures w14:val="none"/>
            </w:rPr>
          </w:pPr>
          <w:hyperlink w:anchor="_Toc117727121" w:history="1">
            <w:r w:rsidR="00FD6EFE" w:rsidRPr="00FD6EFE">
              <w:rPr>
                <w:rStyle w:val="Hyperlink"/>
                <w:rFonts w:ascii="Arial" w:hAnsi="Arial"/>
                <w:noProof/>
                <w:color w:val="auto"/>
                <w:sz w:val="22"/>
                <w:shd w:val="clear" w:color="auto" w:fill="FFFFFF"/>
              </w:rPr>
              <w:t>Paired Acute and Convalescent Sera</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_Toc117727121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4</w:t>
            </w:r>
            <w:r w:rsidR="00FD6EFE" w:rsidRPr="00FD6EFE">
              <w:rPr>
                <w:rFonts w:ascii="Arial" w:hAnsi="Arial"/>
                <w:noProof/>
                <w:webHidden/>
                <w:sz w:val="22"/>
              </w:rPr>
              <w:fldChar w:fldCharType="end"/>
            </w:r>
          </w:hyperlink>
        </w:p>
        <w:p w14:paraId="5DC591B2" w14:textId="77777777" w:rsidR="00FD6EFE" w:rsidRPr="00FD6EFE" w:rsidRDefault="00000000">
          <w:pPr>
            <w:pStyle w:val="TOC1"/>
            <w:tabs>
              <w:tab w:val="right" w:leader="dot" w:pos="9350"/>
            </w:tabs>
            <w:rPr>
              <w:rFonts w:ascii="Arial" w:eastAsiaTheme="minorEastAsia" w:hAnsi="Arial"/>
              <w:noProof/>
              <w:sz w:val="22"/>
              <w14:ligatures w14:val="none"/>
            </w:rPr>
          </w:pPr>
          <w:hyperlink w:anchor="_Toc117727122" w:history="1">
            <w:r w:rsidR="00FD6EFE" w:rsidRPr="00FD6EFE">
              <w:rPr>
                <w:rStyle w:val="Hyperlink"/>
                <w:rFonts w:ascii="Arial" w:hAnsi="Arial"/>
                <w:noProof/>
                <w:color w:val="auto"/>
                <w:sz w:val="22"/>
              </w:rPr>
              <w:t>Strategies Used to Monitor</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_Toc117727122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4</w:t>
            </w:r>
            <w:r w:rsidR="00FD6EFE" w:rsidRPr="00FD6EFE">
              <w:rPr>
                <w:rFonts w:ascii="Arial" w:hAnsi="Arial"/>
                <w:noProof/>
                <w:webHidden/>
                <w:sz w:val="22"/>
              </w:rPr>
              <w:fldChar w:fldCharType="end"/>
            </w:r>
          </w:hyperlink>
        </w:p>
        <w:p w14:paraId="7F733FDD" w14:textId="77777777" w:rsidR="00FD6EFE" w:rsidRPr="00FD6EFE" w:rsidRDefault="00000000">
          <w:pPr>
            <w:pStyle w:val="TOC2"/>
            <w:tabs>
              <w:tab w:val="right" w:leader="dot" w:pos="9350"/>
            </w:tabs>
            <w:rPr>
              <w:rFonts w:ascii="Arial" w:eastAsiaTheme="minorEastAsia" w:hAnsi="Arial"/>
              <w:noProof/>
              <w:sz w:val="22"/>
              <w14:ligatures w14:val="none"/>
            </w:rPr>
          </w:pPr>
          <w:hyperlink w:anchor="_Toc117727123" w:history="1">
            <w:r w:rsidR="00FD6EFE" w:rsidRPr="00FD6EFE">
              <w:rPr>
                <w:rStyle w:val="Hyperlink"/>
                <w:rFonts w:ascii="Arial" w:hAnsi="Arial"/>
                <w:noProof/>
                <w:color w:val="auto"/>
                <w:sz w:val="22"/>
              </w:rPr>
              <w:t>Incubation Period and Prodrome</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_Toc117727123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4</w:t>
            </w:r>
            <w:r w:rsidR="00FD6EFE" w:rsidRPr="00FD6EFE">
              <w:rPr>
                <w:rFonts w:ascii="Arial" w:hAnsi="Arial"/>
                <w:noProof/>
                <w:webHidden/>
                <w:sz w:val="22"/>
              </w:rPr>
              <w:fldChar w:fldCharType="end"/>
            </w:r>
          </w:hyperlink>
        </w:p>
        <w:p w14:paraId="0365F833" w14:textId="77777777" w:rsidR="00FD6EFE" w:rsidRPr="00FD6EFE" w:rsidRDefault="00000000">
          <w:pPr>
            <w:pStyle w:val="TOC1"/>
            <w:tabs>
              <w:tab w:val="right" w:leader="dot" w:pos="9350"/>
            </w:tabs>
            <w:rPr>
              <w:rFonts w:ascii="Arial" w:eastAsiaTheme="minorEastAsia" w:hAnsi="Arial"/>
              <w:noProof/>
              <w:sz w:val="22"/>
              <w14:ligatures w14:val="none"/>
            </w:rPr>
          </w:pPr>
          <w:hyperlink w:anchor="_Toc117727124" w:history="1">
            <w:r w:rsidR="00FD6EFE" w:rsidRPr="00FD6EFE">
              <w:rPr>
                <w:rStyle w:val="Hyperlink"/>
                <w:rFonts w:ascii="Arial" w:hAnsi="Arial"/>
                <w:noProof/>
                <w:color w:val="auto"/>
                <w:sz w:val="22"/>
              </w:rPr>
              <w:t>Strategies Used to Control</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_Toc117727124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4</w:t>
            </w:r>
            <w:r w:rsidR="00FD6EFE" w:rsidRPr="00FD6EFE">
              <w:rPr>
                <w:rFonts w:ascii="Arial" w:hAnsi="Arial"/>
                <w:noProof/>
                <w:webHidden/>
                <w:sz w:val="22"/>
              </w:rPr>
              <w:fldChar w:fldCharType="end"/>
            </w:r>
          </w:hyperlink>
        </w:p>
        <w:p w14:paraId="79EF7A31" w14:textId="77777777" w:rsidR="00FD6EFE" w:rsidRPr="00FD6EFE" w:rsidRDefault="00000000">
          <w:pPr>
            <w:pStyle w:val="TOC2"/>
            <w:tabs>
              <w:tab w:val="right" w:leader="dot" w:pos="9350"/>
            </w:tabs>
            <w:rPr>
              <w:rFonts w:ascii="Arial" w:eastAsiaTheme="minorEastAsia" w:hAnsi="Arial"/>
              <w:noProof/>
              <w:sz w:val="22"/>
              <w14:ligatures w14:val="none"/>
            </w:rPr>
          </w:pPr>
          <w:hyperlink w:anchor="_Toc117727125" w:history="1">
            <w:r w:rsidR="00FD6EFE" w:rsidRPr="00FD6EFE">
              <w:rPr>
                <w:rStyle w:val="Hyperlink"/>
                <w:rFonts w:ascii="Arial" w:hAnsi="Arial"/>
                <w:noProof/>
                <w:color w:val="auto"/>
                <w:sz w:val="22"/>
              </w:rPr>
              <w:t>Vaccine</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_Toc117727125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4</w:t>
            </w:r>
            <w:r w:rsidR="00FD6EFE" w:rsidRPr="00FD6EFE">
              <w:rPr>
                <w:rFonts w:ascii="Arial" w:hAnsi="Arial"/>
                <w:noProof/>
                <w:webHidden/>
                <w:sz w:val="22"/>
              </w:rPr>
              <w:fldChar w:fldCharType="end"/>
            </w:r>
          </w:hyperlink>
        </w:p>
        <w:p w14:paraId="732F9672" w14:textId="77777777" w:rsidR="00FD6EFE" w:rsidRPr="00FD6EFE" w:rsidRDefault="00000000">
          <w:pPr>
            <w:pStyle w:val="TOC2"/>
            <w:tabs>
              <w:tab w:val="right" w:leader="dot" w:pos="9350"/>
            </w:tabs>
            <w:rPr>
              <w:rFonts w:ascii="Arial" w:eastAsiaTheme="minorEastAsia" w:hAnsi="Arial"/>
              <w:noProof/>
              <w:sz w:val="22"/>
              <w14:ligatures w14:val="none"/>
            </w:rPr>
          </w:pPr>
          <w:hyperlink w:anchor="_Toc117727126" w:history="1">
            <w:r w:rsidR="00FD6EFE" w:rsidRPr="00FD6EFE">
              <w:rPr>
                <w:rStyle w:val="Hyperlink"/>
                <w:rFonts w:ascii="Arial" w:hAnsi="Arial"/>
                <w:noProof/>
                <w:color w:val="auto"/>
                <w:sz w:val="22"/>
              </w:rPr>
              <w:t>Treatment</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_Toc117727126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5</w:t>
            </w:r>
            <w:r w:rsidR="00FD6EFE" w:rsidRPr="00FD6EFE">
              <w:rPr>
                <w:rFonts w:ascii="Arial" w:hAnsi="Arial"/>
                <w:noProof/>
                <w:webHidden/>
                <w:sz w:val="22"/>
              </w:rPr>
              <w:fldChar w:fldCharType="end"/>
            </w:r>
          </w:hyperlink>
        </w:p>
        <w:p w14:paraId="03AB7BF1" w14:textId="77777777" w:rsidR="00FD6EFE" w:rsidRPr="00FD6EFE" w:rsidRDefault="00000000">
          <w:pPr>
            <w:pStyle w:val="TOC1"/>
            <w:tabs>
              <w:tab w:val="right" w:leader="dot" w:pos="9350"/>
            </w:tabs>
            <w:rPr>
              <w:rFonts w:ascii="Arial" w:eastAsiaTheme="minorEastAsia" w:hAnsi="Arial"/>
              <w:noProof/>
              <w:sz w:val="22"/>
              <w14:ligatures w14:val="none"/>
            </w:rPr>
          </w:pPr>
          <w:hyperlink w:anchor="_Toc117727127" w:history="1">
            <w:r w:rsidR="00FD6EFE" w:rsidRPr="00FD6EFE">
              <w:rPr>
                <w:rStyle w:val="Hyperlink"/>
                <w:rFonts w:ascii="Arial" w:hAnsi="Arial"/>
                <w:noProof/>
                <w:color w:val="auto"/>
                <w:sz w:val="22"/>
              </w:rPr>
              <w:t>Conclusion</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_Toc117727127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5</w:t>
            </w:r>
            <w:r w:rsidR="00FD6EFE" w:rsidRPr="00FD6EFE">
              <w:rPr>
                <w:rFonts w:ascii="Arial" w:hAnsi="Arial"/>
                <w:noProof/>
                <w:webHidden/>
                <w:sz w:val="22"/>
              </w:rPr>
              <w:fldChar w:fldCharType="end"/>
            </w:r>
          </w:hyperlink>
        </w:p>
        <w:p w14:paraId="64BE8F03" w14:textId="77777777" w:rsidR="00FD6EFE" w:rsidRPr="00FD6EFE" w:rsidRDefault="00000000">
          <w:pPr>
            <w:pStyle w:val="TOC1"/>
            <w:tabs>
              <w:tab w:val="right" w:leader="dot" w:pos="9350"/>
            </w:tabs>
            <w:rPr>
              <w:rFonts w:ascii="Arial" w:eastAsiaTheme="minorEastAsia" w:hAnsi="Arial"/>
              <w:noProof/>
              <w:sz w:val="22"/>
              <w14:ligatures w14:val="none"/>
            </w:rPr>
          </w:pPr>
          <w:hyperlink w:anchor="_Toc117727128" w:history="1">
            <w:r w:rsidR="00FD6EFE" w:rsidRPr="00FD6EFE">
              <w:rPr>
                <w:rStyle w:val="Hyperlink"/>
                <w:rFonts w:ascii="Arial" w:hAnsi="Arial"/>
                <w:iCs/>
                <w:noProof/>
                <w:color w:val="auto"/>
                <w:sz w:val="22"/>
              </w:rPr>
              <w:t>References</w:t>
            </w:r>
            <w:r w:rsidR="00FD6EFE" w:rsidRPr="00FD6EFE">
              <w:rPr>
                <w:rFonts w:ascii="Arial" w:hAnsi="Arial"/>
                <w:noProof/>
                <w:webHidden/>
                <w:sz w:val="22"/>
              </w:rPr>
              <w:tab/>
            </w:r>
            <w:r w:rsidR="00FD6EFE" w:rsidRPr="00FD6EFE">
              <w:rPr>
                <w:rFonts w:ascii="Arial" w:hAnsi="Arial"/>
                <w:noProof/>
                <w:webHidden/>
                <w:sz w:val="22"/>
              </w:rPr>
              <w:fldChar w:fldCharType="begin"/>
            </w:r>
            <w:r w:rsidR="00FD6EFE" w:rsidRPr="00FD6EFE">
              <w:rPr>
                <w:rFonts w:ascii="Arial" w:hAnsi="Arial"/>
                <w:noProof/>
                <w:webHidden/>
                <w:sz w:val="22"/>
              </w:rPr>
              <w:instrText xml:space="preserve"> PAGEREF _Toc117727128 \h </w:instrText>
            </w:r>
            <w:r w:rsidR="00FD6EFE" w:rsidRPr="00FD6EFE">
              <w:rPr>
                <w:rFonts w:ascii="Arial" w:hAnsi="Arial"/>
                <w:noProof/>
                <w:webHidden/>
                <w:sz w:val="22"/>
              </w:rPr>
            </w:r>
            <w:r w:rsidR="00FD6EFE" w:rsidRPr="00FD6EFE">
              <w:rPr>
                <w:rFonts w:ascii="Arial" w:hAnsi="Arial"/>
                <w:noProof/>
                <w:webHidden/>
                <w:sz w:val="22"/>
              </w:rPr>
              <w:fldChar w:fldCharType="separate"/>
            </w:r>
            <w:r w:rsidR="00FD6EFE" w:rsidRPr="00FD6EFE">
              <w:rPr>
                <w:rFonts w:ascii="Arial" w:hAnsi="Arial"/>
                <w:noProof/>
                <w:webHidden/>
                <w:sz w:val="22"/>
              </w:rPr>
              <w:t>7</w:t>
            </w:r>
            <w:r w:rsidR="00FD6EFE" w:rsidRPr="00FD6EFE">
              <w:rPr>
                <w:rFonts w:ascii="Arial" w:hAnsi="Arial"/>
                <w:noProof/>
                <w:webHidden/>
                <w:sz w:val="22"/>
              </w:rPr>
              <w:fldChar w:fldCharType="end"/>
            </w:r>
          </w:hyperlink>
        </w:p>
        <w:p w14:paraId="7D814459" w14:textId="77777777" w:rsidR="00E247CB" w:rsidRPr="00EA1F31" w:rsidRDefault="00C4558B" w:rsidP="00EA1F31">
          <w:pPr>
            <w:spacing w:line="360" w:lineRule="auto"/>
            <w:contextualSpacing/>
            <w:jc w:val="both"/>
            <w:rPr>
              <w:rFonts w:ascii="Arial" w:hAnsi="Arial"/>
              <w:sz w:val="22"/>
            </w:rPr>
          </w:pPr>
          <w:r w:rsidRPr="00FD6EFE">
            <w:rPr>
              <w:rFonts w:ascii="Arial" w:hAnsi="Arial"/>
              <w:noProof/>
              <w:sz w:val="22"/>
            </w:rPr>
            <w:fldChar w:fldCharType="end"/>
          </w:r>
        </w:p>
      </w:sdtContent>
    </w:sdt>
    <w:p w14:paraId="6327F780" w14:textId="77777777" w:rsidR="00E20F5F" w:rsidRPr="00EA1F31" w:rsidRDefault="00E20F5F" w:rsidP="00EA1F31">
      <w:pPr>
        <w:spacing w:line="360" w:lineRule="auto"/>
        <w:contextualSpacing/>
        <w:jc w:val="both"/>
        <w:rPr>
          <w:rFonts w:ascii="Arial" w:hAnsi="Arial"/>
          <w:sz w:val="22"/>
        </w:rPr>
      </w:pPr>
    </w:p>
    <w:p w14:paraId="0F4EDC5E" w14:textId="77777777" w:rsidR="00E20F5F" w:rsidRPr="00EA1F31" w:rsidRDefault="00C4558B" w:rsidP="00EA1F31">
      <w:pPr>
        <w:spacing w:line="360" w:lineRule="auto"/>
        <w:contextualSpacing/>
        <w:jc w:val="both"/>
        <w:rPr>
          <w:rFonts w:ascii="Arial" w:hAnsi="Arial"/>
          <w:sz w:val="22"/>
        </w:rPr>
      </w:pPr>
      <w:r w:rsidRPr="00EA1F31">
        <w:rPr>
          <w:rFonts w:ascii="Arial" w:hAnsi="Arial"/>
          <w:sz w:val="22"/>
        </w:rPr>
        <w:br w:type="page"/>
      </w:r>
    </w:p>
    <w:p w14:paraId="5F68C715" w14:textId="77777777" w:rsidR="00E20F5F" w:rsidRPr="00EA1F31" w:rsidRDefault="00C4558B" w:rsidP="00EA1F31">
      <w:pPr>
        <w:pStyle w:val="Heading1"/>
      </w:pPr>
      <w:bookmarkStart w:id="0" w:name="_Toc117727117"/>
      <w:r w:rsidRPr="00EA1F31">
        <w:lastRenderedPageBreak/>
        <w:t>Introduction</w:t>
      </w:r>
      <w:bookmarkEnd w:id="0"/>
    </w:p>
    <w:p w14:paraId="51AA4EAA" w14:textId="77777777" w:rsidR="00E20F5F" w:rsidRPr="00EA1F31" w:rsidRDefault="00C4558B" w:rsidP="00EA1F31">
      <w:pPr>
        <w:spacing w:line="360" w:lineRule="auto"/>
        <w:ind w:firstLine="720"/>
        <w:contextualSpacing/>
        <w:jc w:val="both"/>
        <w:rPr>
          <w:rFonts w:ascii="Arial" w:hAnsi="Arial"/>
          <w:sz w:val="22"/>
        </w:rPr>
      </w:pPr>
      <w:r w:rsidRPr="00EA1F31">
        <w:rPr>
          <w:rFonts w:ascii="Arial" w:hAnsi="Arial"/>
          <w:sz w:val="22"/>
        </w:rPr>
        <w:t>Chickenpox (varicella) and shingles (herpes zoster) are two of the clinical viral infections caused by the varicella-zoster virus (VZV). Chickenpox is the most common childhood illness caused by the human varicella-zoster virus. Most victims of this widespread disease are children under ten</w:t>
      </w:r>
      <w:r w:rsidR="009819CF" w:rsidRPr="00EA1F31">
        <w:rPr>
          <w:rFonts w:ascii="Arial" w:hAnsi="Arial"/>
          <w:sz w:val="22"/>
        </w:rPr>
        <w:t xml:space="preserve"> </w:t>
      </w:r>
      <w:r w:rsidR="009819CF" w:rsidRPr="00EA1F31">
        <w:rPr>
          <w:rFonts w:ascii="Arial" w:hAnsi="Arial"/>
          <w:sz w:val="22"/>
          <w14:ligatures w14:val="none"/>
        </w:rPr>
        <w:t>(Rao, 2021)</w:t>
      </w:r>
      <w:r w:rsidRPr="00EA1F31">
        <w:rPr>
          <w:rFonts w:ascii="Arial" w:hAnsi="Arial"/>
          <w:sz w:val="22"/>
        </w:rPr>
        <w:t>. Chickenpox causes little to no permanent damage.</w:t>
      </w:r>
      <w:r w:rsidR="009819CF" w:rsidRPr="00EA1F31">
        <w:rPr>
          <w:rFonts w:ascii="Arial" w:hAnsi="Arial"/>
          <w:sz w:val="22"/>
        </w:rPr>
        <w:t xml:space="preserve"> Furthermore,</w:t>
      </w:r>
      <w:r w:rsidRPr="00EA1F31">
        <w:rPr>
          <w:rFonts w:ascii="Arial" w:hAnsi="Arial"/>
          <w:sz w:val="22"/>
        </w:rPr>
        <w:t xml:space="preserve"> </w:t>
      </w:r>
      <w:r w:rsidR="009819CF" w:rsidRPr="00EA1F31">
        <w:rPr>
          <w:rFonts w:ascii="Arial" w:hAnsi="Arial"/>
          <w:sz w:val="22"/>
        </w:rPr>
        <w:t>t</w:t>
      </w:r>
      <w:r w:rsidRPr="00EA1F31">
        <w:rPr>
          <w:rFonts w:ascii="Arial" w:hAnsi="Arial"/>
          <w:sz w:val="22"/>
        </w:rPr>
        <w:t>he severity of adult diseases often exceeds that of childhood illnesses. By the time a person reaches the age of 40 in the United Kingdom, varicella infection seems to have reached epidemic proportions</w:t>
      </w:r>
      <w:r w:rsidR="00E247CB" w:rsidRPr="00EA1F31">
        <w:rPr>
          <w:rFonts w:ascii="Arial" w:hAnsi="Arial"/>
          <w:sz w:val="22"/>
        </w:rPr>
        <w:t xml:space="preserve"> (Harder and Siedler, 2019)</w:t>
      </w:r>
      <w:r w:rsidRPr="00EA1F31">
        <w:rPr>
          <w:rFonts w:ascii="Arial" w:hAnsi="Arial"/>
          <w:sz w:val="22"/>
        </w:rPr>
        <w:t>. Children often only have mild symptoms, but adults and the rising number of immunocompromised people might be at risk. The study aims to discuss the strategies to measure the incidence of chickenpox.</w:t>
      </w:r>
    </w:p>
    <w:p w14:paraId="0D98A807" w14:textId="77777777" w:rsidR="00E20F5F" w:rsidRPr="00EA1F31" w:rsidRDefault="00E20F5F" w:rsidP="00EA1F31">
      <w:pPr>
        <w:spacing w:line="360" w:lineRule="auto"/>
        <w:contextualSpacing/>
        <w:jc w:val="both"/>
        <w:rPr>
          <w:rFonts w:ascii="Arial" w:hAnsi="Arial"/>
          <w:sz w:val="22"/>
        </w:rPr>
      </w:pPr>
    </w:p>
    <w:p w14:paraId="3472C6F9" w14:textId="77777777" w:rsidR="00E20F5F" w:rsidRPr="00EA1F31" w:rsidRDefault="009819CF" w:rsidP="00EA1F31">
      <w:pPr>
        <w:pStyle w:val="Heading1"/>
      </w:pPr>
      <w:bookmarkStart w:id="1" w:name="_Toc117727118"/>
      <w:r w:rsidRPr="00EA1F31">
        <w:t xml:space="preserve">Strategies Used </w:t>
      </w:r>
      <w:r w:rsidR="00EA1F31" w:rsidRPr="00EA1F31">
        <w:t>to</w:t>
      </w:r>
      <w:r w:rsidRPr="00EA1F31">
        <w:t xml:space="preserve"> Measure</w:t>
      </w:r>
      <w:bookmarkEnd w:id="1"/>
    </w:p>
    <w:p w14:paraId="3247FB4D" w14:textId="77777777" w:rsidR="009819CF" w:rsidRPr="00EA1F31" w:rsidRDefault="009819CF" w:rsidP="00EA1F31">
      <w:pPr>
        <w:pStyle w:val="Heading2"/>
      </w:pPr>
      <w:bookmarkStart w:id="2" w:name="_Toc117727119"/>
      <w:r w:rsidRPr="00EA1F31">
        <w:t>Polymerase Chain Reaction (PCR)</w:t>
      </w:r>
      <w:bookmarkEnd w:id="2"/>
    </w:p>
    <w:p w14:paraId="0E807F55" w14:textId="248DE286" w:rsidR="009819CF" w:rsidRPr="00EA1F31" w:rsidRDefault="00EA1F31" w:rsidP="00EA1F31">
      <w:pPr>
        <w:spacing w:line="360" w:lineRule="auto"/>
        <w:ind w:firstLine="720"/>
        <w:contextualSpacing/>
        <w:jc w:val="both"/>
        <w:rPr>
          <w:rFonts w:ascii="Arial" w:hAnsi="Arial"/>
          <w:color w:val="000000"/>
          <w:sz w:val="22"/>
          <w:shd w:val="clear" w:color="auto" w:fill="FFFFFF"/>
        </w:rPr>
      </w:pPr>
      <w:r w:rsidRPr="00EA1F31">
        <w:rPr>
          <w:rFonts w:ascii="Arial" w:hAnsi="Arial"/>
          <w:color w:val="000000"/>
          <w:sz w:val="22"/>
          <w:shd w:val="clear" w:color="auto" w:fill="FFFFFF"/>
        </w:rPr>
        <w:t>Detecting the varicella-zoster virus (VZV) in skin lesions by polymerase chain reaction (PCR) is the gold standard for confirming a varicella diagnosis (vesicles, scabs, maculopapular lesions). The best areas to take a sample are from vesicular sores or scabs on the skin. It may be challenging to get representative samples from maculopapular lesions in vaccinated individuals</w:t>
      </w:r>
      <w:r>
        <w:rPr>
          <w:rFonts w:ascii="Arial" w:hAnsi="Arial"/>
          <w:color w:val="000000"/>
          <w:sz w:val="22"/>
          <w:shd w:val="clear" w:color="auto" w:fill="FFFFFF"/>
        </w:rPr>
        <w:t xml:space="preserve"> </w:t>
      </w:r>
      <w:r>
        <w:rPr>
          <w:rFonts w:ascii="Arial" w:hAnsi="Arial"/>
          <w:sz w:val="22"/>
          <w14:ligatures w14:val="none"/>
        </w:rPr>
        <w:t>(Rao, 2021)</w:t>
      </w:r>
      <w:r w:rsidRPr="00EA1F31">
        <w:rPr>
          <w:rFonts w:ascii="Arial" w:hAnsi="Arial"/>
          <w:color w:val="000000"/>
          <w:sz w:val="22"/>
          <w:shd w:val="clear" w:color="auto" w:fill="FFFFFF"/>
        </w:rPr>
        <w:t>. Maculopapular lesions collected with the appropriate method may be one of the most</w:t>
      </w:r>
      <w:r w:rsidR="007377D0">
        <w:rPr>
          <w:rFonts w:ascii="Arial" w:hAnsi="Arial"/>
          <w:color w:val="000000"/>
          <w:sz w:val="22"/>
          <w:shd w:val="clear" w:color="auto" w:fill="FFFFFF"/>
        </w:rPr>
        <w:t xml:space="preserve"> </w:t>
      </w:r>
      <w:r w:rsidRPr="00EA1F31">
        <w:rPr>
          <w:rFonts w:ascii="Arial" w:hAnsi="Arial"/>
          <w:color w:val="000000"/>
          <w:sz w:val="22"/>
          <w:shd w:val="clear" w:color="auto" w:fill="FFFFFF"/>
        </w:rPr>
        <w:t xml:space="preserve">specimen types </w:t>
      </w:r>
      <w:r w:rsidR="007377D0">
        <w:rPr>
          <w:rFonts w:ascii="Arial" w:hAnsi="Arial"/>
          <w:color w:val="000000"/>
          <w:sz w:val="22"/>
          <w:shd w:val="clear" w:color="auto" w:fill="FFFFFF"/>
        </w:rPr>
        <w:t>to detect the</w:t>
      </w:r>
      <w:r w:rsidRPr="00EA1F31">
        <w:rPr>
          <w:rFonts w:ascii="Arial" w:hAnsi="Arial"/>
          <w:color w:val="000000"/>
          <w:sz w:val="22"/>
          <w:shd w:val="clear" w:color="auto" w:fill="FFFFFF"/>
        </w:rPr>
        <w:t xml:space="preserve"> VZV, as suggested by the results of a study that compared multiple samples taken from the same patients who had only received a single dose of varicella vaccination</w:t>
      </w:r>
      <w:r>
        <w:rPr>
          <w:rFonts w:ascii="Arial" w:hAnsi="Arial"/>
          <w:color w:val="000000"/>
          <w:sz w:val="22"/>
          <w:shd w:val="clear" w:color="auto" w:fill="FFFFFF"/>
        </w:rPr>
        <w:t xml:space="preserve"> in the UK</w:t>
      </w:r>
      <w:r w:rsidRPr="00EA1F31">
        <w:rPr>
          <w:rFonts w:ascii="Arial" w:hAnsi="Arial"/>
          <w:color w:val="000000"/>
          <w:sz w:val="22"/>
          <w:shd w:val="clear" w:color="auto" w:fill="FFFFFF"/>
        </w:rPr>
        <w:t>. Obtaining an adequate sample such as nasopharyngeal secretions,</w:t>
      </w:r>
      <w:r w:rsidR="007377D0" w:rsidRPr="007377D0">
        <w:rPr>
          <w:rFonts w:ascii="Arial" w:hAnsi="Arial"/>
          <w:color w:val="000000"/>
          <w:sz w:val="22"/>
          <w:shd w:val="clear" w:color="auto" w:fill="FFFFFF"/>
        </w:rPr>
        <w:t xml:space="preserve"> </w:t>
      </w:r>
      <w:r w:rsidR="007377D0" w:rsidRPr="00EA1F31">
        <w:rPr>
          <w:rFonts w:ascii="Arial" w:hAnsi="Arial"/>
          <w:color w:val="000000"/>
          <w:sz w:val="22"/>
          <w:shd w:val="clear" w:color="auto" w:fill="FFFFFF"/>
        </w:rPr>
        <w:t>cerebrospinal fluid (CSF)</w:t>
      </w:r>
      <w:r w:rsidR="007377D0">
        <w:rPr>
          <w:rFonts w:ascii="Arial" w:hAnsi="Arial"/>
          <w:color w:val="000000"/>
          <w:sz w:val="22"/>
          <w:shd w:val="clear" w:color="auto" w:fill="FFFFFF"/>
        </w:rPr>
        <w:t>,</w:t>
      </w:r>
      <w:r w:rsidRPr="00EA1F31">
        <w:rPr>
          <w:rFonts w:ascii="Arial" w:hAnsi="Arial"/>
          <w:color w:val="000000"/>
          <w:sz w:val="22"/>
          <w:shd w:val="clear" w:color="auto" w:fill="FFFFFF"/>
        </w:rPr>
        <w:t xml:space="preserve"> </w:t>
      </w:r>
      <w:r w:rsidR="007377D0" w:rsidRPr="00EA1F31">
        <w:rPr>
          <w:rFonts w:ascii="Arial" w:hAnsi="Arial"/>
          <w:color w:val="000000"/>
          <w:sz w:val="22"/>
          <w:shd w:val="clear" w:color="auto" w:fill="FFFFFF"/>
        </w:rPr>
        <w:t>bronchial washings</w:t>
      </w:r>
      <w:r w:rsidR="007377D0">
        <w:rPr>
          <w:rFonts w:ascii="Arial" w:hAnsi="Arial"/>
          <w:color w:val="000000"/>
          <w:sz w:val="22"/>
          <w:shd w:val="clear" w:color="auto" w:fill="FFFFFF"/>
        </w:rPr>
        <w:t>,</w:t>
      </w:r>
      <w:r w:rsidR="007377D0" w:rsidRPr="00EA1F31">
        <w:rPr>
          <w:rFonts w:ascii="Arial" w:hAnsi="Arial"/>
          <w:color w:val="000000"/>
          <w:sz w:val="22"/>
          <w:shd w:val="clear" w:color="auto" w:fill="FFFFFF"/>
        </w:rPr>
        <w:t xml:space="preserve"> </w:t>
      </w:r>
      <w:bookmarkStart w:id="3" w:name="_Int_n5HKykY4"/>
      <w:r w:rsidRPr="00EA1F31">
        <w:rPr>
          <w:rFonts w:ascii="Arial" w:hAnsi="Arial"/>
          <w:color w:val="000000"/>
          <w:sz w:val="22"/>
          <w:shd w:val="clear" w:color="auto" w:fill="FFFFFF"/>
        </w:rPr>
        <w:t>saliva</w:t>
      </w:r>
      <w:r w:rsidR="2F91904D" w:rsidRPr="25C5172E">
        <w:rPr>
          <w:rFonts w:ascii="Arial" w:hAnsi="Arial"/>
          <w:color w:val="000000"/>
          <w:sz w:val="22"/>
          <w:shd w:val="clear" w:color="auto" w:fill="FFFFFF"/>
        </w:rPr>
        <w:t>,</w:t>
      </w:r>
      <w:bookmarkEnd w:id="3"/>
      <w:r w:rsidR="007377D0">
        <w:rPr>
          <w:rFonts w:ascii="Arial" w:hAnsi="Arial"/>
          <w:color w:val="000000"/>
          <w:sz w:val="22"/>
          <w:shd w:val="clear" w:color="auto" w:fill="FFFFFF"/>
        </w:rPr>
        <w:t xml:space="preserve"> </w:t>
      </w:r>
      <w:r w:rsidRPr="00EA1F31">
        <w:rPr>
          <w:rFonts w:ascii="Arial" w:hAnsi="Arial"/>
          <w:color w:val="000000"/>
          <w:sz w:val="22"/>
          <w:shd w:val="clear" w:color="auto" w:fill="FFFFFF"/>
        </w:rPr>
        <w:t>and</w:t>
      </w:r>
      <w:r w:rsidR="007377D0" w:rsidRPr="007377D0">
        <w:rPr>
          <w:rFonts w:ascii="Arial" w:hAnsi="Arial"/>
          <w:color w:val="000000"/>
          <w:sz w:val="22"/>
          <w:shd w:val="clear" w:color="auto" w:fill="FFFFFF"/>
        </w:rPr>
        <w:t xml:space="preserve"> </w:t>
      </w:r>
      <w:r w:rsidR="007377D0" w:rsidRPr="00EA1F31">
        <w:rPr>
          <w:rFonts w:ascii="Arial" w:hAnsi="Arial"/>
          <w:color w:val="000000"/>
          <w:sz w:val="22"/>
          <w:shd w:val="clear" w:color="auto" w:fill="FFFFFF"/>
        </w:rPr>
        <w:t>urine</w:t>
      </w:r>
      <w:r w:rsidRPr="00EA1F31">
        <w:rPr>
          <w:rFonts w:ascii="Arial" w:hAnsi="Arial"/>
          <w:color w:val="000000"/>
          <w:sz w:val="22"/>
          <w:shd w:val="clear" w:color="auto" w:fill="FFFFFF"/>
        </w:rPr>
        <w:t>, is more difficult and sometimes yields false negative results</w:t>
      </w:r>
      <w:r>
        <w:rPr>
          <w:rFonts w:ascii="Arial" w:hAnsi="Arial"/>
          <w:color w:val="000000"/>
          <w:sz w:val="22"/>
          <w:shd w:val="clear" w:color="auto" w:fill="FFFFFF"/>
        </w:rPr>
        <w:t xml:space="preserve"> </w:t>
      </w:r>
      <w:r>
        <w:rPr>
          <w:rFonts w:ascii="Arial" w:hAnsi="Arial"/>
          <w:sz w:val="22"/>
          <w14:ligatures w14:val="none"/>
        </w:rPr>
        <w:t>(Harder and Siedler, 2019)</w:t>
      </w:r>
      <w:r w:rsidRPr="00EA1F31">
        <w:rPr>
          <w:rFonts w:ascii="Arial" w:hAnsi="Arial"/>
          <w:color w:val="000000"/>
          <w:sz w:val="22"/>
          <w:shd w:val="clear" w:color="auto" w:fill="FFFFFF"/>
        </w:rPr>
        <w:t>.</w:t>
      </w:r>
    </w:p>
    <w:p w14:paraId="72A1A8DB" w14:textId="77777777" w:rsidR="009819CF" w:rsidRPr="00EA1F31" w:rsidRDefault="009819CF" w:rsidP="00EA1F31">
      <w:pPr>
        <w:spacing w:line="360" w:lineRule="auto"/>
        <w:contextualSpacing/>
        <w:jc w:val="both"/>
        <w:rPr>
          <w:rFonts w:ascii="Arial" w:hAnsi="Arial"/>
          <w:color w:val="000000"/>
          <w:sz w:val="22"/>
          <w:shd w:val="clear" w:color="auto" w:fill="FFFFFF"/>
        </w:rPr>
      </w:pPr>
    </w:p>
    <w:p w14:paraId="3ED7D69D" w14:textId="77777777" w:rsidR="009819CF" w:rsidRPr="00EA1F31" w:rsidRDefault="007377D0" w:rsidP="00EA1F31">
      <w:pPr>
        <w:pStyle w:val="Heading2"/>
        <w:rPr>
          <w:shd w:val="clear" w:color="auto" w:fill="FFFFFF"/>
        </w:rPr>
      </w:pPr>
      <w:bookmarkStart w:id="4" w:name="_Toc117727120"/>
      <w:r>
        <w:rPr>
          <w:shd w:val="clear" w:color="auto" w:fill="FFFFFF"/>
        </w:rPr>
        <w:t>“</w:t>
      </w:r>
      <w:r w:rsidR="009819CF" w:rsidRPr="00EA1F31">
        <w:rPr>
          <w:shd w:val="clear" w:color="auto" w:fill="FFFFFF"/>
        </w:rPr>
        <w:t>Direct Fluorescent Antibody Assay (Dfa)</w:t>
      </w:r>
      <w:bookmarkEnd w:id="4"/>
      <w:r>
        <w:rPr>
          <w:shd w:val="clear" w:color="auto" w:fill="FFFFFF"/>
        </w:rPr>
        <w:t>”</w:t>
      </w:r>
    </w:p>
    <w:p w14:paraId="79512504" w14:textId="77777777" w:rsidR="009819CF" w:rsidRPr="00EA1F31" w:rsidRDefault="00EA1F31" w:rsidP="00EA1F31">
      <w:pPr>
        <w:pStyle w:val="NormalWeb"/>
        <w:shd w:val="clear" w:color="auto" w:fill="FFFFFF"/>
        <w:spacing w:before="0" w:beforeAutospacing="0" w:after="0" w:afterAutospacing="0" w:line="360" w:lineRule="auto"/>
        <w:ind w:firstLine="720"/>
        <w:contextualSpacing/>
        <w:jc w:val="both"/>
        <w:rPr>
          <w:rFonts w:ascii="Arial" w:hAnsi="Arial" w:cs="Arial"/>
          <w:color w:val="000000"/>
          <w:sz w:val="22"/>
          <w:szCs w:val="22"/>
        </w:rPr>
      </w:pPr>
      <w:r w:rsidRPr="00EA1F31">
        <w:rPr>
          <w:rFonts w:ascii="Arial" w:hAnsi="Arial" w:cs="Arial"/>
          <w:color w:val="000000"/>
          <w:sz w:val="22"/>
          <w:szCs w:val="22"/>
        </w:rPr>
        <w:t xml:space="preserve">Viral isolation is the gold standard for diagnosing varicella, however other procedures, such as the </w:t>
      </w:r>
      <w:r w:rsidR="007377D0">
        <w:rPr>
          <w:rFonts w:ascii="Arial" w:hAnsi="Arial" w:cs="Arial"/>
          <w:color w:val="000000"/>
          <w:sz w:val="22"/>
          <w:szCs w:val="22"/>
        </w:rPr>
        <w:t>“</w:t>
      </w:r>
      <w:r w:rsidRPr="00EA1F31">
        <w:rPr>
          <w:rFonts w:ascii="Arial" w:hAnsi="Arial" w:cs="Arial"/>
          <w:color w:val="000000"/>
          <w:sz w:val="22"/>
          <w:szCs w:val="22"/>
        </w:rPr>
        <w:t>direct fluorescent antibody test (DFA)</w:t>
      </w:r>
      <w:r w:rsidR="007377D0">
        <w:rPr>
          <w:rFonts w:ascii="Arial" w:hAnsi="Arial" w:cs="Arial"/>
          <w:color w:val="000000"/>
          <w:sz w:val="22"/>
          <w:szCs w:val="22"/>
        </w:rPr>
        <w:t>”</w:t>
      </w:r>
      <w:r w:rsidRPr="00EA1F31">
        <w:rPr>
          <w:rFonts w:ascii="Arial" w:hAnsi="Arial" w:cs="Arial"/>
          <w:color w:val="000000"/>
          <w:sz w:val="22"/>
          <w:szCs w:val="22"/>
        </w:rPr>
        <w:t xml:space="preserve"> and viral culture, may be used to confirm the presence of the virus. However, they are frequently not recommended since they are not as sensitive as PCR and, in the case of viral culture, take much longer to deliver findings</w:t>
      </w:r>
      <w:r w:rsidR="00FD6EFE">
        <w:rPr>
          <w:rFonts w:ascii="Arial" w:hAnsi="Arial" w:cs="Arial"/>
          <w:color w:val="000000"/>
          <w:sz w:val="22"/>
          <w:szCs w:val="22"/>
        </w:rPr>
        <w:t xml:space="preserve"> in the UK</w:t>
      </w:r>
      <w:r>
        <w:rPr>
          <w:rFonts w:ascii="Arial" w:hAnsi="Arial" w:cs="Arial"/>
          <w:color w:val="000000"/>
          <w:sz w:val="22"/>
          <w:szCs w:val="22"/>
        </w:rPr>
        <w:t xml:space="preserve"> </w:t>
      </w:r>
      <w:r>
        <w:rPr>
          <w:rFonts w:ascii="Arial" w:hAnsi="Arial"/>
          <w:sz w:val="22"/>
          <w14:ligatures w14:val="none"/>
        </w:rPr>
        <w:t>(Qureshi and Yusuf, 2019)</w:t>
      </w:r>
      <w:r w:rsidRPr="00EA1F31">
        <w:rPr>
          <w:rFonts w:ascii="Arial" w:hAnsi="Arial" w:cs="Arial"/>
          <w:color w:val="000000"/>
          <w:sz w:val="22"/>
          <w:szCs w:val="22"/>
        </w:rPr>
        <w:t>.</w:t>
      </w:r>
    </w:p>
    <w:p w14:paraId="3905FE71" w14:textId="77777777" w:rsidR="00EA1F31" w:rsidRPr="00EA1F31" w:rsidRDefault="00EA1F31" w:rsidP="00EA1F31">
      <w:pPr>
        <w:spacing w:line="360" w:lineRule="auto"/>
        <w:contextualSpacing/>
        <w:rPr>
          <w:rFonts w:ascii="Arial" w:hAnsi="Arial"/>
          <w:iCs/>
          <w:sz w:val="22"/>
          <w:shd w:val="clear" w:color="auto" w:fill="FFFFFF"/>
        </w:rPr>
      </w:pPr>
    </w:p>
    <w:p w14:paraId="35FF15C9" w14:textId="77777777" w:rsidR="00EA1F31" w:rsidRDefault="00EA1F31">
      <w:pPr>
        <w:spacing w:after="160" w:line="259" w:lineRule="auto"/>
        <w:rPr>
          <w:rFonts w:ascii="Arial" w:hAnsi="Arial"/>
          <w:iCs/>
          <w:sz w:val="22"/>
          <w:shd w:val="clear" w:color="auto" w:fill="FFFFFF"/>
        </w:rPr>
      </w:pPr>
      <w:r>
        <w:rPr>
          <w:shd w:val="clear" w:color="auto" w:fill="FFFFFF"/>
        </w:rPr>
        <w:br w:type="page"/>
      </w:r>
    </w:p>
    <w:p w14:paraId="15F3869B" w14:textId="77777777" w:rsidR="009819CF" w:rsidRPr="00EA1F31" w:rsidRDefault="009819CF" w:rsidP="00EA1F31">
      <w:pPr>
        <w:pStyle w:val="Heading2"/>
        <w:rPr>
          <w:shd w:val="clear" w:color="auto" w:fill="FFFFFF"/>
        </w:rPr>
      </w:pPr>
      <w:bookmarkStart w:id="5" w:name="_Toc117727121"/>
      <w:r w:rsidRPr="00EA1F31">
        <w:rPr>
          <w:shd w:val="clear" w:color="auto" w:fill="FFFFFF"/>
        </w:rPr>
        <w:lastRenderedPageBreak/>
        <w:t xml:space="preserve">Paired </w:t>
      </w:r>
      <w:r w:rsidR="00EA1F31" w:rsidRPr="00EA1F31">
        <w:rPr>
          <w:shd w:val="clear" w:color="auto" w:fill="FFFFFF"/>
        </w:rPr>
        <w:t xml:space="preserve">Acute </w:t>
      </w:r>
      <w:r w:rsidRPr="00EA1F31">
        <w:rPr>
          <w:shd w:val="clear" w:color="auto" w:fill="FFFFFF"/>
        </w:rPr>
        <w:t xml:space="preserve">and </w:t>
      </w:r>
      <w:r w:rsidR="00EA1F31" w:rsidRPr="00EA1F31">
        <w:rPr>
          <w:shd w:val="clear" w:color="auto" w:fill="FFFFFF"/>
        </w:rPr>
        <w:t>Convalescent Sera</w:t>
      </w:r>
      <w:bookmarkEnd w:id="5"/>
    </w:p>
    <w:p w14:paraId="3A7F9FD5" w14:textId="0ECC79DE" w:rsidR="009819CF" w:rsidRPr="00EA1F31" w:rsidRDefault="00EA1F31" w:rsidP="074FAE33">
      <w:pPr>
        <w:pStyle w:val="NormalWeb"/>
        <w:shd w:val="clear" w:color="auto" w:fill="FFFFFF" w:themeFill="background1"/>
        <w:spacing w:before="0" w:beforeAutospacing="0" w:after="0" w:afterAutospacing="0" w:line="360" w:lineRule="auto"/>
        <w:ind w:firstLine="720"/>
        <w:contextualSpacing/>
        <w:jc w:val="both"/>
        <w:rPr>
          <w:rFonts w:ascii="Arial" w:hAnsi="Arial" w:cs="Arial"/>
          <w:color w:val="000000"/>
          <w:sz w:val="22"/>
          <w:szCs w:val="22"/>
        </w:rPr>
      </w:pPr>
      <w:r w:rsidRPr="00EA1F31">
        <w:rPr>
          <w:rFonts w:ascii="Arial" w:hAnsi="Arial" w:cs="Arial"/>
          <w:color w:val="000000"/>
          <w:sz w:val="22"/>
          <w:szCs w:val="22"/>
        </w:rPr>
        <w:t xml:space="preserve">Acute and convalescent serum with a fourfold rise in </w:t>
      </w:r>
      <w:r w:rsidR="007377D0">
        <w:rPr>
          <w:rFonts w:ascii="Arial" w:hAnsi="Arial" w:cs="Arial"/>
          <w:color w:val="000000"/>
          <w:sz w:val="22"/>
          <w:szCs w:val="22"/>
        </w:rPr>
        <w:t>“</w:t>
      </w:r>
      <w:r w:rsidRPr="00EA1F31">
        <w:rPr>
          <w:rFonts w:ascii="Arial" w:hAnsi="Arial" w:cs="Arial"/>
          <w:color w:val="000000"/>
          <w:sz w:val="22"/>
          <w:szCs w:val="22"/>
        </w:rPr>
        <w:t>IgG antibodies</w:t>
      </w:r>
      <w:r w:rsidR="007377D0">
        <w:rPr>
          <w:rFonts w:ascii="Arial" w:hAnsi="Arial" w:cs="Arial"/>
          <w:color w:val="000000"/>
          <w:sz w:val="22"/>
          <w:szCs w:val="22"/>
        </w:rPr>
        <w:t>”</w:t>
      </w:r>
      <w:r w:rsidRPr="00EA1F31">
        <w:rPr>
          <w:rFonts w:ascii="Arial" w:hAnsi="Arial" w:cs="Arial"/>
          <w:color w:val="000000"/>
          <w:sz w:val="22"/>
          <w:szCs w:val="22"/>
        </w:rPr>
        <w:t xml:space="preserve"> are highly specific for varicella, although </w:t>
      </w:r>
      <w:bookmarkStart w:id="6" w:name="_Int_C8nk5mOS"/>
      <w:r w:rsidRPr="00EA1F31">
        <w:rPr>
          <w:rFonts w:ascii="Arial" w:hAnsi="Arial" w:cs="Arial"/>
          <w:color w:val="000000"/>
          <w:sz w:val="22"/>
          <w:szCs w:val="22"/>
        </w:rPr>
        <w:t>skin lesions</w:t>
      </w:r>
      <w:r w:rsidR="007377D0">
        <w:rPr>
          <w:rFonts w:ascii="Arial" w:hAnsi="Arial" w:cs="Arial"/>
          <w:color w:val="000000"/>
          <w:sz w:val="22"/>
          <w:szCs w:val="22"/>
        </w:rPr>
        <w:t xml:space="preserve"> </w:t>
      </w:r>
      <w:r w:rsidR="7C8F9523" w:rsidRPr="00EA1F31">
        <w:rPr>
          <w:rFonts w:ascii="Arial" w:hAnsi="Arial" w:cs="Arial"/>
          <w:color w:val="000000"/>
          <w:sz w:val="22"/>
          <w:szCs w:val="22"/>
        </w:rPr>
        <w:t>are</w:t>
      </w:r>
      <w:bookmarkEnd w:id="6"/>
      <w:r w:rsidR="007377D0">
        <w:rPr>
          <w:rFonts w:ascii="Arial" w:hAnsi="Arial" w:cs="Arial"/>
          <w:color w:val="000000"/>
          <w:sz w:val="22"/>
          <w:szCs w:val="22"/>
        </w:rPr>
        <w:t xml:space="preserve"> less sensitive than PCR</w:t>
      </w:r>
      <w:r w:rsidRPr="00EA1F31">
        <w:rPr>
          <w:rFonts w:ascii="Arial" w:hAnsi="Arial" w:cs="Arial"/>
          <w:color w:val="000000"/>
          <w:sz w:val="22"/>
          <w:szCs w:val="22"/>
        </w:rPr>
        <w:t xml:space="preserve">. People who have been sick or </w:t>
      </w:r>
      <w:r w:rsidR="00C63A57" w:rsidRPr="00EA1F31">
        <w:rPr>
          <w:rFonts w:ascii="Arial" w:hAnsi="Arial" w:cs="Arial"/>
          <w:color w:val="000000"/>
          <w:sz w:val="22"/>
          <w:szCs w:val="22"/>
        </w:rPr>
        <w:t>immunized</w:t>
      </w:r>
      <w:r w:rsidRPr="00EA1F31">
        <w:rPr>
          <w:rFonts w:ascii="Arial" w:hAnsi="Arial" w:cs="Arial"/>
          <w:color w:val="000000"/>
          <w:sz w:val="22"/>
          <w:szCs w:val="22"/>
        </w:rPr>
        <w:t xml:space="preserve"> in the past could have extremely high baseline titers, but the titers in their convalescent sera </w:t>
      </w:r>
      <w:r>
        <w:rPr>
          <w:rFonts w:ascii="Arial" w:hAnsi="Arial" w:cs="Arial"/>
          <w:color w:val="000000"/>
          <w:sz w:val="22"/>
          <w:szCs w:val="22"/>
        </w:rPr>
        <w:t>would not</w:t>
      </w:r>
      <w:r w:rsidRPr="00EA1F31">
        <w:rPr>
          <w:rFonts w:ascii="Arial" w:hAnsi="Arial" w:cs="Arial"/>
          <w:color w:val="000000"/>
          <w:sz w:val="22"/>
          <w:szCs w:val="22"/>
        </w:rPr>
        <w:t xml:space="preserve"> rise by a factor of four. </w:t>
      </w:r>
      <w:r>
        <w:rPr>
          <w:rFonts w:ascii="Arial" w:hAnsi="Arial" w:cs="Arial"/>
          <w:color w:val="000000"/>
          <w:sz w:val="22"/>
          <w:szCs w:val="22"/>
        </w:rPr>
        <w:t>It</w:t>
      </w:r>
      <w:r w:rsidRPr="00EA1F31">
        <w:rPr>
          <w:rFonts w:ascii="Arial" w:hAnsi="Arial" w:cs="Arial"/>
          <w:color w:val="000000"/>
          <w:sz w:val="22"/>
          <w:szCs w:val="22"/>
        </w:rPr>
        <w:t xml:space="preserve"> is because their alerted immune systems are better able to fight off infection</w:t>
      </w:r>
      <w:r>
        <w:rPr>
          <w:rFonts w:ascii="Arial" w:hAnsi="Arial" w:cs="Arial"/>
          <w:color w:val="000000"/>
          <w:sz w:val="22"/>
          <w:szCs w:val="22"/>
        </w:rPr>
        <w:t xml:space="preserve"> </w:t>
      </w:r>
      <w:r w:rsidRPr="074FAE33">
        <w:rPr>
          <w:rFonts w:ascii="Arial" w:hAnsi="Arial"/>
          <w:sz w:val="22"/>
          <w:szCs w:val="22"/>
          <w14:ligatures w14:val="none"/>
        </w:rPr>
        <w:t>(Presti et al., 2019)</w:t>
      </w:r>
      <w:r w:rsidRPr="00EA1F31">
        <w:rPr>
          <w:rFonts w:ascii="Arial" w:hAnsi="Arial" w:cs="Arial"/>
          <w:color w:val="000000"/>
          <w:sz w:val="22"/>
          <w:szCs w:val="22"/>
        </w:rPr>
        <w:t>. When two separate doctor's appointments are needed, the diagnostic value of this method for varicella decreases even more. One positive IgG ELISA test is insufficient for diagnosing varicella</w:t>
      </w:r>
      <w:r w:rsidR="00FD6EFE">
        <w:rPr>
          <w:rFonts w:ascii="Arial" w:hAnsi="Arial" w:cs="Arial"/>
          <w:color w:val="000000"/>
          <w:sz w:val="22"/>
          <w:szCs w:val="22"/>
        </w:rPr>
        <w:t xml:space="preserve"> in the UK</w:t>
      </w:r>
      <w:r w:rsidRPr="00EA1F31">
        <w:rPr>
          <w:rFonts w:ascii="Arial" w:hAnsi="Arial" w:cs="Arial"/>
          <w:color w:val="000000"/>
          <w:sz w:val="22"/>
          <w:szCs w:val="22"/>
        </w:rPr>
        <w:t>.</w:t>
      </w:r>
    </w:p>
    <w:p w14:paraId="4D2378B5" w14:textId="77777777" w:rsidR="00EA1F31" w:rsidRPr="00EA1F31" w:rsidRDefault="00EA1F31" w:rsidP="00EA1F31">
      <w:pPr>
        <w:pStyle w:val="NormalWeb"/>
        <w:shd w:val="clear" w:color="auto" w:fill="FFFFFF"/>
        <w:spacing w:before="0" w:beforeAutospacing="0" w:after="0" w:afterAutospacing="0" w:line="360" w:lineRule="auto"/>
        <w:contextualSpacing/>
        <w:jc w:val="both"/>
        <w:rPr>
          <w:rFonts w:ascii="Arial" w:hAnsi="Arial" w:cs="Arial"/>
          <w:color w:val="000000"/>
          <w:sz w:val="22"/>
          <w:szCs w:val="22"/>
        </w:rPr>
      </w:pPr>
    </w:p>
    <w:p w14:paraId="64DA98C9" w14:textId="77777777" w:rsidR="009819CF" w:rsidRPr="00EA1F31" w:rsidRDefault="009819CF" w:rsidP="00EA1F31">
      <w:pPr>
        <w:pStyle w:val="Heading1"/>
      </w:pPr>
      <w:bookmarkStart w:id="7" w:name="_Toc117727122"/>
      <w:r w:rsidRPr="00EA1F31">
        <w:t>Strategies Used to Monitor</w:t>
      </w:r>
      <w:bookmarkEnd w:id="7"/>
    </w:p>
    <w:p w14:paraId="3124397A" w14:textId="77777777" w:rsidR="009819CF" w:rsidRPr="00EA1F31" w:rsidRDefault="00475108" w:rsidP="00EA1F31">
      <w:pPr>
        <w:pStyle w:val="Heading2"/>
      </w:pPr>
      <w:bookmarkStart w:id="8" w:name="_Toc117727123"/>
      <w:r w:rsidRPr="00EA1F31">
        <w:t>Incubation Period and Prodrome</w:t>
      </w:r>
      <w:bookmarkEnd w:id="8"/>
    </w:p>
    <w:p w14:paraId="55BDCAB8" w14:textId="49DE92B3" w:rsidR="00475108" w:rsidRPr="00EA1F31" w:rsidRDefault="00EA1F31" w:rsidP="1E167F68">
      <w:pPr>
        <w:pStyle w:val="NormalWeb"/>
        <w:shd w:val="clear" w:color="auto" w:fill="FFFFFF" w:themeFill="background1"/>
        <w:spacing w:before="0" w:beforeAutospacing="0" w:after="0" w:afterAutospacing="0" w:line="360" w:lineRule="auto"/>
        <w:ind w:firstLine="720"/>
        <w:contextualSpacing/>
        <w:jc w:val="both"/>
        <w:rPr>
          <w:rFonts w:ascii="Arial" w:hAnsi="Arial" w:cs="Arial"/>
          <w:color w:val="000000"/>
          <w:sz w:val="22"/>
          <w:szCs w:val="22"/>
        </w:rPr>
      </w:pPr>
      <w:r w:rsidRPr="00EA1F31">
        <w:rPr>
          <w:rFonts w:ascii="Arial" w:hAnsi="Arial" w:cs="Arial"/>
          <w:color w:val="000000"/>
          <w:sz w:val="22"/>
          <w:szCs w:val="22"/>
        </w:rPr>
        <w:t>After being exposed to someone with varicella or herpes zoster, the incubation period for varicella may extend anywhere from 10-</w:t>
      </w:r>
      <w:bookmarkStart w:id="9" w:name="_Int_bgs8QVqw"/>
      <w:r w:rsidRPr="00EA1F31">
        <w:rPr>
          <w:rFonts w:ascii="Arial" w:hAnsi="Arial" w:cs="Arial"/>
          <w:color w:val="000000"/>
          <w:sz w:val="22"/>
          <w:szCs w:val="22"/>
        </w:rPr>
        <w:t>21 days</w:t>
      </w:r>
      <w:r w:rsidR="5F304EF3" w:rsidRPr="00EA1F31">
        <w:rPr>
          <w:rFonts w:ascii="Arial" w:hAnsi="Arial" w:cs="Arial"/>
          <w:color w:val="000000"/>
          <w:sz w:val="22"/>
          <w:szCs w:val="22"/>
        </w:rPr>
        <w:t xml:space="preserve"> (about 3 weeks)</w:t>
      </w:r>
      <w:bookmarkEnd w:id="9"/>
      <w:r w:rsidRPr="00EA1F31">
        <w:rPr>
          <w:rFonts w:ascii="Arial" w:hAnsi="Arial" w:cs="Arial"/>
          <w:color w:val="000000"/>
          <w:sz w:val="22"/>
          <w:szCs w:val="22"/>
        </w:rPr>
        <w:t xml:space="preserve">. One or two days before the rash emerges, adults may have a minor prodrome of fever and malaise. </w:t>
      </w:r>
      <w:r w:rsidR="249C8B69" w:rsidRPr="00EA1F31">
        <w:rPr>
          <w:rFonts w:ascii="Arial" w:hAnsi="Arial" w:cs="Arial"/>
          <w:color w:val="000000"/>
          <w:sz w:val="22"/>
          <w:szCs w:val="22"/>
        </w:rPr>
        <w:t>It is</w:t>
      </w:r>
      <w:r w:rsidRPr="00EA1F31">
        <w:rPr>
          <w:rFonts w:ascii="Arial" w:hAnsi="Arial" w:cs="Arial"/>
          <w:color w:val="000000"/>
          <w:sz w:val="22"/>
          <w:szCs w:val="22"/>
        </w:rPr>
        <w:t xml:space="preserve"> possible that this prodrome </w:t>
      </w:r>
      <w:bookmarkStart w:id="10" w:name="_Int_i7UGkBRO"/>
      <w:r w:rsidR="190C4471" w:rsidRPr="00EA1F31">
        <w:rPr>
          <w:rFonts w:ascii="Arial" w:hAnsi="Arial" w:cs="Arial"/>
          <w:color w:val="000000"/>
          <w:sz w:val="22"/>
          <w:szCs w:val="22"/>
        </w:rPr>
        <w:t>will not</w:t>
      </w:r>
      <w:bookmarkEnd w:id="10"/>
      <w:r w:rsidRPr="00EA1F31">
        <w:rPr>
          <w:rFonts w:ascii="Arial" w:hAnsi="Arial" w:cs="Arial"/>
          <w:color w:val="000000"/>
          <w:sz w:val="22"/>
          <w:szCs w:val="22"/>
        </w:rPr>
        <w:t xml:space="preserve"> show up at all. In young children, a rash may be the first sign of disease</w:t>
      </w:r>
      <w:r>
        <w:rPr>
          <w:rFonts w:ascii="Arial" w:hAnsi="Arial" w:cs="Arial"/>
          <w:color w:val="000000"/>
          <w:sz w:val="22"/>
          <w:szCs w:val="22"/>
        </w:rPr>
        <w:t xml:space="preserve"> </w:t>
      </w:r>
      <w:r w:rsidRPr="1E167F68">
        <w:rPr>
          <w:rFonts w:ascii="Arial" w:hAnsi="Arial"/>
          <w:sz w:val="22"/>
          <w:szCs w:val="22"/>
          <w14:ligatures w14:val="none"/>
        </w:rPr>
        <w:t>(Kerketta et al., 2019)</w:t>
      </w:r>
      <w:r w:rsidRPr="00EA1F31">
        <w:rPr>
          <w:rFonts w:ascii="Arial" w:hAnsi="Arial" w:cs="Arial"/>
          <w:color w:val="000000"/>
          <w:sz w:val="22"/>
          <w:szCs w:val="22"/>
        </w:rPr>
        <w:t>.</w:t>
      </w:r>
    </w:p>
    <w:p w14:paraId="6D16E708" w14:textId="77777777" w:rsidR="00EA1F31" w:rsidRPr="00EA1F31" w:rsidRDefault="00EA1F31" w:rsidP="00EA1F31">
      <w:pPr>
        <w:pStyle w:val="NormalWeb"/>
        <w:shd w:val="clear" w:color="auto" w:fill="FFFFFF"/>
        <w:spacing w:before="0" w:beforeAutospacing="0" w:after="0" w:afterAutospacing="0" w:line="360" w:lineRule="auto"/>
        <w:contextualSpacing/>
        <w:jc w:val="both"/>
        <w:rPr>
          <w:rFonts w:ascii="Arial" w:hAnsi="Arial" w:cs="Arial"/>
          <w:color w:val="000000"/>
          <w:sz w:val="22"/>
          <w:szCs w:val="22"/>
        </w:rPr>
      </w:pPr>
    </w:p>
    <w:p w14:paraId="22AA1738" w14:textId="77777777" w:rsidR="009819CF" w:rsidRPr="00EA1F31" w:rsidRDefault="00475108" w:rsidP="00EA1F31">
      <w:pPr>
        <w:spacing w:line="360" w:lineRule="auto"/>
        <w:contextualSpacing/>
        <w:jc w:val="both"/>
        <w:rPr>
          <w:rFonts w:ascii="Arial" w:hAnsi="Arial"/>
          <w:sz w:val="22"/>
          <w:lang w:val="en-US"/>
        </w:rPr>
      </w:pPr>
      <w:r w:rsidRPr="00EA1F31">
        <w:rPr>
          <w:rFonts w:ascii="Arial" w:hAnsi="Arial"/>
          <w:sz w:val="22"/>
          <w:lang w:val="en-US"/>
        </w:rPr>
        <w:t>Varicella in Unvaccinated Persons</w:t>
      </w:r>
    </w:p>
    <w:p w14:paraId="724975D0" w14:textId="77777777" w:rsidR="00475108" w:rsidRPr="00EA1F31" w:rsidRDefault="00EA1F31" w:rsidP="00EA1F31">
      <w:pPr>
        <w:pStyle w:val="NormalWeb"/>
        <w:shd w:val="clear" w:color="auto" w:fill="FFFFFF"/>
        <w:spacing w:before="0" w:beforeAutospacing="0" w:after="0" w:afterAutospacing="0" w:line="360" w:lineRule="auto"/>
        <w:ind w:firstLine="720"/>
        <w:contextualSpacing/>
        <w:jc w:val="both"/>
        <w:rPr>
          <w:rFonts w:ascii="Arial" w:hAnsi="Arial" w:cs="Arial"/>
          <w:color w:val="000000"/>
          <w:sz w:val="22"/>
          <w:szCs w:val="22"/>
        </w:rPr>
      </w:pPr>
      <w:r w:rsidRPr="00EA1F31">
        <w:rPr>
          <w:rFonts w:ascii="Arial" w:hAnsi="Arial" w:cs="Arial"/>
          <w:color w:val="000000"/>
          <w:sz w:val="22"/>
          <w:szCs w:val="22"/>
        </w:rPr>
        <w:t>In normally healthy children, varicella infection causes a rash, exhaustion, and a fever that may reach 102 degrees Fahrenheit. When compared to healthy individuals, infants, adolescents, adults, and pregnant women are all at a greater risk of developing problems and severe sickness. After recovering from varicella infection, most people have lifelong immunity against the disease. A second case of varicella in a healthy person is quite unusual. People with compromised immune systems are at greater risk of contracting varicella a second time</w:t>
      </w:r>
      <w:r>
        <w:rPr>
          <w:rFonts w:ascii="Arial" w:hAnsi="Arial" w:cs="Arial"/>
          <w:color w:val="000000"/>
          <w:sz w:val="22"/>
          <w:szCs w:val="22"/>
        </w:rPr>
        <w:t xml:space="preserve"> </w:t>
      </w:r>
      <w:r w:rsidR="007377D0">
        <w:rPr>
          <w:rFonts w:ascii="Arial" w:hAnsi="Arial" w:cs="Arial"/>
          <w:color w:val="000000"/>
          <w:sz w:val="22"/>
          <w:szCs w:val="22"/>
        </w:rPr>
        <w:t xml:space="preserve">in the UK </w:t>
      </w:r>
      <w:r>
        <w:rPr>
          <w:rFonts w:ascii="Arial" w:hAnsi="Arial"/>
          <w:sz w:val="22"/>
          <w14:ligatures w14:val="none"/>
        </w:rPr>
        <w:t>(Presti et al., 2019)</w:t>
      </w:r>
      <w:r w:rsidRPr="00EA1F31">
        <w:rPr>
          <w:rFonts w:ascii="Arial" w:hAnsi="Arial" w:cs="Arial"/>
          <w:color w:val="000000"/>
          <w:sz w:val="22"/>
          <w:szCs w:val="22"/>
        </w:rPr>
        <w:t xml:space="preserve">. </w:t>
      </w:r>
    </w:p>
    <w:p w14:paraId="0739AECB" w14:textId="77777777" w:rsidR="00475108" w:rsidRPr="00EA1F31" w:rsidRDefault="00475108" w:rsidP="00EA1F31">
      <w:pPr>
        <w:spacing w:line="360" w:lineRule="auto"/>
        <w:contextualSpacing/>
        <w:jc w:val="both"/>
        <w:rPr>
          <w:rFonts w:ascii="Arial" w:hAnsi="Arial"/>
          <w:sz w:val="22"/>
          <w:lang w:val="en-US"/>
        </w:rPr>
      </w:pPr>
    </w:p>
    <w:p w14:paraId="4AF34988" w14:textId="77777777" w:rsidR="009819CF" w:rsidRPr="00EA1F31" w:rsidRDefault="009819CF" w:rsidP="00EA1F31">
      <w:pPr>
        <w:pStyle w:val="Heading1"/>
      </w:pPr>
      <w:bookmarkStart w:id="11" w:name="_Toc117727124"/>
      <w:r w:rsidRPr="00EA1F31">
        <w:t xml:space="preserve">Strategies Used to </w:t>
      </w:r>
      <w:r w:rsidR="00475108" w:rsidRPr="00EA1F31">
        <w:t>Control</w:t>
      </w:r>
      <w:bookmarkEnd w:id="11"/>
    </w:p>
    <w:p w14:paraId="7258D18D" w14:textId="77777777" w:rsidR="009819CF" w:rsidRPr="00EA1F31" w:rsidRDefault="009819CF" w:rsidP="00EA1F31">
      <w:pPr>
        <w:pStyle w:val="Heading2"/>
      </w:pPr>
      <w:bookmarkStart w:id="12" w:name="_Toc117727125"/>
      <w:r w:rsidRPr="00EA1F31">
        <w:t>Vaccine</w:t>
      </w:r>
      <w:bookmarkEnd w:id="12"/>
    </w:p>
    <w:p w14:paraId="546C04AF" w14:textId="70F9BF60" w:rsidR="009819CF" w:rsidRPr="00EA1F31" w:rsidRDefault="00EA1F31" w:rsidP="1E167F68">
      <w:pPr>
        <w:pStyle w:val="NormalWeb"/>
        <w:shd w:val="clear" w:color="auto" w:fill="FFFFFF" w:themeFill="background1"/>
        <w:spacing w:before="0" w:beforeAutospacing="0" w:after="0" w:afterAutospacing="0" w:line="360" w:lineRule="auto"/>
        <w:ind w:firstLine="720"/>
        <w:contextualSpacing/>
        <w:jc w:val="both"/>
        <w:rPr>
          <w:rFonts w:ascii="Arial" w:hAnsi="Arial" w:cs="Arial"/>
          <w:color w:val="000000"/>
          <w:sz w:val="22"/>
          <w:szCs w:val="22"/>
          <w:highlight w:val="green"/>
        </w:rPr>
      </w:pPr>
      <w:r w:rsidRPr="00EA1F31">
        <w:rPr>
          <w:rFonts w:ascii="Arial" w:hAnsi="Arial" w:cs="Arial"/>
          <w:color w:val="000000"/>
          <w:sz w:val="22"/>
          <w:szCs w:val="22"/>
        </w:rPr>
        <w:t xml:space="preserve">The best way to protect yourself from contracting chickenpox is to get vaccinated against it. Anybody who </w:t>
      </w:r>
      <w:bookmarkStart w:id="13" w:name="_Int_ooQ537Bo"/>
      <w:r w:rsidR="47EEA170" w:rsidRPr="00EA1F31">
        <w:rPr>
          <w:rFonts w:ascii="Arial" w:hAnsi="Arial" w:cs="Arial"/>
          <w:color w:val="000000"/>
          <w:sz w:val="22"/>
          <w:szCs w:val="22"/>
        </w:rPr>
        <w:t>has not</w:t>
      </w:r>
      <w:bookmarkEnd w:id="13"/>
      <w:r w:rsidRPr="00EA1F31">
        <w:rPr>
          <w:rFonts w:ascii="Arial" w:hAnsi="Arial" w:cs="Arial"/>
          <w:color w:val="000000"/>
          <w:sz w:val="22"/>
          <w:szCs w:val="22"/>
        </w:rPr>
        <w:t xml:space="preserve"> had chickenpox or been </w:t>
      </w:r>
      <w:r w:rsidR="003268E6" w:rsidRPr="00EA1F31">
        <w:rPr>
          <w:rFonts w:ascii="Arial" w:hAnsi="Arial" w:cs="Arial"/>
          <w:color w:val="000000"/>
          <w:sz w:val="22"/>
          <w:szCs w:val="22"/>
        </w:rPr>
        <w:t>immunized</w:t>
      </w:r>
      <w:r w:rsidRPr="00EA1F31">
        <w:rPr>
          <w:rFonts w:ascii="Arial" w:hAnsi="Arial" w:cs="Arial"/>
          <w:color w:val="000000"/>
          <w:sz w:val="22"/>
          <w:szCs w:val="22"/>
        </w:rPr>
        <w:t xml:space="preserve"> against it should get two doses of the vaccine, and that includes children, teenagers, and adults. Any person may benefit from this guidance. If you want to protect yourself or your child against chickenpox, being vaccinated is a good bet. Those who get the vaccination are far less likely to have chickenpox. Those who have been </w:t>
      </w:r>
      <w:r w:rsidR="003268E6" w:rsidRPr="00EA1F31">
        <w:rPr>
          <w:rFonts w:ascii="Arial" w:hAnsi="Arial" w:cs="Arial"/>
          <w:color w:val="000000"/>
          <w:sz w:val="22"/>
          <w:szCs w:val="22"/>
        </w:rPr>
        <w:t>immunized</w:t>
      </w:r>
      <w:r w:rsidRPr="00EA1F31">
        <w:rPr>
          <w:rFonts w:ascii="Arial" w:hAnsi="Arial" w:cs="Arial"/>
          <w:color w:val="000000"/>
          <w:sz w:val="22"/>
          <w:szCs w:val="22"/>
        </w:rPr>
        <w:t xml:space="preserve"> often have much milder symptoms if they develop chickenpox</w:t>
      </w:r>
      <w:r w:rsidR="00FD6EFE">
        <w:rPr>
          <w:rFonts w:ascii="Arial" w:hAnsi="Arial" w:cs="Arial"/>
          <w:color w:val="000000"/>
          <w:sz w:val="22"/>
          <w:szCs w:val="22"/>
        </w:rPr>
        <w:t xml:space="preserve"> in the UK</w:t>
      </w:r>
      <w:r w:rsidRPr="00EA1F31">
        <w:rPr>
          <w:rFonts w:ascii="Arial" w:hAnsi="Arial" w:cs="Arial"/>
          <w:color w:val="000000"/>
          <w:sz w:val="22"/>
          <w:szCs w:val="22"/>
        </w:rPr>
        <w:t>. They may not even have blisters, just some redness and a low-grade fever</w:t>
      </w:r>
      <w:r>
        <w:rPr>
          <w:rFonts w:ascii="Arial" w:hAnsi="Arial" w:cs="Arial"/>
          <w:color w:val="000000"/>
          <w:sz w:val="22"/>
          <w:szCs w:val="22"/>
        </w:rPr>
        <w:t xml:space="preserve"> </w:t>
      </w:r>
      <w:r w:rsidRPr="1E167F68">
        <w:rPr>
          <w:rFonts w:ascii="Arial" w:hAnsi="Arial"/>
          <w:sz w:val="22"/>
          <w:szCs w:val="22"/>
          <w14:ligatures w14:val="none"/>
        </w:rPr>
        <w:t>(Qureshi and Yusuf, 2019)</w:t>
      </w:r>
      <w:r w:rsidRPr="00EA1F31">
        <w:rPr>
          <w:rFonts w:ascii="Arial" w:hAnsi="Arial" w:cs="Arial"/>
          <w:color w:val="000000"/>
          <w:sz w:val="22"/>
          <w:szCs w:val="22"/>
        </w:rPr>
        <w:t xml:space="preserve">. Getting vaccinated against chickenpox is one of the best ways to prevent serious illness. Since </w:t>
      </w:r>
      <w:r w:rsidRPr="00EA1F31">
        <w:rPr>
          <w:rFonts w:ascii="Arial" w:hAnsi="Arial" w:cs="Arial"/>
          <w:color w:val="000000"/>
          <w:sz w:val="22"/>
          <w:szCs w:val="22"/>
        </w:rPr>
        <w:lastRenderedPageBreak/>
        <w:t xml:space="preserve">the varicella </w:t>
      </w:r>
      <w:r w:rsidR="00D6150A" w:rsidRPr="00EA1F31">
        <w:rPr>
          <w:rFonts w:ascii="Arial" w:hAnsi="Arial" w:cs="Arial"/>
          <w:color w:val="000000"/>
          <w:sz w:val="22"/>
          <w:szCs w:val="22"/>
        </w:rPr>
        <w:t>immunization</w:t>
      </w:r>
      <w:r w:rsidRPr="00EA1F31">
        <w:rPr>
          <w:rFonts w:ascii="Arial" w:hAnsi="Arial" w:cs="Arial"/>
          <w:color w:val="000000"/>
          <w:sz w:val="22"/>
          <w:szCs w:val="22"/>
        </w:rPr>
        <w:t xml:space="preserve"> </w:t>
      </w:r>
      <w:r w:rsidR="00D6150A" w:rsidRPr="00EA1F31">
        <w:rPr>
          <w:rFonts w:ascii="Arial" w:hAnsi="Arial" w:cs="Arial"/>
          <w:color w:val="000000"/>
          <w:sz w:val="22"/>
          <w:szCs w:val="22"/>
        </w:rPr>
        <w:t>program</w:t>
      </w:r>
      <w:r w:rsidRPr="00EA1F31">
        <w:rPr>
          <w:rFonts w:ascii="Arial" w:hAnsi="Arial" w:cs="Arial"/>
          <w:color w:val="000000"/>
          <w:sz w:val="22"/>
          <w:szCs w:val="22"/>
        </w:rPr>
        <w:t xml:space="preserve"> was introduced, the incidence of chickenpox infections, hospitalizations, and deaths in the United Kingdom has dropped by 90%.</w:t>
      </w:r>
    </w:p>
    <w:p w14:paraId="4EFC8E28" w14:textId="77777777" w:rsidR="00EA1F31" w:rsidRPr="00EA1F31" w:rsidRDefault="00EA1F31" w:rsidP="00EA1F31">
      <w:pPr>
        <w:pStyle w:val="NormalWeb"/>
        <w:shd w:val="clear" w:color="auto" w:fill="FFFFFF"/>
        <w:spacing w:before="0" w:beforeAutospacing="0" w:after="0" w:afterAutospacing="0" w:line="360" w:lineRule="auto"/>
        <w:contextualSpacing/>
        <w:jc w:val="both"/>
        <w:rPr>
          <w:rFonts w:ascii="Arial" w:hAnsi="Arial" w:cs="Arial"/>
          <w:color w:val="000000"/>
          <w:sz w:val="22"/>
          <w:szCs w:val="22"/>
        </w:rPr>
      </w:pPr>
    </w:p>
    <w:p w14:paraId="49E6738A" w14:textId="77777777" w:rsidR="00475108" w:rsidRPr="00EA1F31" w:rsidRDefault="00475108" w:rsidP="00EA1F31">
      <w:pPr>
        <w:pStyle w:val="Heading2"/>
      </w:pPr>
      <w:bookmarkStart w:id="14" w:name="_Toc117727126"/>
      <w:r w:rsidRPr="00EA1F31">
        <w:t>Treatment</w:t>
      </w:r>
      <w:bookmarkEnd w:id="14"/>
    </w:p>
    <w:p w14:paraId="28EB5B43" w14:textId="4D259A26" w:rsidR="00475108" w:rsidRPr="00EA1F31" w:rsidRDefault="00475108" w:rsidP="00EA1F31">
      <w:pPr>
        <w:spacing w:line="360" w:lineRule="auto"/>
        <w:ind w:firstLine="720"/>
        <w:contextualSpacing/>
        <w:jc w:val="both"/>
        <w:rPr>
          <w:rFonts w:ascii="Arial" w:hAnsi="Arial"/>
          <w:sz w:val="22"/>
        </w:rPr>
      </w:pPr>
      <w:r w:rsidRPr="00EA1F31">
        <w:rPr>
          <w:rFonts w:ascii="Arial" w:hAnsi="Arial"/>
          <w:sz w:val="22"/>
        </w:rPr>
        <w:t xml:space="preserve">Inhibiting viral replication, </w:t>
      </w:r>
      <w:r w:rsidR="00D6150A" w:rsidRPr="00EA1F31">
        <w:rPr>
          <w:rFonts w:ascii="Arial" w:hAnsi="Arial"/>
          <w:sz w:val="22"/>
        </w:rPr>
        <w:t>acyclovir</w:t>
      </w:r>
      <w:r w:rsidRPr="00EA1F31">
        <w:rPr>
          <w:rFonts w:ascii="Arial" w:hAnsi="Arial"/>
          <w:sz w:val="22"/>
        </w:rPr>
        <w:t xml:space="preserve"> may lessen the severity of symptoms and reduce the course of illness if administered during the first 24 hours after infection. People usually do not reappear in the area for at least another day and a half after new vesicles have emerged, which may be anywhere from 24 to 48 hours. Those that do so, however, may still be in the </w:t>
      </w:r>
      <w:bookmarkStart w:id="15" w:name="_Int_7MBUKrEy"/>
      <w:r w:rsidR="6D5F854A" w:rsidRPr="1E167F68">
        <w:rPr>
          <w:rFonts w:ascii="Arial" w:hAnsi="Arial"/>
          <w:sz w:val="22"/>
        </w:rPr>
        <w:t>initial</w:t>
      </w:r>
      <w:r w:rsidRPr="00EA1F31">
        <w:rPr>
          <w:rFonts w:ascii="Arial" w:hAnsi="Arial"/>
          <w:sz w:val="22"/>
        </w:rPr>
        <w:t xml:space="preserve"> stages</w:t>
      </w:r>
      <w:bookmarkEnd w:id="15"/>
      <w:r w:rsidRPr="00EA1F31">
        <w:rPr>
          <w:rFonts w:ascii="Arial" w:hAnsi="Arial"/>
          <w:sz w:val="22"/>
        </w:rPr>
        <w:t xml:space="preserve"> of the disease and might benefit from antiviral treatment. Patients with a robust immune system who arrive more than 48 hours after the appearance of new lesions should only receive symptomatic treatment; nevertheless, they should be closely monitored for the development of more severe infections </w:t>
      </w:r>
      <w:r w:rsidRPr="00EA1F31">
        <w:rPr>
          <w:rFonts w:ascii="Arial" w:hAnsi="Arial"/>
          <w:sz w:val="22"/>
          <w14:ligatures w14:val="none"/>
        </w:rPr>
        <w:t>(Parente et al., 2018)</w:t>
      </w:r>
      <w:r w:rsidRPr="00EA1F31">
        <w:rPr>
          <w:rFonts w:ascii="Arial" w:hAnsi="Arial"/>
          <w:sz w:val="22"/>
        </w:rPr>
        <w:t xml:space="preserve">. Aciclovir is </w:t>
      </w:r>
      <w:bookmarkStart w:id="16" w:name="_Int_PvkxdMW7"/>
      <w:r w:rsidRPr="00EA1F31">
        <w:rPr>
          <w:rFonts w:ascii="Arial" w:hAnsi="Arial"/>
          <w:sz w:val="22"/>
        </w:rPr>
        <w:t>safe</w:t>
      </w:r>
      <w:bookmarkEnd w:id="16"/>
      <w:r w:rsidRPr="00EA1F31">
        <w:rPr>
          <w:rFonts w:ascii="Arial" w:hAnsi="Arial"/>
          <w:sz w:val="22"/>
        </w:rPr>
        <w:t xml:space="preserve"> and well-tolerated by those who take it. It is recommended to split the recommended daily dosage of 800 </w:t>
      </w:r>
      <w:r w:rsidR="00D6150A" w:rsidRPr="00EA1F31">
        <w:rPr>
          <w:rFonts w:ascii="Arial" w:hAnsi="Arial"/>
          <w:sz w:val="22"/>
        </w:rPr>
        <w:t>milligrams</w:t>
      </w:r>
      <w:r w:rsidRPr="00EA1F31">
        <w:rPr>
          <w:rFonts w:ascii="Arial" w:hAnsi="Arial"/>
          <w:sz w:val="22"/>
        </w:rPr>
        <w:t xml:space="preserve"> of aciclovir into five equal doses due to its poor oral bioavailability. </w:t>
      </w:r>
    </w:p>
    <w:p w14:paraId="6818E2EB" w14:textId="03993622" w:rsidR="009819CF" w:rsidRPr="00EA1F31" w:rsidRDefault="00475108" w:rsidP="00EA1F31">
      <w:pPr>
        <w:spacing w:line="360" w:lineRule="auto"/>
        <w:ind w:firstLine="720"/>
        <w:contextualSpacing/>
        <w:jc w:val="both"/>
        <w:rPr>
          <w:rFonts w:ascii="Arial" w:hAnsi="Arial"/>
          <w:sz w:val="22"/>
        </w:rPr>
      </w:pPr>
      <w:r w:rsidRPr="00EA1F31">
        <w:rPr>
          <w:rFonts w:ascii="Arial" w:hAnsi="Arial"/>
          <w:sz w:val="22"/>
        </w:rPr>
        <w:t xml:space="preserve">At the same time, the IC90 of aciclovir is higher for the varicella-zoster virus than for the herpes simplex virus, indicating that the levels are suboptimal for preventing viral replication. Plasma aciclovir levels </w:t>
      </w:r>
      <w:bookmarkStart w:id="17" w:name="_Int_stY41aa9"/>
      <w:r w:rsidRPr="00EA1F31">
        <w:rPr>
          <w:rFonts w:ascii="Arial" w:hAnsi="Arial"/>
          <w:sz w:val="22"/>
        </w:rPr>
        <w:t>three</w:t>
      </w:r>
      <w:bookmarkEnd w:id="17"/>
      <w:r w:rsidRPr="00EA1F31">
        <w:rPr>
          <w:rFonts w:ascii="Arial" w:hAnsi="Arial"/>
          <w:sz w:val="22"/>
        </w:rPr>
        <w:t xml:space="preserve"> to four times higher with the pro-drug valaciclovir if a dose of one gramme is given three times daily. Famciclovir, the pro-drug of penciclovir, is much more bioavailable than aciclovir when administered at 500 </w:t>
      </w:r>
      <w:r w:rsidR="00553A9B" w:rsidRPr="00EA1F31">
        <w:rPr>
          <w:rFonts w:ascii="Arial" w:hAnsi="Arial"/>
          <w:sz w:val="22"/>
        </w:rPr>
        <w:t>milligrams</w:t>
      </w:r>
      <w:r w:rsidRPr="00EA1F31">
        <w:rPr>
          <w:rFonts w:ascii="Arial" w:hAnsi="Arial"/>
          <w:sz w:val="22"/>
        </w:rPr>
        <w:t xml:space="preserve"> three times a day (Harder and Siedler, 2019). These second-generation antiviral drugs are recommended as a first-line treatment for shingles (herpes zoster) because they hasten recovery, reduce pain, and need fewer pills than aciclovir. Chickenpox is often treated with oral medications, and this method is rapidly gaining popularity. Despite this, the complication rate for those who took aciclovir went down (Presti et al., 2019).</w:t>
      </w:r>
    </w:p>
    <w:p w14:paraId="1DC63973" w14:textId="77777777" w:rsidR="00E20F5F" w:rsidRPr="00EA1F31" w:rsidRDefault="00E20F5F" w:rsidP="00EA1F31">
      <w:pPr>
        <w:spacing w:line="360" w:lineRule="auto"/>
        <w:contextualSpacing/>
        <w:jc w:val="both"/>
        <w:rPr>
          <w:rFonts w:ascii="Arial" w:hAnsi="Arial"/>
          <w:sz w:val="22"/>
        </w:rPr>
      </w:pPr>
    </w:p>
    <w:p w14:paraId="5896AFB7" w14:textId="77777777" w:rsidR="00E20F5F" w:rsidRPr="00EA1F31" w:rsidRDefault="00C4558B" w:rsidP="00EA1F31">
      <w:pPr>
        <w:pStyle w:val="Heading1"/>
      </w:pPr>
      <w:bookmarkStart w:id="18" w:name="_Toc117727127"/>
      <w:r w:rsidRPr="00EA1F31">
        <w:t>Conclusion</w:t>
      </w:r>
      <w:bookmarkEnd w:id="18"/>
      <w:r w:rsidRPr="00EA1F31">
        <w:t xml:space="preserve"> </w:t>
      </w:r>
    </w:p>
    <w:p w14:paraId="27DFEF80" w14:textId="77777777" w:rsidR="00E20F5F" w:rsidRPr="00EA1F31" w:rsidRDefault="00C4558B" w:rsidP="00EA1F31">
      <w:pPr>
        <w:spacing w:line="360" w:lineRule="auto"/>
        <w:ind w:firstLine="720"/>
        <w:contextualSpacing/>
        <w:jc w:val="both"/>
        <w:rPr>
          <w:rFonts w:ascii="Arial" w:hAnsi="Arial"/>
          <w:sz w:val="22"/>
        </w:rPr>
      </w:pPr>
      <w:r w:rsidRPr="00EA1F31">
        <w:rPr>
          <w:rFonts w:ascii="Arial" w:hAnsi="Arial"/>
          <w:sz w:val="22"/>
        </w:rPr>
        <w:t xml:space="preserve">It concludes that people with varicella </w:t>
      </w:r>
      <w:r w:rsidR="00E247CB" w:rsidRPr="00EA1F31">
        <w:rPr>
          <w:rFonts w:ascii="Arial" w:hAnsi="Arial"/>
          <w:sz w:val="22"/>
        </w:rPr>
        <w:t>do not</w:t>
      </w:r>
      <w:r w:rsidRPr="00EA1F31">
        <w:rPr>
          <w:rFonts w:ascii="Arial" w:hAnsi="Arial"/>
          <w:sz w:val="22"/>
        </w:rPr>
        <w:t xml:space="preserve"> go to their primary care doctors since severe cases are uncommon in otherwise healthy youngsters, and mild cases do not need specialised treatment. Our research aimed not to measure the frequency of varicella but to provide estimates of the costs associated with treating the disease in different settings. This was done so that any future UK varicella immunisation programme may have its cost-effectiveness evaluated. General </w:t>
      </w:r>
      <w:r w:rsidR="00E247CB" w:rsidRPr="00EA1F31">
        <w:rPr>
          <w:rFonts w:ascii="Arial" w:hAnsi="Arial"/>
          <w:sz w:val="22"/>
        </w:rPr>
        <w:t xml:space="preserve">Practitioners </w:t>
      </w:r>
      <w:r w:rsidRPr="00EA1F31">
        <w:rPr>
          <w:rFonts w:ascii="Arial" w:hAnsi="Arial"/>
          <w:sz w:val="22"/>
        </w:rPr>
        <w:t>(GPs) may be less likely to make a varicella diagnosis when a patient presents with symptoms; hence the number of cases of varicella seen in primary care may decrease with time.</w:t>
      </w:r>
    </w:p>
    <w:p w14:paraId="54F3CA2E" w14:textId="77777777" w:rsidR="00E20F5F" w:rsidRPr="00EA1F31" w:rsidRDefault="00C4558B" w:rsidP="00EA1F31">
      <w:pPr>
        <w:spacing w:line="360" w:lineRule="auto"/>
        <w:contextualSpacing/>
        <w:jc w:val="both"/>
        <w:rPr>
          <w:rFonts w:ascii="Arial" w:hAnsi="Arial"/>
          <w:sz w:val="22"/>
        </w:rPr>
      </w:pPr>
      <w:r w:rsidRPr="00EA1F31">
        <w:rPr>
          <w:rFonts w:ascii="Arial" w:hAnsi="Arial"/>
          <w:sz w:val="22"/>
        </w:rPr>
        <w:br w:type="page"/>
      </w:r>
    </w:p>
    <w:p w14:paraId="27A027E5" w14:textId="77777777" w:rsidR="00E20F5F" w:rsidRPr="00EA1F31" w:rsidRDefault="00C4558B" w:rsidP="00FD6EFE">
      <w:pPr>
        <w:pStyle w:val="Heading1"/>
        <w:jc w:val="center"/>
      </w:pPr>
      <w:bookmarkStart w:id="19" w:name="_Toc117727128"/>
      <w:r w:rsidRPr="00FD6EFE">
        <w:rPr>
          <w:i w:val="0"/>
          <w:iCs/>
        </w:rPr>
        <w:lastRenderedPageBreak/>
        <w:t>References</w:t>
      </w:r>
      <w:bookmarkEnd w:id="19"/>
    </w:p>
    <w:p w14:paraId="46274638" w14:textId="77777777" w:rsidR="00E20F5F" w:rsidRPr="00EA1F31" w:rsidRDefault="00E20F5F" w:rsidP="00EA1F31">
      <w:pPr>
        <w:spacing w:line="360" w:lineRule="auto"/>
        <w:contextualSpacing/>
        <w:jc w:val="both"/>
        <w:rPr>
          <w:rFonts w:ascii="Arial" w:hAnsi="Arial"/>
          <w:sz w:val="22"/>
        </w:rPr>
      </w:pPr>
    </w:p>
    <w:p w14:paraId="6BBDBDDD" w14:textId="50DDAC44" w:rsidR="00E247CB" w:rsidRPr="00EA1F31" w:rsidRDefault="00C4558B" w:rsidP="00EA1F31">
      <w:pPr>
        <w:spacing w:line="360" w:lineRule="auto"/>
        <w:ind w:left="720" w:hanging="720"/>
        <w:contextualSpacing/>
        <w:jc w:val="both"/>
        <w:rPr>
          <w:rFonts w:ascii="Arial" w:hAnsi="Arial"/>
          <w:sz w:val="22"/>
        </w:rPr>
      </w:pPr>
      <w:r w:rsidRPr="00EA1F31">
        <w:rPr>
          <w:rFonts w:ascii="Arial" w:hAnsi="Arial"/>
          <w:sz w:val="22"/>
        </w:rPr>
        <w:t>Harder, T. and Siedler, A., 2019. Systematic review and meta-analysis of chickenpox vaccination and risk of herpes zoster: a quantitative view on the “exogenous boosting hypothesis</w:t>
      </w:r>
      <w:bookmarkStart w:id="20" w:name="_Int_Fucm04f8"/>
      <w:r w:rsidR="4B6DF68C" w:rsidRPr="25C5172E">
        <w:rPr>
          <w:rFonts w:ascii="Arial" w:hAnsi="Arial"/>
          <w:sz w:val="22"/>
        </w:rPr>
        <w:t>.”</w:t>
      </w:r>
      <w:bookmarkEnd w:id="20"/>
      <w:r w:rsidRPr="00EA1F31">
        <w:rPr>
          <w:rFonts w:ascii="Arial" w:hAnsi="Arial"/>
          <w:sz w:val="22"/>
        </w:rPr>
        <w:t> </w:t>
      </w:r>
      <w:r w:rsidRPr="00EA1F31">
        <w:rPr>
          <w:rFonts w:ascii="Arial" w:hAnsi="Arial"/>
          <w:i/>
          <w:iCs/>
          <w:sz w:val="22"/>
        </w:rPr>
        <w:t>Clinical Infectious Diseases</w:t>
      </w:r>
      <w:r w:rsidRPr="00EA1F31">
        <w:rPr>
          <w:rFonts w:ascii="Arial" w:hAnsi="Arial"/>
          <w:sz w:val="22"/>
        </w:rPr>
        <w:t>, </w:t>
      </w:r>
      <w:r w:rsidRPr="00EA1F31">
        <w:rPr>
          <w:rFonts w:ascii="Arial" w:hAnsi="Arial"/>
          <w:i/>
          <w:iCs/>
          <w:sz w:val="22"/>
        </w:rPr>
        <w:t>69</w:t>
      </w:r>
      <w:r w:rsidRPr="00EA1F31">
        <w:rPr>
          <w:rFonts w:ascii="Arial" w:hAnsi="Arial"/>
          <w:sz w:val="22"/>
        </w:rPr>
        <w:t>(8), pp.1329-1338.</w:t>
      </w:r>
    </w:p>
    <w:p w14:paraId="6929BA39" w14:textId="77777777" w:rsidR="00E247CB" w:rsidRPr="00EA1F31" w:rsidRDefault="00C4558B" w:rsidP="00EA1F31">
      <w:pPr>
        <w:spacing w:line="360" w:lineRule="auto"/>
        <w:ind w:left="720" w:hanging="720"/>
        <w:contextualSpacing/>
        <w:jc w:val="both"/>
        <w:rPr>
          <w:rFonts w:ascii="Arial" w:hAnsi="Arial"/>
          <w:sz w:val="22"/>
        </w:rPr>
      </w:pPr>
      <w:r w:rsidRPr="00EA1F31">
        <w:rPr>
          <w:rFonts w:ascii="Arial" w:hAnsi="Arial"/>
          <w:sz w:val="22"/>
        </w:rPr>
        <w:t>Kerketta, A.S., Somalkar, N., Dwibedi, B., Sabat, J. and Subudhi, P., 2019, October. 1654. Chickenpox Outbreak in a Tribal District Rayagada, Odisha, India: Warrants Need for Vaccination. In </w:t>
      </w:r>
      <w:r w:rsidRPr="00EA1F31">
        <w:rPr>
          <w:rFonts w:ascii="Arial" w:hAnsi="Arial"/>
          <w:i/>
          <w:iCs/>
          <w:sz w:val="22"/>
        </w:rPr>
        <w:t>Open Forum Infectious Diseases</w:t>
      </w:r>
      <w:r w:rsidRPr="00EA1F31">
        <w:rPr>
          <w:rFonts w:ascii="Arial" w:hAnsi="Arial"/>
          <w:sz w:val="22"/>
        </w:rPr>
        <w:t> (Vol. 6, No. Suppl 2, p. S605). Oxford University Press.</w:t>
      </w:r>
    </w:p>
    <w:p w14:paraId="00DA0F20" w14:textId="77777777" w:rsidR="00E247CB" w:rsidRPr="00EA1F31" w:rsidRDefault="00C4558B" w:rsidP="00EA1F31">
      <w:pPr>
        <w:spacing w:line="360" w:lineRule="auto"/>
        <w:ind w:left="720" w:hanging="720"/>
        <w:contextualSpacing/>
        <w:jc w:val="both"/>
        <w:rPr>
          <w:rFonts w:ascii="Arial" w:hAnsi="Arial"/>
          <w:sz w:val="22"/>
        </w:rPr>
      </w:pPr>
      <w:r w:rsidRPr="00EA1F31">
        <w:rPr>
          <w:rFonts w:ascii="Arial" w:hAnsi="Arial"/>
          <w:sz w:val="22"/>
        </w:rPr>
        <w:t>Parente, S., Moriello, N.S., Maraolo, A.E. and Tosone, G., 2018. Management of chickenpox in pregnant women: an Italian perspective. </w:t>
      </w:r>
      <w:r w:rsidRPr="00EA1F31">
        <w:rPr>
          <w:rFonts w:ascii="Arial" w:hAnsi="Arial"/>
          <w:i/>
          <w:iCs/>
          <w:sz w:val="22"/>
        </w:rPr>
        <w:t>European Journal of Clinical Microbiology &amp; Infectious Diseases</w:t>
      </w:r>
      <w:r w:rsidRPr="00EA1F31">
        <w:rPr>
          <w:rFonts w:ascii="Arial" w:hAnsi="Arial"/>
          <w:sz w:val="22"/>
        </w:rPr>
        <w:t>, </w:t>
      </w:r>
      <w:r w:rsidRPr="00EA1F31">
        <w:rPr>
          <w:rFonts w:ascii="Arial" w:hAnsi="Arial"/>
          <w:i/>
          <w:iCs/>
          <w:sz w:val="22"/>
        </w:rPr>
        <w:t>37</w:t>
      </w:r>
      <w:r w:rsidRPr="00EA1F31">
        <w:rPr>
          <w:rFonts w:ascii="Arial" w:hAnsi="Arial"/>
          <w:sz w:val="22"/>
        </w:rPr>
        <w:t>(9), pp.1603-1609.</w:t>
      </w:r>
    </w:p>
    <w:p w14:paraId="4883001D" w14:textId="77777777" w:rsidR="00E247CB" w:rsidRPr="00EA1F31" w:rsidRDefault="00C4558B" w:rsidP="00EA1F31">
      <w:pPr>
        <w:spacing w:line="360" w:lineRule="auto"/>
        <w:ind w:left="720" w:hanging="720"/>
        <w:contextualSpacing/>
        <w:jc w:val="both"/>
        <w:rPr>
          <w:rFonts w:ascii="Arial" w:hAnsi="Arial"/>
          <w:sz w:val="22"/>
        </w:rPr>
      </w:pPr>
      <w:r w:rsidRPr="00D6150A">
        <w:rPr>
          <w:rFonts w:ascii="Arial" w:hAnsi="Arial"/>
          <w:sz w:val="22"/>
          <w:lang w:val="it-IT"/>
        </w:rPr>
        <w:t xml:space="preserve">Presti, C.L., Curti, C., Montana, M., Bornet, C. and Vanelle, P., 2019. </w:t>
      </w:r>
      <w:r w:rsidRPr="00EA1F31">
        <w:rPr>
          <w:rFonts w:ascii="Arial" w:hAnsi="Arial"/>
          <w:sz w:val="22"/>
        </w:rPr>
        <w:t>Chickenpox: an update. </w:t>
      </w:r>
      <w:r w:rsidRPr="00EA1F31">
        <w:rPr>
          <w:rFonts w:ascii="Arial" w:hAnsi="Arial"/>
          <w:i/>
          <w:iCs/>
          <w:sz w:val="22"/>
        </w:rPr>
        <w:t>Medecine et Maladies Infectieuses</w:t>
      </w:r>
      <w:r w:rsidRPr="00EA1F31">
        <w:rPr>
          <w:rFonts w:ascii="Arial" w:hAnsi="Arial"/>
          <w:sz w:val="22"/>
        </w:rPr>
        <w:t>, </w:t>
      </w:r>
      <w:r w:rsidRPr="00EA1F31">
        <w:rPr>
          <w:rFonts w:ascii="Arial" w:hAnsi="Arial"/>
          <w:i/>
          <w:iCs/>
          <w:sz w:val="22"/>
        </w:rPr>
        <w:t>49</w:t>
      </w:r>
      <w:r w:rsidRPr="00EA1F31">
        <w:rPr>
          <w:rFonts w:ascii="Arial" w:hAnsi="Arial"/>
          <w:sz w:val="22"/>
        </w:rPr>
        <w:t>(1), pp.1-8.</w:t>
      </w:r>
    </w:p>
    <w:p w14:paraId="64A828EF" w14:textId="77777777" w:rsidR="00E247CB" w:rsidRPr="00EA1F31" w:rsidRDefault="00C4558B" w:rsidP="00EA1F31">
      <w:pPr>
        <w:spacing w:line="360" w:lineRule="auto"/>
        <w:ind w:left="720" w:hanging="720"/>
        <w:contextualSpacing/>
        <w:jc w:val="both"/>
        <w:rPr>
          <w:rFonts w:ascii="Arial" w:hAnsi="Arial"/>
          <w:sz w:val="22"/>
        </w:rPr>
      </w:pPr>
      <w:r w:rsidRPr="00EA1F31">
        <w:rPr>
          <w:rFonts w:ascii="Arial" w:hAnsi="Arial"/>
          <w:sz w:val="22"/>
        </w:rPr>
        <w:t>Qureshi, S. and Yusuf, A., 2019. Modeling chickenpox disease with fractional derivatives: From caputo to atangana-baleanu. </w:t>
      </w:r>
      <w:r w:rsidRPr="00EA1F31">
        <w:rPr>
          <w:rFonts w:ascii="Arial" w:hAnsi="Arial"/>
          <w:i/>
          <w:iCs/>
          <w:sz w:val="22"/>
        </w:rPr>
        <w:t>Chaos, Solitons &amp; Fractals</w:t>
      </w:r>
      <w:r w:rsidRPr="00EA1F31">
        <w:rPr>
          <w:rFonts w:ascii="Arial" w:hAnsi="Arial"/>
          <w:sz w:val="22"/>
        </w:rPr>
        <w:t>, </w:t>
      </w:r>
      <w:r w:rsidRPr="00EA1F31">
        <w:rPr>
          <w:rFonts w:ascii="Arial" w:hAnsi="Arial"/>
          <w:i/>
          <w:iCs/>
          <w:sz w:val="22"/>
        </w:rPr>
        <w:t>122</w:t>
      </w:r>
      <w:r w:rsidRPr="00EA1F31">
        <w:rPr>
          <w:rFonts w:ascii="Arial" w:hAnsi="Arial"/>
          <w:sz w:val="22"/>
        </w:rPr>
        <w:t>, pp.111-118.</w:t>
      </w:r>
    </w:p>
    <w:p w14:paraId="22373A4F" w14:textId="79EDBF3B" w:rsidR="00E247CB" w:rsidRPr="00EA1F31" w:rsidRDefault="00C4558B" w:rsidP="00EA1F31">
      <w:pPr>
        <w:spacing w:line="360" w:lineRule="auto"/>
        <w:ind w:left="720" w:hanging="720"/>
        <w:contextualSpacing/>
        <w:jc w:val="both"/>
        <w:rPr>
          <w:rFonts w:ascii="Arial" w:hAnsi="Arial"/>
          <w:sz w:val="22"/>
        </w:rPr>
      </w:pPr>
      <w:r w:rsidRPr="00EA1F31">
        <w:rPr>
          <w:rFonts w:ascii="Arial" w:hAnsi="Arial"/>
          <w:sz w:val="22"/>
        </w:rPr>
        <w:t xml:space="preserve">Rao, M., 2021. Rickettsialpox or </w:t>
      </w:r>
      <w:bookmarkStart w:id="21" w:name="_Int_nNd5n0b1"/>
      <w:r w:rsidRPr="00EA1F31">
        <w:rPr>
          <w:rFonts w:ascii="Arial" w:hAnsi="Arial"/>
          <w:sz w:val="22"/>
        </w:rPr>
        <w:t>chickenpox</w:t>
      </w:r>
      <w:r w:rsidR="79FC9938" w:rsidRPr="074FAE33">
        <w:rPr>
          <w:rFonts w:ascii="Arial" w:hAnsi="Arial"/>
          <w:sz w:val="22"/>
        </w:rPr>
        <w:t>?</w:t>
      </w:r>
      <w:bookmarkEnd w:id="21"/>
      <w:r w:rsidRPr="00EA1F31">
        <w:rPr>
          <w:rFonts w:ascii="Arial" w:hAnsi="Arial"/>
          <w:sz w:val="22"/>
        </w:rPr>
        <w:t> </w:t>
      </w:r>
      <w:r w:rsidRPr="00EA1F31">
        <w:rPr>
          <w:rFonts w:ascii="Arial" w:hAnsi="Arial"/>
          <w:i/>
          <w:iCs/>
          <w:sz w:val="22"/>
        </w:rPr>
        <w:t>IDCases</w:t>
      </w:r>
      <w:r w:rsidRPr="00EA1F31">
        <w:rPr>
          <w:rFonts w:ascii="Arial" w:hAnsi="Arial"/>
          <w:sz w:val="22"/>
        </w:rPr>
        <w:t>, </w:t>
      </w:r>
      <w:r w:rsidRPr="00EA1F31">
        <w:rPr>
          <w:rFonts w:ascii="Arial" w:hAnsi="Arial"/>
          <w:i/>
          <w:iCs/>
          <w:sz w:val="22"/>
        </w:rPr>
        <w:t>25</w:t>
      </w:r>
      <w:r w:rsidRPr="00EA1F31">
        <w:rPr>
          <w:rFonts w:ascii="Arial" w:hAnsi="Arial"/>
          <w:sz w:val="22"/>
        </w:rPr>
        <w:t>.</w:t>
      </w:r>
    </w:p>
    <w:sectPr w:rsidR="00E247CB" w:rsidRPr="00EA1F31" w:rsidSect="00E247CB">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6891E" w14:textId="77777777" w:rsidR="003134F3" w:rsidRDefault="003134F3">
      <w:pPr>
        <w:spacing w:line="240" w:lineRule="auto"/>
      </w:pPr>
      <w:r>
        <w:separator/>
      </w:r>
    </w:p>
  </w:endnote>
  <w:endnote w:type="continuationSeparator" w:id="0">
    <w:p w14:paraId="60C44FEF" w14:textId="77777777" w:rsidR="003134F3" w:rsidRDefault="003134F3">
      <w:pPr>
        <w:spacing w:line="240" w:lineRule="auto"/>
      </w:pPr>
      <w:r>
        <w:continuationSeparator/>
      </w:r>
    </w:p>
  </w:endnote>
  <w:endnote w:type="continuationNotice" w:id="1">
    <w:p w14:paraId="1050FFBE" w14:textId="77777777" w:rsidR="003134F3" w:rsidRDefault="003134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C662C" w14:textId="77777777" w:rsidR="003134F3" w:rsidRDefault="003134F3">
      <w:pPr>
        <w:spacing w:line="240" w:lineRule="auto"/>
      </w:pPr>
      <w:r>
        <w:separator/>
      </w:r>
    </w:p>
  </w:footnote>
  <w:footnote w:type="continuationSeparator" w:id="0">
    <w:p w14:paraId="5BF2E626" w14:textId="77777777" w:rsidR="003134F3" w:rsidRDefault="003134F3">
      <w:pPr>
        <w:spacing w:line="240" w:lineRule="auto"/>
      </w:pPr>
      <w:r>
        <w:continuationSeparator/>
      </w:r>
    </w:p>
  </w:footnote>
  <w:footnote w:type="continuationNotice" w:id="1">
    <w:p w14:paraId="52367309" w14:textId="77777777" w:rsidR="003134F3" w:rsidRDefault="003134F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5963566"/>
      <w:docPartObj>
        <w:docPartGallery w:val="Page Numbers (Top of Page)"/>
        <w:docPartUnique/>
      </w:docPartObj>
    </w:sdtPr>
    <w:sdtEndPr>
      <w:rPr>
        <w:rFonts w:ascii="Arial" w:hAnsi="Arial"/>
        <w:noProof/>
        <w:sz w:val="22"/>
      </w:rPr>
    </w:sdtEndPr>
    <w:sdtContent>
      <w:p w14:paraId="1D134B9A" w14:textId="77777777" w:rsidR="00E247CB" w:rsidRPr="00E247CB" w:rsidRDefault="00C4558B">
        <w:pPr>
          <w:pStyle w:val="Header"/>
          <w:jc w:val="right"/>
          <w:rPr>
            <w:rFonts w:ascii="Arial" w:hAnsi="Arial"/>
            <w:sz w:val="22"/>
          </w:rPr>
        </w:pPr>
        <w:r w:rsidRPr="00E247CB">
          <w:rPr>
            <w:rFonts w:ascii="Arial" w:hAnsi="Arial"/>
            <w:sz w:val="22"/>
          </w:rPr>
          <w:fldChar w:fldCharType="begin"/>
        </w:r>
        <w:r w:rsidRPr="00E247CB">
          <w:rPr>
            <w:rFonts w:ascii="Arial" w:hAnsi="Arial"/>
            <w:sz w:val="22"/>
          </w:rPr>
          <w:instrText xml:space="preserve"> PAGE   \* MERGEFORMAT </w:instrText>
        </w:r>
        <w:r w:rsidRPr="00E247CB">
          <w:rPr>
            <w:rFonts w:ascii="Arial" w:hAnsi="Arial"/>
            <w:sz w:val="22"/>
          </w:rPr>
          <w:fldChar w:fldCharType="separate"/>
        </w:r>
        <w:r w:rsidR="00475108">
          <w:rPr>
            <w:rFonts w:ascii="Arial" w:hAnsi="Arial"/>
            <w:noProof/>
            <w:sz w:val="22"/>
          </w:rPr>
          <w:t>4</w:t>
        </w:r>
        <w:r w:rsidRPr="00E247CB">
          <w:rPr>
            <w:rFonts w:ascii="Arial" w:hAnsi="Arial"/>
            <w:noProof/>
            <w:sz w:val="22"/>
          </w:rPr>
          <w:fldChar w:fldCharType="end"/>
        </w:r>
      </w:p>
    </w:sdtContent>
  </w:sdt>
  <w:p w14:paraId="084824FF" w14:textId="77777777" w:rsidR="00E247CB" w:rsidRDefault="00E247C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Fucm04f8" int2:invalidationBookmarkName="" int2:hashCode="+hy8M85sF9u9T4" int2:id="AtySgKC5"/>
    <int2:bookmark int2:bookmarkName="_Int_ooQ537Bo" int2:invalidationBookmarkName="" int2:hashCode="pab396vRmB68f0" int2:id="C2iw9BfB"/>
    <int2:bookmark int2:bookmarkName="_Int_PvkxdMW7" int2:invalidationBookmarkName="" int2:hashCode="4IBocgf/GezIlx" int2:id="JoPnU13l"/>
    <int2:bookmark int2:bookmarkName="_Int_i7UGkBRO" int2:invalidationBookmarkName="" int2:hashCode="hB6Ix2OZu25mI4" int2:id="KV7PxMHp"/>
    <int2:bookmark int2:bookmarkName="_Int_bgs8QVqw" int2:invalidationBookmarkName="" int2:hashCode="8FBbWsMuCQnScG" int2:id="OKlwZheX"/>
    <int2:bookmark int2:bookmarkName="_Int_n5HKykY4" int2:invalidationBookmarkName="" int2:hashCode="I2haEu9aeWG90T" int2:id="QZjdoOCw"/>
    <int2:bookmark int2:bookmarkName="_Int_7MBUKrEy" int2:invalidationBookmarkName="" int2:hashCode="5E7KMl5sxfIPS2" int2:id="ekKu0gU6"/>
    <int2:bookmark int2:bookmarkName="_Int_C8nk5mOS" int2:invalidationBookmarkName="" int2:hashCode="X6LQLG4xGWgkMc" int2:id="p7tisFO0"/>
    <int2:bookmark int2:bookmarkName="_Int_stY41aa9" int2:invalidationBookmarkName="" int2:hashCode="GgaV1iJ23mqzva" int2:id="qXDIUoFM"/>
    <int2:bookmark int2:bookmarkName="_Int_nNd5n0b1" int2:invalidationBookmarkName="" int2:hashCode="j8K1xu8qKLgjT1" int2:id="rKj43eSg"/>
    <int2:entireDocument int2:id="stvKq26Z">
      <int2:extLst>
        <oel:ext uri="E302BA01-7950-474C-9AD3-286E660C40A8">
          <int2:similaritySummary int2:version="1" int2:runId="1667060028925" int2:tilesCheckedInThisRun="1" int2:totalNumOfTiles="47" int2:similarityAnnotationCount="0" int2:numWords="1384" int2:numFlaggedWords="0"/>
        </oel:ext>
      </int2:extLst>
    </int2:entireDocument>
  </int2:observations>
  <int2:intelligenceSettings/>
  <int2:onDemandWorkflows>
    <int2:onDemandWorkflow int2:type="SimilarityCheck" int2:paragraphVersions="639CC6CA-77777777 10832CC5-77777777 13593EF0-77777777 61D02798-77777777 098BEB15-77777777 57C63794-77777777 6A4F1662-77777777 771AA3D6-77777777 540C3AB5-77777777 7435163B-77777777 33A2C587-77777777 06809BB2-77777777 0EE1B25D-2D5A74E7 4832AA12-760EBAE8 6762A0D7-2E2540C2 5B6A1341-66322139 0FB0FDF4-77777777 03846431-64CFA0E4 09046D71-77777777 09E74007-77777777 078FF3F6-77777777 388EC64F-77777777 585AA967-77777777 2921B30E-77777777 0CDEE360-77777777 5DC591B2-77777777 7F733FDD-77777777 0365F833-77777777 79EF7A31-77777777 732F9672-77777777 03AB7BF1-77777777 64BE8F03-77777777 7D814459-77777777 6327F780-77777777 0F4EDC5E-77777777 5F68C715-77777777 51AA4EAA-77777777 0D98A807-77777777 3472C6F9-77777777 3247FB4D-77777777 0E807F55-248DE286 72A1A8DB-77777777 3ED7D69D-77777777 79512504-77777777 3905FE71-77777777 35FF15C9-77777777 15F3869B-77777777 3A7F9FD5-0ECC79DE 4D2378B5-77777777 64DA98C9-77777777 3124397A-77777777 55BDCAB8-49DE92B3 6D16E708-77777777 22AA1738-77777777 724975D0-77777777 0739AECB-77777777 4AF34988-77777777 7258D18D-77777777 546C04AF-70F9BF60 4EFC8E28-77777777 49E6738A-77777777 28EB5B43-4D259A26 6818E2EB-03993622 1DC63973-77777777 5896AFB7-77777777 27DFEF80-77777777 54F3CA2E-77777777 27A027E5-77777777 46274638-77777777 6BBDBDDD-50DDAC44 6929BA39-77777777 00DA0F20-77777777 4883001D-77777777 64A828EF-77777777 22373A4F-79EDBF3B 1D134B9A-77777777 084824FF-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F5F"/>
    <w:rsid w:val="000815A2"/>
    <w:rsid w:val="00085A9D"/>
    <w:rsid w:val="000C2950"/>
    <w:rsid w:val="000C6A94"/>
    <w:rsid w:val="00146167"/>
    <w:rsid w:val="002540DE"/>
    <w:rsid w:val="00300999"/>
    <w:rsid w:val="003117D6"/>
    <w:rsid w:val="003134F3"/>
    <w:rsid w:val="003268E6"/>
    <w:rsid w:val="003A65AC"/>
    <w:rsid w:val="004177EC"/>
    <w:rsid w:val="00475108"/>
    <w:rsid w:val="0049148B"/>
    <w:rsid w:val="00500F87"/>
    <w:rsid w:val="00521055"/>
    <w:rsid w:val="00542668"/>
    <w:rsid w:val="00553A9B"/>
    <w:rsid w:val="0057403C"/>
    <w:rsid w:val="00602859"/>
    <w:rsid w:val="006B5E78"/>
    <w:rsid w:val="007377D0"/>
    <w:rsid w:val="00766418"/>
    <w:rsid w:val="007D39D0"/>
    <w:rsid w:val="007E5A33"/>
    <w:rsid w:val="00833023"/>
    <w:rsid w:val="009819CF"/>
    <w:rsid w:val="00A57023"/>
    <w:rsid w:val="00A8777D"/>
    <w:rsid w:val="00AE1BF7"/>
    <w:rsid w:val="00BC4CCE"/>
    <w:rsid w:val="00BF5033"/>
    <w:rsid w:val="00C4558B"/>
    <w:rsid w:val="00C63A57"/>
    <w:rsid w:val="00CD1FF0"/>
    <w:rsid w:val="00CD55C6"/>
    <w:rsid w:val="00CE6C36"/>
    <w:rsid w:val="00D0624D"/>
    <w:rsid w:val="00D1166D"/>
    <w:rsid w:val="00D6150A"/>
    <w:rsid w:val="00D73247"/>
    <w:rsid w:val="00D907C8"/>
    <w:rsid w:val="00E20F5F"/>
    <w:rsid w:val="00E247CB"/>
    <w:rsid w:val="00E345C4"/>
    <w:rsid w:val="00EA1F31"/>
    <w:rsid w:val="00FB2FF2"/>
    <w:rsid w:val="00FD6EFE"/>
    <w:rsid w:val="00FE3155"/>
    <w:rsid w:val="00FF151B"/>
    <w:rsid w:val="01FD2797"/>
    <w:rsid w:val="074FAE33"/>
    <w:rsid w:val="0CB8F69B"/>
    <w:rsid w:val="190C4471"/>
    <w:rsid w:val="1BABAB12"/>
    <w:rsid w:val="1E167F68"/>
    <w:rsid w:val="249C8B69"/>
    <w:rsid w:val="25C5172E"/>
    <w:rsid w:val="2CF978A6"/>
    <w:rsid w:val="2F91904D"/>
    <w:rsid w:val="39CC0D09"/>
    <w:rsid w:val="470CCEFE"/>
    <w:rsid w:val="47EEA170"/>
    <w:rsid w:val="4B6DF68C"/>
    <w:rsid w:val="4E58BCA1"/>
    <w:rsid w:val="5F304EF3"/>
    <w:rsid w:val="6D5F854A"/>
    <w:rsid w:val="79FC9938"/>
    <w:rsid w:val="7C8F95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E3F6C"/>
  <w15:chartTrackingRefBased/>
  <w15:docId w15:val="{D44775B6-9A62-4B6B-A6B8-A8A7DF7AB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F5F"/>
    <w:pPr>
      <w:spacing w:after="0" w:line="276" w:lineRule="auto"/>
    </w:pPr>
    <w:rPr>
      <w:rFonts w:ascii="Sylfaen" w:hAnsi="Sylfaen" w:cs="Arial"/>
      <w:kern w:val="0"/>
      <w:sz w:val="24"/>
      <w:lang w:eastAsia="en-GB"/>
    </w:rPr>
  </w:style>
  <w:style w:type="paragraph" w:styleId="Heading1">
    <w:name w:val="heading 1"/>
    <w:basedOn w:val="Normal"/>
    <w:next w:val="Normal"/>
    <w:link w:val="Heading1Char"/>
    <w:uiPriority w:val="9"/>
    <w:qFormat/>
    <w:rsid w:val="00EA1F31"/>
    <w:pPr>
      <w:spacing w:line="360" w:lineRule="auto"/>
      <w:contextualSpacing/>
      <w:jc w:val="both"/>
      <w:outlineLvl w:val="0"/>
    </w:pPr>
    <w:rPr>
      <w:rFonts w:ascii="Arial" w:hAnsi="Arial"/>
      <w:b/>
      <w:bCs/>
      <w:i/>
      <w:sz w:val="22"/>
    </w:rPr>
  </w:style>
  <w:style w:type="paragraph" w:styleId="Heading2">
    <w:name w:val="heading 2"/>
    <w:basedOn w:val="Normal"/>
    <w:next w:val="Normal"/>
    <w:link w:val="Heading2Char"/>
    <w:uiPriority w:val="9"/>
    <w:unhideWhenUsed/>
    <w:qFormat/>
    <w:rsid w:val="00EA1F31"/>
    <w:pPr>
      <w:spacing w:line="360" w:lineRule="auto"/>
      <w:contextualSpacing/>
      <w:jc w:val="both"/>
      <w:outlineLvl w:val="1"/>
    </w:pPr>
    <w:rPr>
      <w:rFonts w:ascii="Arial" w:hAnsi="Arial"/>
      <w:i/>
      <w:sz w:val="22"/>
    </w:rPr>
  </w:style>
  <w:style w:type="paragraph" w:styleId="Heading3">
    <w:name w:val="heading 3"/>
    <w:basedOn w:val="Normal"/>
    <w:next w:val="Normal"/>
    <w:link w:val="Heading3Char"/>
    <w:uiPriority w:val="9"/>
    <w:unhideWhenUsed/>
    <w:qFormat/>
    <w:rsid w:val="00E247CB"/>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F31"/>
    <w:rPr>
      <w:rFonts w:ascii="Arial" w:hAnsi="Arial" w:cs="Arial"/>
      <w:b/>
      <w:bCs/>
      <w:i/>
      <w:kern w:val="0"/>
      <w:lang w:eastAsia="en-GB"/>
    </w:rPr>
  </w:style>
  <w:style w:type="character" w:customStyle="1" w:styleId="Heading2Char">
    <w:name w:val="Heading 2 Char"/>
    <w:basedOn w:val="DefaultParagraphFont"/>
    <w:link w:val="Heading2"/>
    <w:uiPriority w:val="9"/>
    <w:rsid w:val="00EA1F31"/>
    <w:rPr>
      <w:rFonts w:ascii="Arial" w:hAnsi="Arial" w:cs="Arial"/>
      <w:i/>
      <w:kern w:val="0"/>
      <w:lang w:eastAsia="en-GB"/>
    </w:rPr>
  </w:style>
  <w:style w:type="paragraph" w:styleId="Header">
    <w:name w:val="header"/>
    <w:basedOn w:val="Normal"/>
    <w:link w:val="HeaderChar"/>
    <w:uiPriority w:val="99"/>
    <w:unhideWhenUsed/>
    <w:rsid w:val="00E247CB"/>
    <w:pPr>
      <w:tabs>
        <w:tab w:val="center" w:pos="4513"/>
        <w:tab w:val="right" w:pos="9026"/>
      </w:tabs>
      <w:spacing w:line="240" w:lineRule="auto"/>
    </w:pPr>
  </w:style>
  <w:style w:type="character" w:customStyle="1" w:styleId="HeaderChar">
    <w:name w:val="Header Char"/>
    <w:basedOn w:val="DefaultParagraphFont"/>
    <w:link w:val="Header"/>
    <w:uiPriority w:val="99"/>
    <w:rsid w:val="00E247CB"/>
    <w:rPr>
      <w:rFonts w:ascii="Sylfaen" w:hAnsi="Sylfaen" w:cs="Arial"/>
      <w:kern w:val="0"/>
      <w:sz w:val="24"/>
      <w:lang w:eastAsia="en-GB"/>
    </w:rPr>
  </w:style>
  <w:style w:type="paragraph" w:styleId="Footer">
    <w:name w:val="footer"/>
    <w:basedOn w:val="Normal"/>
    <w:link w:val="FooterChar"/>
    <w:uiPriority w:val="99"/>
    <w:unhideWhenUsed/>
    <w:rsid w:val="00E247CB"/>
    <w:pPr>
      <w:tabs>
        <w:tab w:val="center" w:pos="4513"/>
        <w:tab w:val="right" w:pos="9026"/>
      </w:tabs>
      <w:spacing w:line="240" w:lineRule="auto"/>
    </w:pPr>
  </w:style>
  <w:style w:type="character" w:customStyle="1" w:styleId="FooterChar">
    <w:name w:val="Footer Char"/>
    <w:basedOn w:val="DefaultParagraphFont"/>
    <w:link w:val="Footer"/>
    <w:uiPriority w:val="99"/>
    <w:rsid w:val="00E247CB"/>
    <w:rPr>
      <w:rFonts w:ascii="Sylfaen" w:hAnsi="Sylfaen" w:cs="Arial"/>
      <w:kern w:val="0"/>
      <w:sz w:val="24"/>
      <w:lang w:eastAsia="en-GB"/>
    </w:rPr>
  </w:style>
  <w:style w:type="character" w:customStyle="1" w:styleId="Heading3Char">
    <w:name w:val="Heading 3 Char"/>
    <w:basedOn w:val="DefaultParagraphFont"/>
    <w:link w:val="Heading3"/>
    <w:uiPriority w:val="9"/>
    <w:rsid w:val="00E247CB"/>
    <w:rPr>
      <w:rFonts w:asciiTheme="majorHAnsi" w:eastAsiaTheme="majorEastAsia" w:hAnsiTheme="majorHAnsi" w:cstheme="majorBidi"/>
      <w:color w:val="1F3763" w:themeColor="accent1" w:themeShade="7F"/>
      <w:kern w:val="0"/>
      <w:sz w:val="24"/>
      <w:szCs w:val="24"/>
      <w:lang w:eastAsia="en-GB"/>
    </w:rPr>
  </w:style>
  <w:style w:type="paragraph" w:styleId="TOCHeading">
    <w:name w:val="TOC Heading"/>
    <w:basedOn w:val="Heading1"/>
    <w:next w:val="Normal"/>
    <w:uiPriority w:val="39"/>
    <w:unhideWhenUsed/>
    <w:qFormat/>
    <w:rsid w:val="00E247CB"/>
    <w:pPr>
      <w:keepNext/>
      <w:keepLines/>
      <w:spacing w:before="240" w:line="259" w:lineRule="auto"/>
      <w:jc w:val="left"/>
      <w:outlineLvl w:val="9"/>
    </w:pPr>
    <w:rPr>
      <w:rFonts w:asciiTheme="majorHAnsi" w:eastAsiaTheme="majorEastAsia" w:hAnsiTheme="majorHAnsi" w:cstheme="majorBidi"/>
      <w:b w:val="0"/>
      <w:bCs w:val="0"/>
      <w:i w:val="0"/>
      <w:iCs/>
      <w:color w:val="2F5496" w:themeColor="accent1" w:themeShade="BF"/>
      <w:sz w:val="32"/>
      <w:szCs w:val="32"/>
      <w:lang w:val="en-US" w:eastAsia="en-US"/>
      <w14:ligatures w14:val="none"/>
    </w:rPr>
  </w:style>
  <w:style w:type="paragraph" w:styleId="TOC1">
    <w:name w:val="toc 1"/>
    <w:basedOn w:val="Normal"/>
    <w:next w:val="Normal"/>
    <w:autoRedefine/>
    <w:uiPriority w:val="39"/>
    <w:unhideWhenUsed/>
    <w:rsid w:val="00E247CB"/>
    <w:pPr>
      <w:spacing w:after="100"/>
    </w:pPr>
  </w:style>
  <w:style w:type="paragraph" w:styleId="TOC2">
    <w:name w:val="toc 2"/>
    <w:basedOn w:val="Normal"/>
    <w:next w:val="Normal"/>
    <w:autoRedefine/>
    <w:uiPriority w:val="39"/>
    <w:unhideWhenUsed/>
    <w:rsid w:val="00E247CB"/>
    <w:pPr>
      <w:spacing w:after="100"/>
      <w:ind w:left="240"/>
    </w:pPr>
  </w:style>
  <w:style w:type="character" w:styleId="Hyperlink">
    <w:name w:val="Hyperlink"/>
    <w:basedOn w:val="DefaultParagraphFont"/>
    <w:uiPriority w:val="99"/>
    <w:unhideWhenUsed/>
    <w:rsid w:val="00E247CB"/>
    <w:rPr>
      <w:color w:val="0563C1" w:themeColor="hyperlink"/>
      <w:u w:val="single"/>
    </w:rPr>
  </w:style>
  <w:style w:type="paragraph" w:styleId="NormalWeb">
    <w:name w:val="Normal (Web)"/>
    <w:basedOn w:val="Normal"/>
    <w:uiPriority w:val="99"/>
    <w:semiHidden/>
    <w:unhideWhenUsed/>
    <w:rsid w:val="009819CF"/>
    <w:pPr>
      <w:spacing w:before="100" w:beforeAutospacing="1" w:after="100" w:afterAutospacing="1" w:line="240" w:lineRule="auto"/>
    </w:pPr>
    <w:rPr>
      <w:rFonts w:ascii="Times New Roman" w:eastAsia="Times New Roman" w:hAnsi="Times New Roman"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71940">
      <w:bodyDiv w:val="1"/>
      <w:marLeft w:val="0"/>
      <w:marRight w:val="0"/>
      <w:marTop w:val="0"/>
      <w:marBottom w:val="0"/>
      <w:divBdr>
        <w:top w:val="none" w:sz="0" w:space="0" w:color="auto"/>
        <w:left w:val="none" w:sz="0" w:space="0" w:color="auto"/>
        <w:bottom w:val="none" w:sz="0" w:space="0" w:color="auto"/>
        <w:right w:val="none" w:sz="0" w:space="0" w:color="auto"/>
      </w:divBdr>
    </w:div>
    <w:div w:id="430125017">
      <w:bodyDiv w:val="1"/>
      <w:marLeft w:val="0"/>
      <w:marRight w:val="0"/>
      <w:marTop w:val="0"/>
      <w:marBottom w:val="0"/>
      <w:divBdr>
        <w:top w:val="none" w:sz="0" w:space="0" w:color="auto"/>
        <w:left w:val="none" w:sz="0" w:space="0" w:color="auto"/>
        <w:bottom w:val="none" w:sz="0" w:space="0" w:color="auto"/>
        <w:right w:val="none" w:sz="0" w:space="0" w:color="auto"/>
      </w:divBdr>
    </w:div>
    <w:div w:id="922765189">
      <w:bodyDiv w:val="1"/>
      <w:marLeft w:val="0"/>
      <w:marRight w:val="0"/>
      <w:marTop w:val="0"/>
      <w:marBottom w:val="0"/>
      <w:divBdr>
        <w:top w:val="none" w:sz="0" w:space="0" w:color="auto"/>
        <w:left w:val="none" w:sz="0" w:space="0" w:color="auto"/>
        <w:bottom w:val="none" w:sz="0" w:space="0" w:color="auto"/>
        <w:right w:val="none" w:sz="0" w:space="0" w:color="auto"/>
      </w:divBdr>
    </w:div>
    <w:div w:id="929584422">
      <w:bodyDiv w:val="1"/>
      <w:marLeft w:val="0"/>
      <w:marRight w:val="0"/>
      <w:marTop w:val="0"/>
      <w:marBottom w:val="0"/>
      <w:divBdr>
        <w:top w:val="none" w:sz="0" w:space="0" w:color="auto"/>
        <w:left w:val="none" w:sz="0" w:space="0" w:color="auto"/>
        <w:bottom w:val="none" w:sz="0" w:space="0" w:color="auto"/>
        <w:right w:val="none" w:sz="0" w:space="0" w:color="auto"/>
      </w:divBdr>
    </w:div>
    <w:div w:id="1035230091">
      <w:bodyDiv w:val="1"/>
      <w:marLeft w:val="0"/>
      <w:marRight w:val="0"/>
      <w:marTop w:val="0"/>
      <w:marBottom w:val="0"/>
      <w:divBdr>
        <w:top w:val="none" w:sz="0" w:space="0" w:color="auto"/>
        <w:left w:val="none" w:sz="0" w:space="0" w:color="auto"/>
        <w:bottom w:val="none" w:sz="0" w:space="0" w:color="auto"/>
        <w:right w:val="none" w:sz="0" w:space="0" w:color="auto"/>
      </w:divBdr>
    </w:div>
    <w:div w:id="1401752238">
      <w:bodyDiv w:val="1"/>
      <w:marLeft w:val="0"/>
      <w:marRight w:val="0"/>
      <w:marTop w:val="0"/>
      <w:marBottom w:val="0"/>
      <w:divBdr>
        <w:top w:val="none" w:sz="0" w:space="0" w:color="auto"/>
        <w:left w:val="none" w:sz="0" w:space="0" w:color="auto"/>
        <w:bottom w:val="none" w:sz="0" w:space="0" w:color="auto"/>
        <w:right w:val="none" w:sz="0" w:space="0" w:color="auto"/>
      </w:divBdr>
    </w:div>
    <w:div w:id="1550341489">
      <w:bodyDiv w:val="1"/>
      <w:marLeft w:val="0"/>
      <w:marRight w:val="0"/>
      <w:marTop w:val="0"/>
      <w:marBottom w:val="0"/>
      <w:divBdr>
        <w:top w:val="none" w:sz="0" w:space="0" w:color="auto"/>
        <w:left w:val="none" w:sz="0" w:space="0" w:color="auto"/>
        <w:bottom w:val="none" w:sz="0" w:space="0" w:color="auto"/>
        <w:right w:val="none" w:sz="0" w:space="0" w:color="auto"/>
      </w:divBdr>
    </w:div>
    <w:div w:id="191215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3c97a84c202764961f0e92650dbbf193">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dd04c1275e3b2093a45c13c98f4bc9df"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150B1-7A50-4E53-9998-5701FE12E2B6}">
  <ds:schemaRefs>
    <ds:schemaRef ds:uri="http://schemas.openxmlformats.org/officeDocument/2006/bibliography"/>
  </ds:schemaRefs>
</ds:datastoreItem>
</file>

<file path=customXml/itemProps2.xml><?xml version="1.0" encoding="utf-8"?>
<ds:datastoreItem xmlns:ds="http://schemas.openxmlformats.org/officeDocument/2006/customXml" ds:itemID="{33B39F71-9757-4A16-8073-1539118112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FC5D2F-11CE-4F17-9187-AEE23E9FE742}">
  <ds:schemaRefs>
    <ds:schemaRef ds:uri="http://schemas.microsoft.com/sharepoint/v3/contenttype/forms"/>
  </ds:schemaRefs>
</ds:datastoreItem>
</file>

<file path=customXml/itemProps4.xml><?xml version="1.0" encoding="utf-8"?>
<ds:datastoreItem xmlns:ds="http://schemas.openxmlformats.org/officeDocument/2006/customXml" ds:itemID="{F7509A3F-6531-44AB-BED9-58219DA94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Ifrah Yassin</cp:lastModifiedBy>
  <cp:revision>18</cp:revision>
  <dcterms:created xsi:type="dcterms:W3CDTF">2022-10-29T13:00:00Z</dcterms:created>
  <dcterms:modified xsi:type="dcterms:W3CDTF">2022-10-30T10:32:00Z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