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F171B2" w14:textId="4C3B4675" w:rsidR="001132B2" w:rsidRPr="001132B2" w:rsidRDefault="001132B2" w:rsidP="001132B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132B2">
        <w:rPr>
          <w:rFonts w:ascii="Arial" w:hAnsi="Arial" w:cs="Arial"/>
          <w:b/>
          <w:bCs/>
          <w:sz w:val="24"/>
          <w:szCs w:val="24"/>
          <w:u w:val="single"/>
        </w:rPr>
        <w:t xml:space="preserve">References </w:t>
      </w:r>
    </w:p>
    <w:p w14:paraId="00ED17C9" w14:textId="563B1715" w:rsidR="001132B2" w:rsidRPr="001132B2" w:rsidRDefault="001132B2" w:rsidP="001132B2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proofErr w:type="gramStart"/>
      <w:r w:rsidRPr="001132B2">
        <w:rPr>
          <w:rFonts w:ascii="Arial" w:hAnsi="Arial" w:cs="Arial"/>
          <w:sz w:val="24"/>
          <w:szCs w:val="24"/>
        </w:rPr>
        <w:t>Asah,S</w:t>
      </w:r>
      <w:proofErr w:type="spellEnd"/>
      <w:r w:rsidRPr="001132B2">
        <w:rPr>
          <w:rFonts w:ascii="Arial" w:hAnsi="Arial" w:cs="Arial"/>
          <w:sz w:val="24"/>
          <w:szCs w:val="24"/>
        </w:rPr>
        <w:t>.</w:t>
      </w:r>
      <w:proofErr w:type="gramEnd"/>
      <w:r w:rsidRPr="001132B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132B2">
        <w:rPr>
          <w:rFonts w:ascii="Arial" w:hAnsi="Arial" w:cs="Arial"/>
          <w:sz w:val="24"/>
          <w:szCs w:val="24"/>
        </w:rPr>
        <w:t>Bengston,D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. &amp; Westphal, L. (2012) ‘The Influence of Childhood: Operational Pathways to Adulthood Participation in Nature-Based Activities’,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Environment and </w:t>
      </w:r>
      <w:proofErr w:type="spellStart"/>
      <w:r w:rsidRPr="001132B2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1132B2">
        <w:rPr>
          <w:rFonts w:ascii="Arial" w:hAnsi="Arial" w:cs="Arial"/>
          <w:i/>
          <w:iCs/>
          <w:sz w:val="24"/>
          <w:szCs w:val="24"/>
        </w:rPr>
        <w:t xml:space="preserve">. </w:t>
      </w:r>
      <w:r w:rsidRPr="001132B2">
        <w:rPr>
          <w:rFonts w:ascii="Arial" w:hAnsi="Arial" w:cs="Arial"/>
          <w:sz w:val="24"/>
          <w:szCs w:val="24"/>
        </w:rPr>
        <w:t xml:space="preserve">44(4), pp. 545-569. Available at: </w:t>
      </w:r>
      <w:r w:rsidRPr="001132B2">
        <w:rPr>
          <w:rFonts w:ascii="Arial" w:hAnsi="Arial" w:cs="Arial"/>
          <w:sz w:val="24"/>
          <w:szCs w:val="24"/>
        </w:rPr>
        <w:t>https://journals.sagepub.com/doi/abs/10.1177/0013916510397757</w:t>
      </w:r>
      <w:r w:rsidRPr="001132B2">
        <w:rPr>
          <w:rFonts w:ascii="Arial" w:hAnsi="Arial" w:cs="Arial"/>
          <w:sz w:val="24"/>
          <w:szCs w:val="24"/>
        </w:rPr>
        <w:t xml:space="preserve"> (Accessed: 20 June 2021).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22B63D88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>Audley, S.</w:t>
      </w:r>
      <w:r w:rsidRPr="001132B2">
        <w:rPr>
          <w:rFonts w:ascii="Arial" w:hAnsi="Arial" w:cs="Arial"/>
          <w:sz w:val="24"/>
          <w:szCs w:val="24"/>
        </w:rPr>
        <w:t>,</w:t>
      </w:r>
      <w:r w:rsidRPr="001132B2">
        <w:rPr>
          <w:rFonts w:ascii="Arial" w:hAnsi="Arial" w:cs="Arial"/>
          <w:sz w:val="24"/>
          <w:szCs w:val="24"/>
        </w:rPr>
        <w:t xml:space="preserve"> Stein, N.</w:t>
      </w:r>
      <w:r w:rsidRPr="001132B2">
        <w:rPr>
          <w:rFonts w:ascii="Arial" w:hAnsi="Arial" w:cs="Arial"/>
          <w:sz w:val="24"/>
          <w:szCs w:val="24"/>
        </w:rPr>
        <w:t xml:space="preserve">, </w:t>
      </w:r>
      <w:r w:rsidRPr="001132B2">
        <w:rPr>
          <w:rFonts w:ascii="Arial" w:hAnsi="Arial" w:cs="Arial"/>
          <w:sz w:val="24"/>
          <w:szCs w:val="24"/>
        </w:rPr>
        <w:t xml:space="preserve">&amp; Ginsburg, J. (2020) </w:t>
      </w:r>
      <w:r w:rsidRPr="001132B2">
        <w:rPr>
          <w:rFonts w:ascii="Arial" w:hAnsi="Arial" w:cs="Arial"/>
          <w:sz w:val="24"/>
          <w:szCs w:val="24"/>
        </w:rPr>
        <w:t>‘</w:t>
      </w:r>
      <w:r w:rsidRPr="001132B2">
        <w:rPr>
          <w:rFonts w:ascii="Arial" w:hAnsi="Arial" w:cs="Arial"/>
          <w:sz w:val="24"/>
          <w:szCs w:val="24"/>
        </w:rPr>
        <w:t xml:space="preserve">Fostering children’s ecocultural identities within </w:t>
      </w:r>
      <w:proofErr w:type="spellStart"/>
      <w:r w:rsidRPr="001132B2">
        <w:rPr>
          <w:rFonts w:ascii="Arial" w:hAnsi="Arial" w:cs="Arial"/>
          <w:sz w:val="24"/>
          <w:szCs w:val="24"/>
        </w:rPr>
        <w:t>ecoresiliency</w:t>
      </w:r>
      <w:proofErr w:type="spellEnd"/>
      <w:r w:rsidRPr="001132B2">
        <w:rPr>
          <w:rFonts w:ascii="Arial" w:hAnsi="Arial" w:cs="Arial"/>
          <w:sz w:val="24"/>
          <w:szCs w:val="24"/>
        </w:rPr>
        <w:t>’,</w:t>
      </w:r>
      <w:r w:rsidRPr="001132B2">
        <w:rPr>
          <w:rFonts w:ascii="Arial" w:hAnsi="Arial" w:cs="Arial"/>
          <w:sz w:val="24"/>
          <w:szCs w:val="24"/>
        </w:rPr>
        <w:t xml:space="preserve"> </w:t>
      </w:r>
      <w:r w:rsidRPr="001132B2">
        <w:rPr>
          <w:rFonts w:ascii="Arial" w:hAnsi="Arial" w:cs="Arial"/>
          <w:sz w:val="24"/>
          <w:szCs w:val="24"/>
        </w:rPr>
        <w:t>i</w:t>
      </w:r>
      <w:r w:rsidRPr="001132B2">
        <w:rPr>
          <w:rFonts w:ascii="Arial" w:hAnsi="Arial" w:cs="Arial"/>
          <w:sz w:val="24"/>
          <w:szCs w:val="24"/>
        </w:rPr>
        <w:t>n Milstein</w:t>
      </w:r>
      <w:r w:rsidRPr="001132B2">
        <w:rPr>
          <w:rFonts w:ascii="Arial" w:hAnsi="Arial" w:cs="Arial"/>
          <w:sz w:val="24"/>
          <w:szCs w:val="24"/>
        </w:rPr>
        <w:t>, T.</w:t>
      </w:r>
      <w:r w:rsidRPr="001132B2">
        <w:rPr>
          <w:rFonts w:ascii="Arial" w:hAnsi="Arial" w:cs="Arial"/>
          <w:sz w:val="24"/>
          <w:szCs w:val="24"/>
        </w:rPr>
        <w:t xml:space="preserve"> &amp; Castro-Sotomayor</w:t>
      </w:r>
      <w:r w:rsidRPr="001132B2">
        <w:rPr>
          <w:rFonts w:ascii="Arial" w:hAnsi="Arial" w:cs="Arial"/>
          <w:sz w:val="24"/>
          <w:szCs w:val="24"/>
        </w:rPr>
        <w:t>, J.</w:t>
      </w:r>
      <w:r w:rsidRPr="001132B2">
        <w:rPr>
          <w:rFonts w:ascii="Arial" w:hAnsi="Arial" w:cs="Arial"/>
          <w:sz w:val="24"/>
          <w:szCs w:val="24"/>
        </w:rPr>
        <w:t xml:space="preserve"> (Eds.) </w:t>
      </w:r>
      <w:r w:rsidRPr="001132B2">
        <w:rPr>
          <w:rFonts w:ascii="Arial" w:hAnsi="Arial" w:cs="Arial"/>
          <w:i/>
          <w:iCs/>
          <w:sz w:val="24"/>
          <w:szCs w:val="24"/>
        </w:rPr>
        <w:t>Handbook of ecocultural identity</w:t>
      </w:r>
      <w:r w:rsidRPr="001132B2">
        <w:rPr>
          <w:rFonts w:ascii="Arial" w:hAnsi="Arial" w:cs="Arial"/>
          <w:sz w:val="24"/>
          <w:szCs w:val="24"/>
        </w:rPr>
        <w:t>. London, UK: Routledge.</w:t>
      </w:r>
    </w:p>
    <w:p w14:paraId="44635722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BBC Newsround (2020)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Climate anxiety: Survey for BBC Newsround shows children losing sleep over climate change and the environment. </w:t>
      </w:r>
      <w:r w:rsidRPr="001132B2">
        <w:rPr>
          <w:rFonts w:ascii="Arial" w:hAnsi="Arial" w:cs="Arial"/>
          <w:sz w:val="24"/>
          <w:szCs w:val="24"/>
        </w:rPr>
        <w:t xml:space="preserve">Available at: https://www.bbc.co.uk/newsround/51451737 (Accessed: 1 July 2021). </w:t>
      </w:r>
    </w:p>
    <w:p w14:paraId="321298B1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Burdette, H &amp; </w:t>
      </w:r>
      <w:proofErr w:type="spellStart"/>
      <w:r w:rsidRPr="001132B2">
        <w:rPr>
          <w:rFonts w:ascii="Arial" w:hAnsi="Arial" w:cs="Arial"/>
          <w:sz w:val="24"/>
          <w:szCs w:val="24"/>
        </w:rPr>
        <w:t>Whitekar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, R. (2005) ‘Resurrecting Free Play in Young </w:t>
      </w:r>
      <w:proofErr w:type="spellStart"/>
      <w:r w:rsidRPr="001132B2">
        <w:rPr>
          <w:rFonts w:ascii="Arial" w:hAnsi="Arial" w:cs="Arial"/>
          <w:sz w:val="24"/>
          <w:szCs w:val="24"/>
        </w:rPr>
        <w:t>ChildrenLooking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 Beyond Fitness and Fatness to Attention, Affiliation, and Affect’,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Arch </w:t>
      </w:r>
      <w:proofErr w:type="spellStart"/>
      <w:r w:rsidRPr="001132B2">
        <w:rPr>
          <w:rFonts w:ascii="Arial" w:hAnsi="Arial" w:cs="Arial"/>
          <w:i/>
          <w:iCs/>
          <w:sz w:val="24"/>
          <w:szCs w:val="24"/>
        </w:rPr>
        <w:t>Pediatr</w:t>
      </w:r>
      <w:proofErr w:type="spellEnd"/>
      <w:r w:rsidRPr="001132B2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132B2">
        <w:rPr>
          <w:rFonts w:ascii="Arial" w:hAnsi="Arial" w:cs="Arial"/>
          <w:i/>
          <w:iCs/>
          <w:sz w:val="24"/>
          <w:szCs w:val="24"/>
        </w:rPr>
        <w:t>Adolesc</w:t>
      </w:r>
      <w:proofErr w:type="spellEnd"/>
      <w:r w:rsidRPr="001132B2">
        <w:rPr>
          <w:rFonts w:ascii="Arial" w:hAnsi="Arial" w:cs="Arial"/>
          <w:i/>
          <w:iCs/>
          <w:sz w:val="24"/>
          <w:szCs w:val="24"/>
        </w:rPr>
        <w:t xml:space="preserve"> Med. </w:t>
      </w:r>
      <w:r w:rsidRPr="001132B2">
        <w:rPr>
          <w:rFonts w:ascii="Arial" w:hAnsi="Arial" w:cs="Arial"/>
          <w:sz w:val="24"/>
          <w:szCs w:val="24"/>
        </w:rPr>
        <w:t xml:space="preserve">159(1), pp. 46-50. Available at: </w:t>
      </w:r>
      <w:r w:rsidRPr="001132B2">
        <w:rPr>
          <w:rFonts w:ascii="Arial" w:hAnsi="Arial" w:cs="Arial"/>
          <w:sz w:val="24"/>
          <w:szCs w:val="24"/>
        </w:rPr>
        <w:t>https://jamanetwork.com/journals/jamapediatrics/fullarticle/485902</w:t>
      </w:r>
      <w:r w:rsidRPr="001132B2">
        <w:rPr>
          <w:rFonts w:ascii="Arial" w:hAnsi="Arial" w:cs="Arial"/>
          <w:sz w:val="24"/>
          <w:szCs w:val="24"/>
        </w:rPr>
        <w:t xml:space="preserve"> (Accessed: 1 July 2021). </w:t>
      </w:r>
    </w:p>
    <w:p w14:paraId="0E789EA9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132B2">
        <w:rPr>
          <w:rFonts w:ascii="Arial" w:hAnsi="Arial" w:cs="Arial"/>
          <w:sz w:val="24"/>
          <w:szCs w:val="24"/>
        </w:rPr>
        <w:t>Calaghan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, K. (2013)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The environment is a teacher. </w:t>
      </w:r>
      <w:r w:rsidRPr="001132B2">
        <w:rPr>
          <w:rFonts w:ascii="Arial" w:hAnsi="Arial" w:cs="Arial"/>
          <w:sz w:val="24"/>
          <w:szCs w:val="24"/>
        </w:rPr>
        <w:t xml:space="preserve">Available at: </w:t>
      </w:r>
      <w:r w:rsidRPr="001132B2">
        <w:rPr>
          <w:rFonts w:ascii="Arial" w:hAnsi="Arial" w:cs="Arial"/>
          <w:sz w:val="24"/>
          <w:szCs w:val="24"/>
        </w:rPr>
        <w:t>https://dufferincounty.ca/sites/default/files/rtb/theEnvironmentTeacher.pdf</w:t>
      </w:r>
      <w:r w:rsidRPr="001132B2">
        <w:rPr>
          <w:rFonts w:ascii="Arial" w:hAnsi="Arial" w:cs="Arial"/>
          <w:sz w:val="24"/>
          <w:szCs w:val="24"/>
        </w:rPr>
        <w:t xml:space="preserve"> (Accessed: 30 June 2021). </w:t>
      </w:r>
    </w:p>
    <w:p w14:paraId="446B8380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>Eco-schools (</w:t>
      </w:r>
      <w:proofErr w:type="spellStart"/>
      <w:r w:rsidRPr="001132B2">
        <w:rPr>
          <w:rFonts w:ascii="Arial" w:hAnsi="Arial" w:cs="Arial"/>
          <w:sz w:val="24"/>
          <w:szCs w:val="24"/>
        </w:rPr>
        <w:t>n.d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How it Works. </w:t>
      </w:r>
      <w:r w:rsidRPr="001132B2">
        <w:rPr>
          <w:rFonts w:ascii="Arial" w:hAnsi="Arial" w:cs="Arial"/>
          <w:sz w:val="24"/>
          <w:szCs w:val="24"/>
        </w:rPr>
        <w:t>Available at: https://www.eco-schools.org.uk/about/how-it-works/</w:t>
      </w:r>
      <w:r w:rsidRPr="001132B2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1132B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2 July 2021).</w:t>
      </w:r>
      <w:r w:rsidRPr="001132B2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</w:p>
    <w:p w14:paraId="6BA091A0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Education Scotland (2019)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John Muir Award. </w:t>
      </w:r>
      <w:r w:rsidRPr="001132B2">
        <w:rPr>
          <w:rFonts w:ascii="Arial" w:hAnsi="Arial" w:cs="Arial"/>
          <w:sz w:val="24"/>
          <w:szCs w:val="24"/>
        </w:rPr>
        <w:t>Available at: https://education.gov.scot/improvement/learning-resources/</w:t>
      </w:r>
      <w:r w:rsidRPr="001132B2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1132B2">
        <w:rPr>
          <w:rFonts w:ascii="Arial" w:hAnsi="Arial" w:cs="Arial"/>
          <w:sz w:val="24"/>
          <w:szCs w:val="24"/>
        </w:rPr>
        <w:t xml:space="preserve">john-muir-award/# (Accessed@ 1 July 2021). </w:t>
      </w:r>
    </w:p>
    <w:p w14:paraId="09FF95F3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132B2">
        <w:rPr>
          <w:rFonts w:ascii="Arial" w:hAnsi="Arial" w:cs="Arial"/>
          <w:sz w:val="24"/>
          <w:szCs w:val="24"/>
        </w:rPr>
        <w:t>Fabri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, M. &amp; Fortuna, S. (2020) ‘Maria Montessori and Neuroscience: The Trailblazing Insights of an Exceptional Mind’,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The Neuroscientist. </w:t>
      </w:r>
      <w:r w:rsidRPr="001132B2">
        <w:rPr>
          <w:rFonts w:ascii="Arial" w:hAnsi="Arial" w:cs="Arial"/>
          <w:sz w:val="24"/>
          <w:szCs w:val="24"/>
        </w:rPr>
        <w:t xml:space="preserve">26(5-6), pp. 394-401. Available at: https://journals.sagepub.com/doi/abs/10.1177/1073858420902677 (Accessed: 6 July 2021). </w:t>
      </w:r>
    </w:p>
    <w:p w14:paraId="2D283144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lastRenderedPageBreak/>
        <w:t xml:space="preserve">Fraser, S. (2012) </w:t>
      </w:r>
      <w:r w:rsidRPr="001132B2">
        <w:rPr>
          <w:rFonts w:ascii="Arial" w:hAnsi="Arial" w:cs="Arial"/>
          <w:i/>
          <w:iCs/>
          <w:sz w:val="24"/>
          <w:szCs w:val="24"/>
        </w:rPr>
        <w:t>Authentic childhood: Exploring Reggio Emilia in the classroom</w:t>
      </w:r>
      <w:r w:rsidRPr="001132B2">
        <w:rPr>
          <w:rFonts w:ascii="Arial" w:hAnsi="Arial" w:cs="Arial"/>
          <w:sz w:val="24"/>
          <w:szCs w:val="24"/>
        </w:rPr>
        <w:t>. Toronto, ON: Nelson Education.</w:t>
      </w:r>
    </w:p>
    <w:p w14:paraId="79F6DB10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>Froebel Trust (</w:t>
      </w:r>
      <w:proofErr w:type="spellStart"/>
      <w:r w:rsidRPr="001132B2">
        <w:rPr>
          <w:rFonts w:ascii="Arial" w:hAnsi="Arial" w:cs="Arial"/>
          <w:sz w:val="24"/>
          <w:szCs w:val="24"/>
        </w:rPr>
        <w:t>n.d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Outdoor play and exploration. </w:t>
      </w:r>
      <w:r w:rsidRPr="001132B2">
        <w:rPr>
          <w:rFonts w:ascii="Arial" w:hAnsi="Arial" w:cs="Arial"/>
          <w:sz w:val="24"/>
          <w:szCs w:val="24"/>
        </w:rPr>
        <w:t xml:space="preserve">Available at: https://www.froebel.org.uk/uploads/documents/FT-Outdoor-Play-Pamphlet.pdf (Accessed: 1 July 2021). </w:t>
      </w:r>
    </w:p>
    <w:p w14:paraId="0E3EDB18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Hoskins, K. &amp; Smedley, S. (2018) ‘Protecting and extending Froebelian principles in practice: Exploring the importance of learning through play’,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Journal of Early Childhood Research. </w:t>
      </w:r>
      <w:r w:rsidRPr="001132B2">
        <w:rPr>
          <w:rFonts w:ascii="Arial" w:hAnsi="Arial" w:cs="Arial"/>
          <w:sz w:val="24"/>
          <w:szCs w:val="24"/>
        </w:rPr>
        <w:t xml:space="preserve">17(2), pp. 73-87. Available at: https://journals-sagepub-com.ezproxy.uwtsd.ac.uk/doi/full/10.1177/1476718X18809114 (Accessed: 6 July 2021). </w:t>
      </w:r>
    </w:p>
    <w:p w14:paraId="1C67D8F3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Jackson, L. (2007) </w:t>
      </w:r>
      <w:r w:rsidRPr="001132B2">
        <w:rPr>
          <w:rFonts w:ascii="Arial" w:hAnsi="Arial" w:cs="Arial"/>
          <w:i/>
          <w:iCs/>
          <w:sz w:val="24"/>
          <w:szCs w:val="24"/>
        </w:rPr>
        <w:t>Leading Sustainable Schools: what the research tells us</w:t>
      </w:r>
      <w:r w:rsidRPr="001132B2">
        <w:rPr>
          <w:rFonts w:ascii="Arial" w:hAnsi="Arial" w:cs="Arial"/>
          <w:sz w:val="24"/>
          <w:szCs w:val="24"/>
        </w:rPr>
        <w:t xml:space="preserve">. Available at: </w:t>
      </w:r>
      <w:r w:rsidRPr="001132B2">
        <w:rPr>
          <w:rFonts w:ascii="Arial" w:hAnsi="Arial" w:cs="Arial"/>
          <w:sz w:val="24"/>
          <w:szCs w:val="24"/>
        </w:rPr>
        <w:t>http://www.aeiforosxoleio.gr/content/sources/leading-sustainable-schools.pdf</w:t>
      </w:r>
      <w:r w:rsidRPr="001132B2">
        <w:rPr>
          <w:rFonts w:ascii="Arial" w:hAnsi="Arial" w:cs="Arial"/>
          <w:sz w:val="24"/>
          <w:szCs w:val="24"/>
        </w:rPr>
        <w:t xml:space="preserve"> (Accessed: 1 July 2021). </w:t>
      </w:r>
    </w:p>
    <w:p w14:paraId="56FAA2B7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>John Muir Trust (</w:t>
      </w:r>
      <w:proofErr w:type="spellStart"/>
      <w:r w:rsidRPr="001132B2">
        <w:rPr>
          <w:rFonts w:ascii="Arial" w:hAnsi="Arial" w:cs="Arial"/>
          <w:sz w:val="24"/>
          <w:szCs w:val="24"/>
        </w:rPr>
        <w:t>n.d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John Muir Award. </w:t>
      </w:r>
      <w:r w:rsidRPr="001132B2">
        <w:rPr>
          <w:rFonts w:ascii="Arial" w:hAnsi="Arial" w:cs="Arial"/>
          <w:sz w:val="24"/>
          <w:szCs w:val="24"/>
        </w:rPr>
        <w:t xml:space="preserve">Available at: </w:t>
      </w:r>
      <w:r w:rsidRPr="001132B2">
        <w:rPr>
          <w:rFonts w:ascii="Arial" w:hAnsi="Arial" w:cs="Arial"/>
          <w:sz w:val="24"/>
          <w:szCs w:val="24"/>
        </w:rPr>
        <w:t>https://www.johnmuirtrust.org/john-muir-award</w:t>
      </w:r>
      <w:r w:rsidRPr="001132B2">
        <w:rPr>
          <w:rFonts w:ascii="Arial" w:hAnsi="Arial" w:cs="Arial"/>
          <w:sz w:val="24"/>
          <w:szCs w:val="24"/>
        </w:rPr>
        <w:t xml:space="preserve"> (Accessed: 2 July 2021).</w:t>
      </w:r>
    </w:p>
    <w:p w14:paraId="68412869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Kolb, D. (1984) </w:t>
      </w:r>
      <w:r w:rsidRPr="001132B2">
        <w:rPr>
          <w:rFonts w:ascii="Arial" w:hAnsi="Arial" w:cs="Arial"/>
          <w:i/>
          <w:iCs/>
          <w:sz w:val="24"/>
          <w:szCs w:val="24"/>
        </w:rPr>
        <w:t>Experiential learning: Experience as the source of learning and development</w:t>
      </w:r>
      <w:r w:rsidRPr="001132B2">
        <w:rPr>
          <w:rFonts w:ascii="Arial" w:hAnsi="Arial" w:cs="Arial"/>
          <w:sz w:val="24"/>
          <w:szCs w:val="24"/>
        </w:rPr>
        <w:t>. Englewood Cliffs, NJ: Prentice-Hall.</w:t>
      </w:r>
    </w:p>
    <w:p w14:paraId="26B82D7F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132B2">
        <w:rPr>
          <w:rFonts w:ascii="Arial" w:hAnsi="Arial" w:cs="Arial"/>
          <w:sz w:val="24"/>
          <w:szCs w:val="24"/>
        </w:rPr>
        <w:t>Loynes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, C. (2018) ‘Leave more trace’,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Journal of Outdoor Recreation, Education, and Leadership. </w:t>
      </w:r>
      <w:r w:rsidRPr="001132B2">
        <w:rPr>
          <w:rFonts w:ascii="Arial" w:hAnsi="Arial" w:cs="Arial"/>
          <w:sz w:val="24"/>
          <w:szCs w:val="24"/>
        </w:rPr>
        <w:t xml:space="preserve">10(3), pp. 179-186. Available at: https://insight.cumbria.ac.uk/id/eprint/3970/1/Loynes%2C%20C.%20%282018%29%20Leave%20More%20Trace%20JOREL%2010%283%29.pdf (Accessed: 5 July 2021). </w:t>
      </w:r>
    </w:p>
    <w:p w14:paraId="02B62374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Merchant, E. et al. (2019) ‘Curriculum-based outdoor learning for children aged 9-11: A qualitative analysis of pupils’ and teachers’ views’, </w:t>
      </w:r>
      <w:proofErr w:type="spellStart"/>
      <w:r w:rsidRPr="001132B2"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 w:rsidRPr="001132B2">
        <w:rPr>
          <w:rFonts w:ascii="Arial" w:hAnsi="Arial" w:cs="Arial"/>
          <w:i/>
          <w:iCs/>
          <w:sz w:val="24"/>
          <w:szCs w:val="24"/>
        </w:rPr>
        <w:t xml:space="preserve"> One. </w:t>
      </w:r>
      <w:r w:rsidRPr="001132B2">
        <w:rPr>
          <w:rFonts w:ascii="Arial" w:hAnsi="Arial" w:cs="Arial"/>
          <w:sz w:val="24"/>
          <w:szCs w:val="24"/>
        </w:rPr>
        <w:t xml:space="preserve">14(5), pp. e0212242-e0212242. Available at: https://journals.plos.org/plosone/article?id=10.1371/journal.pone.0212242#sec001 (Accessed: 30 June 2021). </w:t>
      </w:r>
    </w:p>
    <w:p w14:paraId="207AC31A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Natural Resources Wales (2015)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Early Years Outcomes Framework. </w:t>
      </w:r>
      <w:r w:rsidRPr="001132B2">
        <w:rPr>
          <w:rFonts w:ascii="Arial" w:hAnsi="Arial" w:cs="Arial"/>
          <w:sz w:val="24"/>
          <w:szCs w:val="24"/>
        </w:rPr>
        <w:t>Available at: https://cdn.cyfoethnaturiol.cymru/media/1866/early-years-outcomes-framework.pdf?mode=pad&amp;rnd=131625760670000000 (Accessed: 1 July 2021).</w:t>
      </w:r>
    </w:p>
    <w:p w14:paraId="209B8B80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lastRenderedPageBreak/>
        <w:t xml:space="preserve">Ofsted (2015)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Teaching and play in the early years- a balancing act? </w:t>
      </w:r>
      <w:r w:rsidRPr="001132B2">
        <w:rPr>
          <w:rFonts w:ascii="Arial" w:hAnsi="Arial" w:cs="Arial"/>
          <w:sz w:val="24"/>
          <w:szCs w:val="24"/>
        </w:rPr>
        <w:t xml:space="preserve">Available at: </w:t>
      </w:r>
      <w:r w:rsidRPr="001132B2">
        <w:rPr>
          <w:rFonts w:ascii="Arial" w:hAnsi="Arial" w:cs="Arial"/>
          <w:sz w:val="24"/>
          <w:szCs w:val="24"/>
        </w:rPr>
        <w:t>https://www.gov.uk/government/publications/teaching-and-play-in-the-early-years-a-balancing-act</w:t>
      </w:r>
      <w:r w:rsidRPr="001132B2">
        <w:rPr>
          <w:rFonts w:ascii="Arial" w:hAnsi="Arial" w:cs="Arial"/>
          <w:sz w:val="24"/>
          <w:szCs w:val="24"/>
        </w:rPr>
        <w:t xml:space="preserve"> (Accessed: 1 July 2021). </w:t>
      </w:r>
    </w:p>
    <w:p w14:paraId="0A4369D2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Piaget, J. (1995) </w:t>
      </w:r>
      <w:r w:rsidRPr="001132B2">
        <w:rPr>
          <w:rFonts w:ascii="Arial" w:hAnsi="Arial" w:cs="Arial"/>
          <w:i/>
          <w:iCs/>
          <w:sz w:val="24"/>
          <w:szCs w:val="24"/>
        </w:rPr>
        <w:t>Sociological Studies</w:t>
      </w:r>
      <w:r w:rsidRPr="001132B2">
        <w:rPr>
          <w:rFonts w:ascii="Arial" w:hAnsi="Arial" w:cs="Arial"/>
          <w:sz w:val="24"/>
          <w:szCs w:val="24"/>
        </w:rPr>
        <w:t xml:space="preserve">. London: </w:t>
      </w:r>
      <w:r w:rsidRPr="001132B2">
        <w:rPr>
          <w:rFonts w:ascii="Arial" w:hAnsi="Arial" w:cs="Arial"/>
          <w:sz w:val="24"/>
          <w:szCs w:val="24"/>
        </w:rPr>
        <w:t>Routledge</w:t>
      </w:r>
      <w:r w:rsidRPr="001132B2">
        <w:rPr>
          <w:rFonts w:ascii="Arial" w:hAnsi="Arial" w:cs="Arial"/>
          <w:sz w:val="24"/>
          <w:szCs w:val="24"/>
        </w:rPr>
        <w:t>.</w:t>
      </w:r>
    </w:p>
    <w:p w14:paraId="573F593B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Pickard, H. Et al. (2020) ‘Exploring the cognitive, emotional and sensory correlates of social anxiety in autistic and neurotypical adolescents’,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The Journal of Child Psychology and Psychiatry. </w:t>
      </w:r>
      <w:r w:rsidRPr="001132B2">
        <w:rPr>
          <w:rFonts w:ascii="Arial" w:hAnsi="Arial" w:cs="Arial"/>
          <w:sz w:val="24"/>
          <w:szCs w:val="24"/>
        </w:rPr>
        <w:t xml:space="preserve">61(12), pp. 1317-1327. Available at: </w:t>
      </w:r>
      <w:r w:rsidRPr="001132B2">
        <w:rPr>
          <w:rFonts w:ascii="Arial" w:hAnsi="Arial" w:cs="Arial"/>
          <w:sz w:val="24"/>
          <w:szCs w:val="24"/>
        </w:rPr>
        <w:t>https://acamh.onlinelibrary.wiley.com/doi/abs/10.1111/jcpp.13214</w:t>
      </w:r>
      <w:r w:rsidRPr="001132B2">
        <w:rPr>
          <w:rFonts w:ascii="Arial" w:hAnsi="Arial" w:cs="Arial"/>
          <w:sz w:val="24"/>
          <w:szCs w:val="24"/>
        </w:rPr>
        <w:t xml:space="preserve"> (Accessed: 1 July 2021). </w:t>
      </w:r>
    </w:p>
    <w:p w14:paraId="344F1243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132B2">
        <w:rPr>
          <w:rFonts w:ascii="Arial" w:hAnsi="Arial" w:cs="Arial"/>
          <w:sz w:val="24"/>
          <w:szCs w:val="24"/>
        </w:rPr>
        <w:t>Purivs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, B., Mao, Y., &amp; Robinson, D. (2019) ‘Three pillars of sustainability: in search of conceptual origins’,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Sustainability Science. </w:t>
      </w:r>
      <w:r w:rsidRPr="001132B2">
        <w:rPr>
          <w:rFonts w:ascii="Arial" w:hAnsi="Arial" w:cs="Arial"/>
          <w:sz w:val="24"/>
          <w:szCs w:val="24"/>
        </w:rPr>
        <w:t xml:space="preserve">14(1), pp. 681-695. Available at: https://link.springer.com/article/10.1007/s11625-018-0627-5 (Accessed: 30 June 2021). </w:t>
      </w:r>
    </w:p>
    <w:p w14:paraId="587C6869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color w:val="222222"/>
          <w:sz w:val="24"/>
          <w:szCs w:val="24"/>
        </w:rPr>
        <w:t xml:space="preserve">Schultz, P. (2011) ‘Conservation means </w:t>
      </w:r>
      <w:proofErr w:type="spellStart"/>
      <w:r w:rsidRPr="001132B2">
        <w:rPr>
          <w:rFonts w:ascii="Arial" w:hAnsi="Arial" w:cs="Arial"/>
          <w:color w:val="222222"/>
          <w:sz w:val="24"/>
          <w:szCs w:val="24"/>
        </w:rPr>
        <w:t>behavior</w:t>
      </w:r>
      <w:proofErr w:type="spellEnd"/>
      <w:r w:rsidRPr="001132B2">
        <w:rPr>
          <w:rFonts w:ascii="Arial" w:hAnsi="Arial" w:cs="Arial"/>
          <w:color w:val="222222"/>
          <w:sz w:val="24"/>
          <w:szCs w:val="24"/>
        </w:rPr>
        <w:t>’, </w:t>
      </w:r>
      <w:proofErr w:type="spellStart"/>
      <w:r w:rsidRPr="001132B2">
        <w:rPr>
          <w:rStyle w:val="html-italic"/>
          <w:rFonts w:ascii="Arial" w:hAnsi="Arial" w:cs="Arial"/>
          <w:i/>
          <w:iCs/>
          <w:color w:val="222222"/>
          <w:sz w:val="24"/>
          <w:szCs w:val="24"/>
        </w:rPr>
        <w:t>Conserv</w:t>
      </w:r>
      <w:proofErr w:type="spellEnd"/>
      <w:r w:rsidRPr="001132B2">
        <w:rPr>
          <w:rStyle w:val="html-italic"/>
          <w:rFonts w:ascii="Arial" w:hAnsi="Arial" w:cs="Arial"/>
          <w:i/>
          <w:iCs/>
          <w:color w:val="222222"/>
          <w:sz w:val="24"/>
          <w:szCs w:val="24"/>
        </w:rPr>
        <w:t xml:space="preserve"> Biol. </w:t>
      </w:r>
      <w:r w:rsidRPr="001132B2">
        <w:rPr>
          <w:rStyle w:val="html-italic"/>
          <w:rFonts w:ascii="Arial" w:hAnsi="Arial" w:cs="Arial"/>
          <w:color w:val="222222"/>
          <w:sz w:val="24"/>
          <w:szCs w:val="24"/>
        </w:rPr>
        <w:t>25(6</w:t>
      </w:r>
      <w:r w:rsidRPr="001132B2">
        <w:rPr>
          <w:rStyle w:val="html-italic"/>
          <w:rFonts w:ascii="Arial" w:hAnsi="Arial" w:cs="Arial"/>
          <w:i/>
          <w:iCs/>
          <w:color w:val="222222"/>
          <w:sz w:val="24"/>
          <w:szCs w:val="24"/>
        </w:rPr>
        <w:t>)</w:t>
      </w:r>
      <w:r w:rsidRPr="001132B2">
        <w:rPr>
          <w:rFonts w:ascii="Arial" w:hAnsi="Arial" w:cs="Arial"/>
          <w:color w:val="222222"/>
          <w:sz w:val="24"/>
          <w:szCs w:val="24"/>
        </w:rPr>
        <w:t xml:space="preserve">, pp. 1080–1083. Available at: </w:t>
      </w:r>
      <w:r w:rsidRPr="001132B2">
        <w:rPr>
          <w:rFonts w:ascii="Arial" w:hAnsi="Arial" w:cs="Arial"/>
          <w:color w:val="222222"/>
          <w:sz w:val="24"/>
          <w:szCs w:val="24"/>
        </w:rPr>
        <w:t>https://pubmed.ncbi.nlm.nih.gov/22070255/</w:t>
      </w:r>
      <w:r w:rsidRPr="001132B2">
        <w:rPr>
          <w:rFonts w:ascii="Arial" w:hAnsi="Arial" w:cs="Arial"/>
          <w:color w:val="222222"/>
          <w:sz w:val="24"/>
          <w:szCs w:val="24"/>
        </w:rPr>
        <w:t xml:space="preserve"> (Accessed: 1 July 2021). </w:t>
      </w:r>
    </w:p>
    <w:p w14:paraId="37BE5657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Scott, W. (2013) ‘Developing the Sustainable School: thinking the issues through’,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The Curriculum Journal. </w:t>
      </w:r>
      <w:r w:rsidRPr="001132B2">
        <w:rPr>
          <w:rFonts w:ascii="Arial" w:hAnsi="Arial" w:cs="Arial"/>
          <w:sz w:val="24"/>
          <w:szCs w:val="24"/>
        </w:rPr>
        <w:t xml:space="preserve">24(2), pp. 181-205. Available at: </w:t>
      </w:r>
      <w:r w:rsidRPr="001132B2">
        <w:rPr>
          <w:rFonts w:ascii="Arial" w:hAnsi="Arial" w:cs="Arial"/>
          <w:sz w:val="24"/>
          <w:szCs w:val="24"/>
        </w:rPr>
        <w:t>https://www.tandfonline.com/doi/abs/10.1080/09585176.2013.781375?journalCode=rcjo20</w:t>
      </w:r>
      <w:r w:rsidRPr="001132B2">
        <w:rPr>
          <w:rFonts w:ascii="Arial" w:hAnsi="Arial" w:cs="Arial"/>
          <w:sz w:val="24"/>
          <w:szCs w:val="24"/>
        </w:rPr>
        <w:t xml:space="preserve"> (Accessed: 2 July 2021). </w:t>
      </w:r>
    </w:p>
    <w:p w14:paraId="1C032B6A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Strong-Wilson, T. &amp; Ellis, J. (2007) ‘Children and Place: Reggio Emilia’s Environment as Third Teacher’,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Theory into Practice. </w:t>
      </w:r>
      <w:r w:rsidRPr="001132B2">
        <w:rPr>
          <w:rFonts w:ascii="Arial" w:hAnsi="Arial" w:cs="Arial"/>
          <w:sz w:val="24"/>
          <w:szCs w:val="24"/>
        </w:rPr>
        <w:t xml:space="preserve">46(1), pp. 40-47. Available at: </w:t>
      </w:r>
      <w:r w:rsidRPr="001132B2">
        <w:rPr>
          <w:rFonts w:ascii="Arial" w:hAnsi="Arial" w:cs="Arial"/>
          <w:sz w:val="24"/>
          <w:szCs w:val="24"/>
        </w:rPr>
        <w:t>https://www.researchgate.net/publication/233000609_Children_and_Place_Reggio_Emilia's_Environment_As_Third_Teacher</w:t>
      </w:r>
      <w:r w:rsidRPr="001132B2">
        <w:rPr>
          <w:rFonts w:ascii="Arial" w:hAnsi="Arial" w:cs="Arial"/>
          <w:sz w:val="24"/>
          <w:szCs w:val="24"/>
        </w:rPr>
        <w:t xml:space="preserve"> (Accessed: 1 July 2021). </w:t>
      </w:r>
    </w:p>
    <w:p w14:paraId="40A532E3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>Taylo</w:t>
      </w:r>
      <w:r w:rsidRPr="001132B2">
        <w:rPr>
          <w:rFonts w:ascii="Arial" w:hAnsi="Arial" w:cs="Arial"/>
          <w:sz w:val="24"/>
          <w:szCs w:val="24"/>
        </w:rPr>
        <w:t xml:space="preserve">r, A., Frances, E., &amp; Sullivan, W. </w:t>
      </w:r>
      <w:r w:rsidRPr="001132B2">
        <w:rPr>
          <w:rFonts w:ascii="Arial" w:hAnsi="Arial" w:cs="Arial"/>
          <w:sz w:val="24"/>
          <w:szCs w:val="24"/>
        </w:rPr>
        <w:t>(2001)</w:t>
      </w:r>
      <w:r w:rsidRPr="001132B2">
        <w:rPr>
          <w:rFonts w:ascii="Arial" w:hAnsi="Arial" w:cs="Arial"/>
          <w:sz w:val="24"/>
          <w:szCs w:val="24"/>
        </w:rPr>
        <w:t xml:space="preserve"> ‘</w:t>
      </w:r>
      <w:r w:rsidRPr="001132B2">
        <w:rPr>
          <w:rFonts w:ascii="Arial" w:hAnsi="Arial" w:cs="Arial"/>
          <w:sz w:val="24"/>
          <w:szCs w:val="24"/>
        </w:rPr>
        <w:t>Coping with ADD: The Surprising Connection to Green Play Settings</w:t>
      </w:r>
      <w:r w:rsidRPr="001132B2">
        <w:rPr>
          <w:rFonts w:ascii="Arial" w:hAnsi="Arial" w:cs="Arial"/>
          <w:sz w:val="24"/>
          <w:szCs w:val="24"/>
        </w:rPr>
        <w:t>’,</w:t>
      </w:r>
      <w:r w:rsidRPr="001132B2">
        <w:rPr>
          <w:rFonts w:ascii="Arial" w:hAnsi="Arial" w:cs="Arial"/>
          <w:sz w:val="24"/>
          <w:szCs w:val="24"/>
        </w:rPr>
        <w:t xml:space="preserve">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Environment and </w:t>
      </w:r>
      <w:proofErr w:type="spellStart"/>
      <w:r w:rsidRPr="001132B2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1132B2">
        <w:rPr>
          <w:rFonts w:ascii="Arial" w:hAnsi="Arial" w:cs="Arial"/>
          <w:sz w:val="24"/>
          <w:szCs w:val="24"/>
        </w:rPr>
        <w:t>.</w:t>
      </w:r>
      <w:r w:rsidRPr="001132B2">
        <w:rPr>
          <w:rFonts w:ascii="Arial" w:hAnsi="Arial" w:cs="Arial"/>
          <w:sz w:val="24"/>
          <w:szCs w:val="24"/>
        </w:rPr>
        <w:t xml:space="preserve"> 33</w:t>
      </w:r>
      <w:r w:rsidRPr="001132B2">
        <w:rPr>
          <w:rFonts w:ascii="Arial" w:hAnsi="Arial" w:cs="Arial"/>
          <w:sz w:val="24"/>
          <w:szCs w:val="24"/>
        </w:rPr>
        <w:t>(1), pp.</w:t>
      </w:r>
      <w:r w:rsidRPr="001132B2">
        <w:rPr>
          <w:rFonts w:ascii="Arial" w:hAnsi="Arial" w:cs="Arial"/>
          <w:sz w:val="24"/>
          <w:szCs w:val="24"/>
        </w:rPr>
        <w:t xml:space="preserve"> 54-77.</w:t>
      </w:r>
      <w:r w:rsidRPr="001132B2">
        <w:rPr>
          <w:rFonts w:ascii="Arial" w:hAnsi="Arial" w:cs="Arial"/>
          <w:sz w:val="24"/>
          <w:szCs w:val="24"/>
        </w:rPr>
        <w:t xml:space="preserve"> Available at: </w:t>
      </w:r>
      <w:r w:rsidRPr="001132B2">
        <w:rPr>
          <w:rFonts w:ascii="Arial" w:hAnsi="Arial" w:cs="Arial"/>
          <w:sz w:val="24"/>
          <w:szCs w:val="24"/>
        </w:rPr>
        <w:t>https://journals.sagepub.com/doi/10.1177/00139160121972864</w:t>
      </w:r>
      <w:r w:rsidRPr="001132B2">
        <w:rPr>
          <w:rFonts w:ascii="Arial" w:hAnsi="Arial" w:cs="Arial"/>
          <w:sz w:val="24"/>
          <w:szCs w:val="24"/>
        </w:rPr>
        <w:t xml:space="preserve"> (Accessed: 1 July 2021). </w:t>
      </w:r>
    </w:p>
    <w:p w14:paraId="1C9DFCD8" w14:textId="570FEA75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i/>
          <w:iCs/>
          <w:sz w:val="24"/>
          <w:szCs w:val="24"/>
        </w:rPr>
        <w:lastRenderedPageBreak/>
        <w:t>The Well-being of future generations (Wales) Act 2015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. </w:t>
      </w:r>
      <w:r w:rsidRPr="001132B2">
        <w:rPr>
          <w:rFonts w:ascii="Arial" w:hAnsi="Arial" w:cs="Arial"/>
          <w:sz w:val="24"/>
          <w:szCs w:val="24"/>
        </w:rPr>
        <w:t xml:space="preserve">Available at: </w:t>
      </w:r>
      <w:r w:rsidRPr="001132B2">
        <w:rPr>
          <w:rFonts w:ascii="Arial" w:hAnsi="Arial" w:cs="Arial"/>
          <w:sz w:val="24"/>
          <w:szCs w:val="24"/>
        </w:rPr>
        <w:t>https://www.futuregenerations.wales/about-us/future-generations-act/</w:t>
      </w:r>
      <w:r w:rsidRPr="001132B2">
        <w:rPr>
          <w:rFonts w:ascii="Arial" w:hAnsi="Arial" w:cs="Arial"/>
          <w:sz w:val="24"/>
          <w:szCs w:val="24"/>
        </w:rPr>
        <w:t xml:space="preserve"> (Accessed: 1 July 2021). </w:t>
      </w:r>
    </w:p>
    <w:p w14:paraId="73F99DCB" w14:textId="7777777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132B2">
        <w:rPr>
          <w:rFonts w:ascii="Arial" w:hAnsi="Arial" w:cs="Arial"/>
          <w:sz w:val="24"/>
          <w:szCs w:val="24"/>
        </w:rPr>
        <w:t>Tinney</w:t>
      </w:r>
      <w:proofErr w:type="spellEnd"/>
      <w:r w:rsidRPr="001132B2">
        <w:rPr>
          <w:rFonts w:ascii="Arial" w:hAnsi="Arial" w:cs="Arial"/>
          <w:sz w:val="24"/>
          <w:szCs w:val="24"/>
        </w:rPr>
        <w:t>, G. &amp; Merriman, E. (2018) ‘</w:t>
      </w:r>
      <w:r w:rsidRPr="001132B2">
        <w:rPr>
          <w:rFonts w:ascii="Arial" w:hAnsi="Arial" w:cs="Arial"/>
          <w:sz w:val="24"/>
          <w:szCs w:val="24"/>
        </w:rPr>
        <w:t>Early Years Education and Education for Sustainable Development and Global Citizenship (ESDGC) - Two Sides of the Same Coin?</w:t>
      </w:r>
      <w:r w:rsidRPr="001132B2">
        <w:rPr>
          <w:rFonts w:ascii="Arial" w:hAnsi="Arial" w:cs="Arial"/>
          <w:sz w:val="24"/>
          <w:szCs w:val="24"/>
        </w:rPr>
        <w:t xml:space="preserve">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Wales Journal of Learning and Teaching in Higher Education. </w:t>
      </w:r>
      <w:r w:rsidRPr="001132B2">
        <w:rPr>
          <w:rFonts w:ascii="Arial" w:hAnsi="Arial" w:cs="Arial"/>
          <w:sz w:val="24"/>
          <w:szCs w:val="24"/>
        </w:rPr>
        <w:t>1(1), pp. 71-76. Available at: https://www.uwtsd.ac.uk/media/uwtsd-website/content-assets/documents/enhancement-unit/wales-journal/71-76-Tinney-and-Merriman.pdf</w:t>
      </w:r>
      <w:r w:rsidRPr="001132B2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(Accessed: 1 July 2021).</w:t>
      </w:r>
    </w:p>
    <w:p w14:paraId="4A275ED8" w14:textId="2B841482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United Nations (2020) </w:t>
      </w:r>
      <w:r w:rsidRPr="001132B2">
        <w:rPr>
          <w:rFonts w:ascii="Arial" w:hAnsi="Arial" w:cs="Arial"/>
          <w:i/>
          <w:iCs/>
          <w:sz w:val="24"/>
          <w:szCs w:val="24"/>
        </w:rPr>
        <w:t>Sustainable Development Goals</w:t>
      </w:r>
      <w:r w:rsidRPr="001132B2">
        <w:rPr>
          <w:rFonts w:ascii="Arial" w:hAnsi="Arial" w:cs="Arial"/>
          <w:sz w:val="24"/>
          <w:szCs w:val="24"/>
        </w:rPr>
        <w:t xml:space="preserve">. Available at: https://www.un.org/sustainabledevelopment/sustainable-development-goals/ (Accessed: 30 June 2021). </w:t>
      </w:r>
    </w:p>
    <w:p w14:paraId="636E6619" w14:textId="52837D8F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Welsh Government (2007)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Education for Sustainable Development and Global Citizenship. </w:t>
      </w:r>
      <w:r w:rsidRPr="001132B2">
        <w:rPr>
          <w:rFonts w:ascii="Arial" w:hAnsi="Arial" w:cs="Arial"/>
          <w:sz w:val="24"/>
          <w:szCs w:val="24"/>
        </w:rPr>
        <w:t xml:space="preserve">Available at: </w:t>
      </w:r>
      <w:r w:rsidRPr="001132B2">
        <w:rPr>
          <w:rFonts w:ascii="Arial" w:hAnsi="Arial" w:cs="Arial"/>
          <w:sz w:val="24"/>
          <w:szCs w:val="24"/>
        </w:rPr>
        <w:t>https://hwb.gov.wales/api/storage/eaf467e6-30fe-45c9-93ef-cb30f31f1c90/common-understanding-for-school.pdf</w:t>
      </w:r>
      <w:r w:rsidRPr="001132B2">
        <w:rPr>
          <w:rFonts w:ascii="Arial" w:hAnsi="Arial" w:cs="Arial"/>
          <w:sz w:val="24"/>
          <w:szCs w:val="24"/>
        </w:rPr>
        <w:t xml:space="preserve"> (Accessed: 30 June 2021). </w:t>
      </w:r>
    </w:p>
    <w:p w14:paraId="1D4FC0EC" w14:textId="5A652A58" w:rsidR="001132B2" w:rsidRPr="001132B2" w:rsidRDefault="001132B2" w:rsidP="001132B2">
      <w:pPr>
        <w:spacing w:line="360" w:lineRule="auto"/>
        <w:jc w:val="both"/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1132B2">
        <w:rPr>
          <w:rFonts w:ascii="Arial" w:hAnsi="Arial" w:cs="Arial"/>
          <w:sz w:val="24"/>
          <w:szCs w:val="24"/>
        </w:rPr>
        <w:t xml:space="preserve">Welsh Government (2009)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Foundation Phase Outdoor Learning Handbook. </w:t>
      </w:r>
      <w:r w:rsidRPr="001132B2">
        <w:rPr>
          <w:rFonts w:ascii="Arial" w:hAnsi="Arial" w:cs="Arial"/>
          <w:sz w:val="24"/>
          <w:szCs w:val="24"/>
        </w:rPr>
        <w:t xml:space="preserve">Available at: https://hwb.gov.wales/storage/fcb8539c-9be7-4883-8542-35d7b54b56f2/foundation-phase-outdoor-learning-handbook.pdf (Accessed: 1 July 2021). </w:t>
      </w:r>
      <w:r w:rsidRPr="001132B2">
        <w:rPr>
          <w:rStyle w:val="Hyperlink"/>
          <w:rFonts w:ascii="Arial" w:hAnsi="Arial" w:cs="Arial"/>
          <w:sz w:val="24"/>
          <w:szCs w:val="24"/>
        </w:rPr>
        <w:t xml:space="preserve"> </w:t>
      </w:r>
    </w:p>
    <w:p w14:paraId="17A8F088" w14:textId="3C507C37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Welsh Government (2020)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Curriculum for Wales Guidance. </w:t>
      </w:r>
      <w:r w:rsidRPr="001132B2">
        <w:rPr>
          <w:rFonts w:ascii="Arial" w:hAnsi="Arial" w:cs="Arial"/>
          <w:sz w:val="24"/>
          <w:szCs w:val="24"/>
        </w:rPr>
        <w:t xml:space="preserve">Available at: https://hwb.gov.wales/api/storage/afca43eb-5c50-4846-9c2d-0d56fbffba09/curriculum-for-wales-guidance-120320.pdf (Accessed: 1 July 2021). </w:t>
      </w:r>
    </w:p>
    <w:p w14:paraId="4720603B" w14:textId="50809973" w:rsidR="001132B2" w:rsidRPr="001132B2" w:rsidRDefault="001132B2" w:rsidP="001132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132B2">
        <w:rPr>
          <w:rFonts w:ascii="Arial" w:hAnsi="Arial" w:cs="Arial"/>
          <w:sz w:val="24"/>
          <w:szCs w:val="24"/>
        </w:rPr>
        <w:t xml:space="preserve">Wu, J., Snell, G. &amp; </w:t>
      </w:r>
      <w:proofErr w:type="spellStart"/>
      <w:r w:rsidRPr="001132B2">
        <w:rPr>
          <w:rFonts w:ascii="Arial" w:hAnsi="Arial" w:cs="Arial"/>
          <w:sz w:val="24"/>
          <w:szCs w:val="24"/>
        </w:rPr>
        <w:t>Samji</w:t>
      </w:r>
      <w:proofErr w:type="spellEnd"/>
      <w:r w:rsidRPr="001132B2">
        <w:rPr>
          <w:rFonts w:ascii="Arial" w:hAnsi="Arial" w:cs="Arial"/>
          <w:sz w:val="24"/>
          <w:szCs w:val="24"/>
        </w:rPr>
        <w:t xml:space="preserve">, H. (2020) ’Climate anxiety in young people: a call to action’, </w:t>
      </w:r>
      <w:r w:rsidRPr="001132B2">
        <w:rPr>
          <w:rFonts w:ascii="Arial" w:hAnsi="Arial" w:cs="Arial"/>
          <w:i/>
          <w:iCs/>
          <w:sz w:val="24"/>
          <w:szCs w:val="24"/>
        </w:rPr>
        <w:t xml:space="preserve">The Lancet. </w:t>
      </w:r>
      <w:r w:rsidRPr="001132B2">
        <w:rPr>
          <w:rFonts w:ascii="Arial" w:hAnsi="Arial" w:cs="Arial"/>
          <w:sz w:val="24"/>
          <w:szCs w:val="24"/>
        </w:rPr>
        <w:t xml:space="preserve">4(10), pp. 435-436. Available at: https://www.thelancet.com/journals/lanplh/article/PIIS2542-5196(20)30223-0/fulltext (Accessed: 30 June 2021). </w:t>
      </w:r>
    </w:p>
    <w:sectPr w:rsidR="001132B2" w:rsidRPr="001132B2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30B45F" w14:textId="77777777" w:rsidR="001C07E8" w:rsidRDefault="001C07E8" w:rsidP="001132B2">
      <w:pPr>
        <w:spacing w:after="0" w:line="240" w:lineRule="auto"/>
      </w:pPr>
      <w:r>
        <w:separator/>
      </w:r>
    </w:p>
  </w:endnote>
  <w:endnote w:type="continuationSeparator" w:id="0">
    <w:p w14:paraId="647BD340" w14:textId="77777777" w:rsidR="001C07E8" w:rsidRDefault="001C07E8" w:rsidP="001132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788065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B0C02C8" w14:textId="3FE3B1E0" w:rsidR="001132B2" w:rsidRDefault="001132B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D2133A" w14:textId="77777777" w:rsidR="001132B2" w:rsidRDefault="001132B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0CB078" w14:textId="77777777" w:rsidR="001C07E8" w:rsidRDefault="001C07E8" w:rsidP="001132B2">
      <w:pPr>
        <w:spacing w:after="0" w:line="240" w:lineRule="auto"/>
      </w:pPr>
      <w:r>
        <w:separator/>
      </w:r>
    </w:p>
  </w:footnote>
  <w:footnote w:type="continuationSeparator" w:id="0">
    <w:p w14:paraId="44CEC2BA" w14:textId="77777777" w:rsidR="001C07E8" w:rsidRDefault="001C07E8" w:rsidP="001132B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F499661" w14:textId="054AE577" w:rsidR="001132B2" w:rsidRDefault="001132B2">
    <w:pPr>
      <w:pStyle w:val="Header"/>
    </w:pPr>
    <w:r>
      <w:t>1903033                                                                    EAEE6005/C</w:t>
    </w:r>
  </w:p>
  <w:p w14:paraId="2551AE8C" w14:textId="77777777" w:rsidR="001132B2" w:rsidRDefault="001132B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783B18"/>
    <w:multiLevelType w:val="multilevel"/>
    <w:tmpl w:val="8AEE2D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8A229F8"/>
    <w:multiLevelType w:val="hybridMultilevel"/>
    <w:tmpl w:val="90BE67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43FC"/>
    <w:rsid w:val="0003183D"/>
    <w:rsid w:val="00045546"/>
    <w:rsid w:val="00092AA4"/>
    <w:rsid w:val="000B009F"/>
    <w:rsid w:val="000B7429"/>
    <w:rsid w:val="000C7DBF"/>
    <w:rsid w:val="000D3BA0"/>
    <w:rsid w:val="00111B04"/>
    <w:rsid w:val="001132B2"/>
    <w:rsid w:val="00145F58"/>
    <w:rsid w:val="00152F5C"/>
    <w:rsid w:val="0019582D"/>
    <w:rsid w:val="001965EC"/>
    <w:rsid w:val="001C07E8"/>
    <w:rsid w:val="001D13CA"/>
    <w:rsid w:val="001E23CC"/>
    <w:rsid w:val="001E5EA9"/>
    <w:rsid w:val="001F09A6"/>
    <w:rsid w:val="00205B81"/>
    <w:rsid w:val="00222CCF"/>
    <w:rsid w:val="00231BFA"/>
    <w:rsid w:val="002355CC"/>
    <w:rsid w:val="002526FB"/>
    <w:rsid w:val="00261AB0"/>
    <w:rsid w:val="00263A44"/>
    <w:rsid w:val="0027790D"/>
    <w:rsid w:val="00280C75"/>
    <w:rsid w:val="00285DEA"/>
    <w:rsid w:val="002B5DBA"/>
    <w:rsid w:val="002C1BE7"/>
    <w:rsid w:val="002E0CC7"/>
    <w:rsid w:val="00300ABB"/>
    <w:rsid w:val="003558D6"/>
    <w:rsid w:val="00355E79"/>
    <w:rsid w:val="00385A30"/>
    <w:rsid w:val="00385F81"/>
    <w:rsid w:val="003A4BAE"/>
    <w:rsid w:val="00442DCD"/>
    <w:rsid w:val="00446894"/>
    <w:rsid w:val="00463FD3"/>
    <w:rsid w:val="004676AC"/>
    <w:rsid w:val="004B3543"/>
    <w:rsid w:val="004E626D"/>
    <w:rsid w:val="005002F9"/>
    <w:rsid w:val="00500983"/>
    <w:rsid w:val="00502536"/>
    <w:rsid w:val="00551592"/>
    <w:rsid w:val="0055641E"/>
    <w:rsid w:val="00556ADD"/>
    <w:rsid w:val="00565562"/>
    <w:rsid w:val="005834DB"/>
    <w:rsid w:val="00592DF8"/>
    <w:rsid w:val="005A2B5E"/>
    <w:rsid w:val="005C6F30"/>
    <w:rsid w:val="00601E2B"/>
    <w:rsid w:val="00645D0B"/>
    <w:rsid w:val="00681FF7"/>
    <w:rsid w:val="006901F4"/>
    <w:rsid w:val="006A3A44"/>
    <w:rsid w:val="006A4827"/>
    <w:rsid w:val="006A70AB"/>
    <w:rsid w:val="006B7AF8"/>
    <w:rsid w:val="006D5459"/>
    <w:rsid w:val="006F1696"/>
    <w:rsid w:val="007204B7"/>
    <w:rsid w:val="007364B0"/>
    <w:rsid w:val="007441EE"/>
    <w:rsid w:val="00765A39"/>
    <w:rsid w:val="007B7FB8"/>
    <w:rsid w:val="007C5A00"/>
    <w:rsid w:val="007F627C"/>
    <w:rsid w:val="007F7F45"/>
    <w:rsid w:val="008277C5"/>
    <w:rsid w:val="00830CA0"/>
    <w:rsid w:val="00834A47"/>
    <w:rsid w:val="008508E6"/>
    <w:rsid w:val="00876BE7"/>
    <w:rsid w:val="00884EBC"/>
    <w:rsid w:val="00893334"/>
    <w:rsid w:val="008C4690"/>
    <w:rsid w:val="008E3716"/>
    <w:rsid w:val="00924C8B"/>
    <w:rsid w:val="0093564F"/>
    <w:rsid w:val="00944B78"/>
    <w:rsid w:val="00952D72"/>
    <w:rsid w:val="00983CCA"/>
    <w:rsid w:val="00994834"/>
    <w:rsid w:val="009A0CC4"/>
    <w:rsid w:val="009D1FED"/>
    <w:rsid w:val="00A06ED7"/>
    <w:rsid w:val="00A103C7"/>
    <w:rsid w:val="00AB361E"/>
    <w:rsid w:val="00AC48EE"/>
    <w:rsid w:val="00AE2AF0"/>
    <w:rsid w:val="00B4616C"/>
    <w:rsid w:val="00B813D5"/>
    <w:rsid w:val="00B92EE3"/>
    <w:rsid w:val="00B960EA"/>
    <w:rsid w:val="00BD12C1"/>
    <w:rsid w:val="00BE193C"/>
    <w:rsid w:val="00C86AB8"/>
    <w:rsid w:val="00CA2C38"/>
    <w:rsid w:val="00CC68F9"/>
    <w:rsid w:val="00CE2B65"/>
    <w:rsid w:val="00CF43FC"/>
    <w:rsid w:val="00D20515"/>
    <w:rsid w:val="00D62629"/>
    <w:rsid w:val="00D65FEF"/>
    <w:rsid w:val="00D75C09"/>
    <w:rsid w:val="00DB2D29"/>
    <w:rsid w:val="00DC6293"/>
    <w:rsid w:val="00DE4F6F"/>
    <w:rsid w:val="00EA5E2F"/>
    <w:rsid w:val="00EC029E"/>
    <w:rsid w:val="00ED44F3"/>
    <w:rsid w:val="00F017C8"/>
    <w:rsid w:val="00F04CB9"/>
    <w:rsid w:val="00F357D8"/>
    <w:rsid w:val="00F65B4C"/>
    <w:rsid w:val="00FA1B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8D0F2A"/>
  <w15:chartTrackingRefBased/>
  <w15:docId w15:val="{583F5DB8-D5E5-4BE7-A2FD-1F611002C3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F627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12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2C1"/>
    <w:rPr>
      <w:color w:val="605E5C"/>
      <w:shd w:val="clear" w:color="auto" w:fill="E1DFDD"/>
    </w:rPr>
  </w:style>
  <w:style w:type="character" w:customStyle="1" w:styleId="jsgrdq">
    <w:name w:val="jsgrdq"/>
    <w:basedOn w:val="DefaultParagraphFont"/>
    <w:rsid w:val="002355CC"/>
  </w:style>
  <w:style w:type="paragraph" w:customStyle="1" w:styleId="html-x">
    <w:name w:val="html-x"/>
    <w:basedOn w:val="Normal"/>
    <w:rsid w:val="00C86A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tml-italic">
    <w:name w:val="html-italic"/>
    <w:basedOn w:val="DefaultParagraphFont"/>
    <w:rsid w:val="00C86AB8"/>
  </w:style>
  <w:style w:type="character" w:styleId="Emphasis">
    <w:name w:val="Emphasis"/>
    <w:basedOn w:val="DefaultParagraphFont"/>
    <w:uiPriority w:val="20"/>
    <w:qFormat/>
    <w:rsid w:val="00551592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7F627C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customStyle="1" w:styleId="subtitle">
    <w:name w:val="subtitle"/>
    <w:basedOn w:val="DefaultParagraphFont"/>
    <w:rsid w:val="007F627C"/>
  </w:style>
  <w:style w:type="character" w:styleId="FollowedHyperlink">
    <w:name w:val="FollowedHyperlink"/>
    <w:basedOn w:val="DefaultParagraphFont"/>
    <w:uiPriority w:val="99"/>
    <w:semiHidden/>
    <w:unhideWhenUsed/>
    <w:rsid w:val="008C4690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132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32B2"/>
  </w:style>
  <w:style w:type="paragraph" w:styleId="Footer">
    <w:name w:val="footer"/>
    <w:basedOn w:val="Normal"/>
    <w:link w:val="FooterChar"/>
    <w:uiPriority w:val="99"/>
    <w:unhideWhenUsed/>
    <w:rsid w:val="001132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32B2"/>
  </w:style>
  <w:style w:type="paragraph" w:styleId="ListParagraph">
    <w:name w:val="List Paragraph"/>
    <w:basedOn w:val="Normal"/>
    <w:uiPriority w:val="34"/>
    <w:qFormat/>
    <w:rsid w:val="001132B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507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6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5FC170796F8648BF3CCF65AF6BF685" ma:contentTypeVersion="8" ma:contentTypeDescription="Create a new document." ma:contentTypeScope="" ma:versionID="ddc5f73e71ec3d79d5329da99fdbb87f">
  <xsd:schema xmlns:xsd="http://www.w3.org/2001/XMLSchema" xmlns:xs="http://www.w3.org/2001/XMLSchema" xmlns:p="http://schemas.microsoft.com/office/2006/metadata/properties" xmlns:ns3="cfcb4f28-f30d-451a-a5d5-b764032acbc8" xmlns:ns4="200aadba-7bdd-47db-b3c6-a0543f44873b" targetNamespace="http://schemas.microsoft.com/office/2006/metadata/properties" ma:root="true" ma:fieldsID="5c01efb23ce68f4312f7270f59ce2a98" ns3:_="" ns4:_="">
    <xsd:import namespace="cfcb4f28-f30d-451a-a5d5-b764032acbc8"/>
    <xsd:import namespace="200aadba-7bdd-47db-b3c6-a0543f44873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cb4f28-f30d-451a-a5d5-b764032acbc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0aadba-7bdd-47db-b3c6-a0543f44873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121123D-BBA2-4B4D-A985-A84F5FF6D1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cb4f28-f30d-451a-a5d5-b764032acbc8"/>
    <ds:schemaRef ds:uri="200aadba-7bdd-47db-b3c6-a0543f4487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D270FE-209A-4E99-B522-F9B626ED486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FE8703-A3B8-4A02-B213-EAA8733BD72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4</Pages>
  <Words>1054</Words>
  <Characters>6011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Daly (1903033)</dc:creator>
  <cp:keywords/>
  <dc:description/>
  <cp:lastModifiedBy>Hannah Daly (1903033)</cp:lastModifiedBy>
  <cp:revision>3</cp:revision>
  <dcterms:created xsi:type="dcterms:W3CDTF">2021-07-09T17:30:00Z</dcterms:created>
  <dcterms:modified xsi:type="dcterms:W3CDTF">2021-07-09T19:33:00Z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0x010100945FC170796F8648BF3CCF65AF6BF685</vt:lpwstr>
  </property>
</Properties>
</file>