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814766928"/>
        <w:docPartObj>
          <w:docPartGallery w:val="Cover Pages"/>
          <w:docPartUnique/>
        </w:docPartObj>
      </w:sdtPr>
      <w:sdtEndPr>
        <w:rPr>
          <w:sz w:val="22"/>
        </w:rPr>
      </w:sdtEndPr>
      <w:sdtContent>
        <w:p w14:paraId="1A7C6BBB" w14:textId="45B6FE59" w:rsidR="00AC1B60" w:rsidRDefault="00AC1B60">
          <w:pPr>
            <w:pStyle w:val="NoSpacing"/>
            <w:rPr>
              <w:sz w:val="2"/>
            </w:rPr>
          </w:pPr>
        </w:p>
        <w:p w14:paraId="323D9B8F" w14:textId="77777777" w:rsidR="00AC1B60" w:rsidRDefault="00AC1B60">
          <w:r>
            <w:rPr>
              <w:noProof/>
            </w:rPr>
            <mc:AlternateContent>
              <mc:Choice Requires="wps">
                <w:drawing>
                  <wp:anchor distT="0" distB="0" distL="114300" distR="114300" simplePos="0" relativeHeight="251661312" behindDoc="0" locked="0" layoutInCell="1" allowOverlap="1" wp14:anchorId="00858064" wp14:editId="1C9B1BBA">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25A259E" w14:textId="64156D5D" w:rsidR="00AC1B60" w:rsidRDefault="00AC1B6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Neglig</w:t>
                                    </w:r>
                                    <w:r w:rsidR="006C4DDC">
                                      <w:rPr>
                                        <w:rFonts w:asciiTheme="majorHAnsi" w:eastAsiaTheme="majorEastAsia" w:hAnsiTheme="majorHAnsi" w:cstheme="majorBidi"/>
                                        <w:caps/>
                                        <w:color w:val="8496B0" w:themeColor="text2" w:themeTint="99"/>
                                        <w:sz w:val="64"/>
                                        <w:szCs w:val="64"/>
                                      </w:rPr>
                                      <w:t>e</w:t>
                                    </w:r>
                                    <w:r>
                                      <w:rPr>
                                        <w:rFonts w:asciiTheme="majorHAnsi" w:eastAsiaTheme="majorEastAsia" w:hAnsiTheme="majorHAnsi" w:cstheme="majorBidi"/>
                                        <w:caps/>
                                        <w:color w:val="8496B0" w:themeColor="text2" w:themeTint="99"/>
                                        <w:sz w:val="64"/>
                                        <w:szCs w:val="64"/>
                                      </w:rPr>
                                      <w:t>nce in construction</w:t>
                                    </w:r>
                                  </w:p>
                                </w:sdtContent>
                              </w:sdt>
                              <w:p w14:paraId="4761E3A2" w14:textId="3028295E" w:rsidR="00AC1B60" w:rsidRDefault="00016766">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915AA2">
                                      <w:rPr>
                                        <w:color w:val="4472C4" w:themeColor="accent1"/>
                                        <w:sz w:val="36"/>
                                        <w:szCs w:val="36"/>
                                      </w:rPr>
                                      <w:t>Legal Assignment</w:t>
                                    </w:r>
                                  </w:sdtContent>
                                </w:sdt>
                                <w:r w:rsidR="00AC1B60">
                                  <w:rPr>
                                    <w:noProof/>
                                  </w:rPr>
                                  <w:t xml:space="preserve"> </w:t>
                                </w:r>
                              </w:p>
                              <w:p w14:paraId="11669166" w14:textId="77777777" w:rsidR="00AC1B60" w:rsidRDefault="00AC1B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0858064"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25A259E" w14:textId="64156D5D" w:rsidR="00AC1B60" w:rsidRDefault="00AC1B6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Neglig</w:t>
                              </w:r>
                              <w:r w:rsidR="006C4DDC">
                                <w:rPr>
                                  <w:rFonts w:asciiTheme="majorHAnsi" w:eastAsiaTheme="majorEastAsia" w:hAnsiTheme="majorHAnsi" w:cstheme="majorBidi"/>
                                  <w:caps/>
                                  <w:color w:val="8496B0" w:themeColor="text2" w:themeTint="99"/>
                                  <w:sz w:val="64"/>
                                  <w:szCs w:val="64"/>
                                </w:rPr>
                                <w:t>e</w:t>
                              </w:r>
                              <w:r>
                                <w:rPr>
                                  <w:rFonts w:asciiTheme="majorHAnsi" w:eastAsiaTheme="majorEastAsia" w:hAnsiTheme="majorHAnsi" w:cstheme="majorBidi"/>
                                  <w:caps/>
                                  <w:color w:val="8496B0" w:themeColor="text2" w:themeTint="99"/>
                                  <w:sz w:val="64"/>
                                  <w:szCs w:val="64"/>
                                </w:rPr>
                                <w:t>nce in construction</w:t>
                              </w:r>
                            </w:p>
                          </w:sdtContent>
                        </w:sdt>
                        <w:p w14:paraId="4761E3A2" w14:textId="3028295E" w:rsidR="00AC1B60" w:rsidRDefault="00016766">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915AA2">
                                <w:rPr>
                                  <w:color w:val="4472C4" w:themeColor="accent1"/>
                                  <w:sz w:val="36"/>
                                  <w:szCs w:val="36"/>
                                </w:rPr>
                                <w:t>Legal Assignment</w:t>
                              </w:r>
                            </w:sdtContent>
                          </w:sdt>
                          <w:r w:rsidR="00AC1B60">
                            <w:rPr>
                              <w:noProof/>
                            </w:rPr>
                            <w:t xml:space="preserve"> </w:t>
                          </w:r>
                        </w:p>
                        <w:p w14:paraId="11669166" w14:textId="77777777" w:rsidR="00AC1B60" w:rsidRDefault="00AC1B60"/>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0583662C" wp14:editId="1CF35C6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E7B1F1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F2D606E" wp14:editId="4AD93F34">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539508" w14:textId="773C094C" w:rsidR="00AC1B60" w:rsidRDefault="00016766">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15AA2">
                                      <w:rPr>
                                        <w:color w:val="4472C4" w:themeColor="accent1"/>
                                        <w:sz w:val="36"/>
                                        <w:szCs w:val="36"/>
                                      </w:rPr>
                                      <w:t xml:space="preserve">University of Wales Trinity Saint </w:t>
                                    </w:r>
                                    <w:proofErr w:type="spellStart"/>
                                    <w:r w:rsidR="00915AA2">
                                      <w:rPr>
                                        <w:color w:val="4472C4" w:themeColor="accent1"/>
                                        <w:sz w:val="36"/>
                                        <w:szCs w:val="36"/>
                                      </w:rPr>
                                      <w:t>Davids</w:t>
                                    </w:r>
                                    <w:proofErr w:type="spellEnd"/>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1892907" w14:textId="0014C1A8" w:rsidR="00AC1B60" w:rsidRDefault="00915AA2">
                                    <w:pPr>
                                      <w:pStyle w:val="NoSpacing"/>
                                      <w:jc w:val="right"/>
                                      <w:rPr>
                                        <w:color w:val="4472C4" w:themeColor="accent1"/>
                                        <w:sz w:val="36"/>
                                        <w:szCs w:val="36"/>
                                      </w:rPr>
                                    </w:pPr>
                                    <w:r>
                                      <w:rPr>
                                        <w:color w:val="4472C4" w:themeColor="accent1"/>
                                        <w:sz w:val="36"/>
                                        <w:szCs w:val="36"/>
                                      </w:rPr>
                                      <w:t>Abigail Davies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F2D606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30539508" w14:textId="773C094C" w:rsidR="00AC1B60" w:rsidRDefault="00016766">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15AA2">
                                <w:rPr>
                                  <w:color w:val="4472C4" w:themeColor="accent1"/>
                                  <w:sz w:val="36"/>
                                  <w:szCs w:val="36"/>
                                </w:rPr>
                                <w:t xml:space="preserve">University of Wales Trinity Saint </w:t>
                              </w:r>
                              <w:proofErr w:type="spellStart"/>
                              <w:r w:rsidR="00915AA2">
                                <w:rPr>
                                  <w:color w:val="4472C4" w:themeColor="accent1"/>
                                  <w:sz w:val="36"/>
                                  <w:szCs w:val="36"/>
                                </w:rPr>
                                <w:t>Davids</w:t>
                              </w:r>
                              <w:proofErr w:type="spellEnd"/>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1892907" w14:textId="0014C1A8" w:rsidR="00AC1B60" w:rsidRDefault="00915AA2">
                              <w:pPr>
                                <w:pStyle w:val="NoSpacing"/>
                                <w:jc w:val="right"/>
                                <w:rPr>
                                  <w:color w:val="4472C4" w:themeColor="accent1"/>
                                  <w:sz w:val="36"/>
                                  <w:szCs w:val="36"/>
                                </w:rPr>
                              </w:pPr>
                              <w:r>
                                <w:rPr>
                                  <w:color w:val="4472C4" w:themeColor="accent1"/>
                                  <w:sz w:val="36"/>
                                  <w:szCs w:val="36"/>
                                </w:rPr>
                                <w:t>Abigail Davies</w:t>
                              </w:r>
                            </w:p>
                          </w:sdtContent>
                        </w:sdt>
                      </w:txbxContent>
                    </v:textbox>
                    <w10:wrap anchorx="page" anchory="margin"/>
                  </v:shape>
                </w:pict>
              </mc:Fallback>
            </mc:AlternateContent>
          </w:r>
        </w:p>
        <w:p w14:paraId="7599E599" w14:textId="0B5A8AF5" w:rsidR="00AC1B60" w:rsidRDefault="00AC1B60">
          <w:r>
            <w:br w:type="page"/>
          </w:r>
        </w:p>
      </w:sdtContent>
    </w:sdt>
    <w:sdt>
      <w:sdtPr>
        <w:rPr>
          <w:rFonts w:asciiTheme="minorHAnsi" w:eastAsiaTheme="minorHAnsi" w:hAnsiTheme="minorHAnsi" w:cstheme="minorBidi"/>
          <w:color w:val="auto"/>
          <w:sz w:val="22"/>
          <w:szCs w:val="22"/>
          <w:lang w:val="en-GB"/>
        </w:rPr>
        <w:id w:val="480663700"/>
        <w:docPartObj>
          <w:docPartGallery w:val="Table of Contents"/>
          <w:docPartUnique/>
        </w:docPartObj>
      </w:sdtPr>
      <w:sdtEndPr>
        <w:rPr>
          <w:b/>
          <w:bCs/>
          <w:noProof/>
        </w:rPr>
      </w:sdtEndPr>
      <w:sdtContent>
        <w:p w14:paraId="04FD61FC" w14:textId="0798DC97" w:rsidR="00AC1B60" w:rsidRPr="00855482" w:rsidRDefault="00AC1B60">
          <w:pPr>
            <w:pStyle w:val="TOCHeading"/>
            <w:rPr>
              <w:u w:val="single"/>
            </w:rPr>
          </w:pPr>
          <w:r w:rsidRPr="00855482">
            <w:rPr>
              <w:u w:val="single"/>
            </w:rPr>
            <w:t>Table of Contents</w:t>
          </w:r>
        </w:p>
        <w:p w14:paraId="0C357324" w14:textId="45E87B0F" w:rsidR="00AC0B2F" w:rsidRDefault="00AC1B6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9796507" w:history="1">
            <w:r w:rsidR="00AC0B2F" w:rsidRPr="00EB60F4">
              <w:rPr>
                <w:rStyle w:val="Hyperlink"/>
                <w:noProof/>
              </w:rPr>
              <w:t>Introduction</w:t>
            </w:r>
            <w:r w:rsidR="00AC0B2F">
              <w:rPr>
                <w:noProof/>
                <w:webHidden/>
              </w:rPr>
              <w:tab/>
            </w:r>
            <w:r w:rsidR="00AC0B2F">
              <w:rPr>
                <w:noProof/>
                <w:webHidden/>
              </w:rPr>
              <w:fldChar w:fldCharType="begin"/>
            </w:r>
            <w:r w:rsidR="00AC0B2F">
              <w:rPr>
                <w:noProof/>
                <w:webHidden/>
              </w:rPr>
              <w:instrText xml:space="preserve"> PAGEREF _Toc129796507 \h </w:instrText>
            </w:r>
            <w:r w:rsidR="00AC0B2F">
              <w:rPr>
                <w:noProof/>
                <w:webHidden/>
              </w:rPr>
            </w:r>
            <w:r w:rsidR="00AC0B2F">
              <w:rPr>
                <w:noProof/>
                <w:webHidden/>
              </w:rPr>
              <w:fldChar w:fldCharType="separate"/>
            </w:r>
            <w:r w:rsidR="0011750F">
              <w:rPr>
                <w:noProof/>
                <w:webHidden/>
              </w:rPr>
              <w:t>2</w:t>
            </w:r>
            <w:r w:rsidR="00AC0B2F">
              <w:rPr>
                <w:noProof/>
                <w:webHidden/>
              </w:rPr>
              <w:fldChar w:fldCharType="end"/>
            </w:r>
          </w:hyperlink>
        </w:p>
        <w:p w14:paraId="798EF521" w14:textId="09DC82BF" w:rsidR="00AC0B2F" w:rsidRDefault="00016766">
          <w:pPr>
            <w:pStyle w:val="TOC1"/>
            <w:tabs>
              <w:tab w:val="right" w:leader="dot" w:pos="9016"/>
            </w:tabs>
            <w:rPr>
              <w:rFonts w:eastAsiaTheme="minorEastAsia"/>
              <w:noProof/>
              <w:lang w:eastAsia="en-GB"/>
            </w:rPr>
          </w:pPr>
          <w:hyperlink w:anchor="_Toc129796508" w:history="1">
            <w:r w:rsidR="00AC0B2F" w:rsidRPr="00EB60F4">
              <w:rPr>
                <w:rStyle w:val="Hyperlink"/>
                <w:noProof/>
              </w:rPr>
              <w:t>Tort of Negligence</w:t>
            </w:r>
            <w:r w:rsidR="00AC0B2F">
              <w:rPr>
                <w:noProof/>
                <w:webHidden/>
              </w:rPr>
              <w:tab/>
            </w:r>
            <w:r w:rsidR="00AC0B2F">
              <w:rPr>
                <w:noProof/>
                <w:webHidden/>
              </w:rPr>
              <w:fldChar w:fldCharType="begin"/>
            </w:r>
            <w:r w:rsidR="00AC0B2F">
              <w:rPr>
                <w:noProof/>
                <w:webHidden/>
              </w:rPr>
              <w:instrText xml:space="preserve"> PAGEREF _Toc129796508 \h </w:instrText>
            </w:r>
            <w:r w:rsidR="00AC0B2F">
              <w:rPr>
                <w:noProof/>
                <w:webHidden/>
              </w:rPr>
            </w:r>
            <w:r w:rsidR="00AC0B2F">
              <w:rPr>
                <w:noProof/>
                <w:webHidden/>
              </w:rPr>
              <w:fldChar w:fldCharType="separate"/>
            </w:r>
            <w:r w:rsidR="0011750F">
              <w:rPr>
                <w:noProof/>
                <w:webHidden/>
              </w:rPr>
              <w:t>2</w:t>
            </w:r>
            <w:r w:rsidR="00AC0B2F">
              <w:rPr>
                <w:noProof/>
                <w:webHidden/>
              </w:rPr>
              <w:fldChar w:fldCharType="end"/>
            </w:r>
          </w:hyperlink>
        </w:p>
        <w:p w14:paraId="7C5EF702" w14:textId="264D2B5E" w:rsidR="00AC0B2F" w:rsidRDefault="00016766">
          <w:pPr>
            <w:pStyle w:val="TOC2"/>
            <w:tabs>
              <w:tab w:val="right" w:leader="dot" w:pos="9016"/>
            </w:tabs>
            <w:rPr>
              <w:rFonts w:eastAsiaTheme="minorEastAsia"/>
              <w:noProof/>
              <w:lang w:eastAsia="en-GB"/>
            </w:rPr>
          </w:pPr>
          <w:hyperlink w:anchor="_Toc129796509" w:history="1">
            <w:r w:rsidR="00AC0B2F" w:rsidRPr="00EB60F4">
              <w:rPr>
                <w:rStyle w:val="Hyperlink"/>
                <w:noProof/>
              </w:rPr>
              <w:t>Description</w:t>
            </w:r>
            <w:r w:rsidR="00AC0B2F">
              <w:rPr>
                <w:noProof/>
                <w:webHidden/>
              </w:rPr>
              <w:tab/>
            </w:r>
            <w:r w:rsidR="00AC0B2F">
              <w:rPr>
                <w:noProof/>
                <w:webHidden/>
              </w:rPr>
              <w:fldChar w:fldCharType="begin"/>
            </w:r>
            <w:r w:rsidR="00AC0B2F">
              <w:rPr>
                <w:noProof/>
                <w:webHidden/>
              </w:rPr>
              <w:instrText xml:space="preserve"> PAGEREF _Toc129796509 \h </w:instrText>
            </w:r>
            <w:r w:rsidR="00AC0B2F">
              <w:rPr>
                <w:noProof/>
                <w:webHidden/>
              </w:rPr>
            </w:r>
            <w:r w:rsidR="00AC0B2F">
              <w:rPr>
                <w:noProof/>
                <w:webHidden/>
              </w:rPr>
              <w:fldChar w:fldCharType="separate"/>
            </w:r>
            <w:r w:rsidR="0011750F">
              <w:rPr>
                <w:noProof/>
                <w:webHidden/>
              </w:rPr>
              <w:t>2</w:t>
            </w:r>
            <w:r w:rsidR="00AC0B2F">
              <w:rPr>
                <w:noProof/>
                <w:webHidden/>
              </w:rPr>
              <w:fldChar w:fldCharType="end"/>
            </w:r>
          </w:hyperlink>
        </w:p>
        <w:p w14:paraId="62370A06" w14:textId="135856C2" w:rsidR="00AC0B2F" w:rsidRDefault="00016766">
          <w:pPr>
            <w:pStyle w:val="TOC1"/>
            <w:tabs>
              <w:tab w:val="right" w:leader="dot" w:pos="9016"/>
            </w:tabs>
            <w:rPr>
              <w:rFonts w:eastAsiaTheme="minorEastAsia"/>
              <w:noProof/>
              <w:lang w:eastAsia="en-GB"/>
            </w:rPr>
          </w:pPr>
          <w:hyperlink w:anchor="_Toc129796510" w:history="1">
            <w:r w:rsidR="00AC0B2F" w:rsidRPr="00EB60F4">
              <w:rPr>
                <w:rStyle w:val="Hyperlink"/>
                <w:noProof/>
              </w:rPr>
              <w:t>Donoghue V Stevenson – 1932</w:t>
            </w:r>
            <w:r w:rsidR="00AC0B2F">
              <w:rPr>
                <w:noProof/>
                <w:webHidden/>
              </w:rPr>
              <w:tab/>
            </w:r>
            <w:r w:rsidR="00AC0B2F">
              <w:rPr>
                <w:noProof/>
                <w:webHidden/>
              </w:rPr>
              <w:fldChar w:fldCharType="begin"/>
            </w:r>
            <w:r w:rsidR="00AC0B2F">
              <w:rPr>
                <w:noProof/>
                <w:webHidden/>
              </w:rPr>
              <w:instrText xml:space="preserve"> PAGEREF _Toc129796510 \h </w:instrText>
            </w:r>
            <w:r w:rsidR="00AC0B2F">
              <w:rPr>
                <w:noProof/>
                <w:webHidden/>
              </w:rPr>
            </w:r>
            <w:r w:rsidR="00AC0B2F">
              <w:rPr>
                <w:noProof/>
                <w:webHidden/>
              </w:rPr>
              <w:fldChar w:fldCharType="separate"/>
            </w:r>
            <w:r w:rsidR="0011750F">
              <w:rPr>
                <w:noProof/>
                <w:webHidden/>
              </w:rPr>
              <w:t>3</w:t>
            </w:r>
            <w:r w:rsidR="00AC0B2F">
              <w:rPr>
                <w:noProof/>
                <w:webHidden/>
              </w:rPr>
              <w:fldChar w:fldCharType="end"/>
            </w:r>
          </w:hyperlink>
        </w:p>
        <w:p w14:paraId="74888395" w14:textId="401EE62C" w:rsidR="00AC0B2F" w:rsidRDefault="00016766">
          <w:pPr>
            <w:pStyle w:val="TOC2"/>
            <w:tabs>
              <w:tab w:val="right" w:leader="dot" w:pos="9016"/>
            </w:tabs>
            <w:rPr>
              <w:rFonts w:eastAsiaTheme="minorEastAsia"/>
              <w:noProof/>
              <w:lang w:eastAsia="en-GB"/>
            </w:rPr>
          </w:pPr>
          <w:hyperlink w:anchor="_Toc129796511" w:history="1">
            <w:r w:rsidR="00AC0B2F" w:rsidRPr="00EB60F4">
              <w:rPr>
                <w:rStyle w:val="Hyperlink"/>
                <w:noProof/>
              </w:rPr>
              <w:t>Vinci Construction UK Ltd V Beumer Group UK Ltd – 2018</w:t>
            </w:r>
            <w:r w:rsidR="00AC0B2F">
              <w:rPr>
                <w:noProof/>
                <w:webHidden/>
              </w:rPr>
              <w:tab/>
            </w:r>
            <w:r w:rsidR="00AC0B2F">
              <w:rPr>
                <w:noProof/>
                <w:webHidden/>
              </w:rPr>
              <w:fldChar w:fldCharType="begin"/>
            </w:r>
            <w:r w:rsidR="00AC0B2F">
              <w:rPr>
                <w:noProof/>
                <w:webHidden/>
              </w:rPr>
              <w:instrText xml:space="preserve"> PAGEREF _Toc129796511 \h </w:instrText>
            </w:r>
            <w:r w:rsidR="00AC0B2F">
              <w:rPr>
                <w:noProof/>
                <w:webHidden/>
              </w:rPr>
            </w:r>
            <w:r w:rsidR="00AC0B2F">
              <w:rPr>
                <w:noProof/>
                <w:webHidden/>
              </w:rPr>
              <w:fldChar w:fldCharType="separate"/>
            </w:r>
            <w:r w:rsidR="0011750F">
              <w:rPr>
                <w:noProof/>
                <w:webHidden/>
              </w:rPr>
              <w:t>4</w:t>
            </w:r>
            <w:r w:rsidR="00AC0B2F">
              <w:rPr>
                <w:noProof/>
                <w:webHidden/>
              </w:rPr>
              <w:fldChar w:fldCharType="end"/>
            </w:r>
          </w:hyperlink>
        </w:p>
        <w:p w14:paraId="342CF18D" w14:textId="16974D61" w:rsidR="00AC0B2F" w:rsidRDefault="00016766">
          <w:pPr>
            <w:pStyle w:val="TOC2"/>
            <w:tabs>
              <w:tab w:val="right" w:leader="dot" w:pos="9016"/>
            </w:tabs>
            <w:rPr>
              <w:rFonts w:eastAsiaTheme="minorEastAsia"/>
              <w:noProof/>
              <w:lang w:eastAsia="en-GB"/>
            </w:rPr>
          </w:pPr>
          <w:hyperlink w:anchor="_Toc129796512" w:history="1">
            <w:r w:rsidR="00AC0B2F" w:rsidRPr="00EB60F4">
              <w:rPr>
                <w:rStyle w:val="Hyperlink"/>
                <w:noProof/>
              </w:rPr>
              <w:t>Conclusion</w:t>
            </w:r>
            <w:r w:rsidR="00AC0B2F">
              <w:rPr>
                <w:noProof/>
                <w:webHidden/>
              </w:rPr>
              <w:tab/>
            </w:r>
            <w:r w:rsidR="00AC0B2F">
              <w:rPr>
                <w:noProof/>
                <w:webHidden/>
              </w:rPr>
              <w:fldChar w:fldCharType="begin"/>
            </w:r>
            <w:r w:rsidR="00AC0B2F">
              <w:rPr>
                <w:noProof/>
                <w:webHidden/>
              </w:rPr>
              <w:instrText xml:space="preserve"> PAGEREF _Toc129796512 \h </w:instrText>
            </w:r>
            <w:r w:rsidR="00AC0B2F">
              <w:rPr>
                <w:noProof/>
                <w:webHidden/>
              </w:rPr>
            </w:r>
            <w:r w:rsidR="00AC0B2F">
              <w:rPr>
                <w:noProof/>
                <w:webHidden/>
              </w:rPr>
              <w:fldChar w:fldCharType="separate"/>
            </w:r>
            <w:r w:rsidR="0011750F">
              <w:rPr>
                <w:noProof/>
                <w:webHidden/>
              </w:rPr>
              <w:t>5</w:t>
            </w:r>
            <w:r w:rsidR="00AC0B2F">
              <w:rPr>
                <w:noProof/>
                <w:webHidden/>
              </w:rPr>
              <w:fldChar w:fldCharType="end"/>
            </w:r>
          </w:hyperlink>
        </w:p>
        <w:p w14:paraId="3B3B82F8" w14:textId="62DE7C0C" w:rsidR="00AC0B2F" w:rsidRDefault="00016766">
          <w:pPr>
            <w:pStyle w:val="TOC2"/>
            <w:tabs>
              <w:tab w:val="right" w:leader="dot" w:pos="9016"/>
            </w:tabs>
            <w:rPr>
              <w:rFonts w:eastAsiaTheme="minorEastAsia"/>
              <w:noProof/>
              <w:lang w:eastAsia="en-GB"/>
            </w:rPr>
          </w:pPr>
          <w:hyperlink w:anchor="_Toc129796513" w:history="1">
            <w:r w:rsidR="00AC0B2F" w:rsidRPr="00EB60F4">
              <w:rPr>
                <w:rStyle w:val="Hyperlink"/>
                <w:noProof/>
              </w:rPr>
              <w:t>Reference List</w:t>
            </w:r>
            <w:r w:rsidR="00AC0B2F">
              <w:rPr>
                <w:noProof/>
                <w:webHidden/>
              </w:rPr>
              <w:tab/>
            </w:r>
            <w:r w:rsidR="00AC0B2F">
              <w:rPr>
                <w:noProof/>
                <w:webHidden/>
              </w:rPr>
              <w:fldChar w:fldCharType="begin"/>
            </w:r>
            <w:r w:rsidR="00AC0B2F">
              <w:rPr>
                <w:noProof/>
                <w:webHidden/>
              </w:rPr>
              <w:instrText xml:space="preserve"> PAGEREF _Toc129796513 \h </w:instrText>
            </w:r>
            <w:r w:rsidR="00AC0B2F">
              <w:rPr>
                <w:noProof/>
                <w:webHidden/>
              </w:rPr>
            </w:r>
            <w:r w:rsidR="00AC0B2F">
              <w:rPr>
                <w:noProof/>
                <w:webHidden/>
              </w:rPr>
              <w:fldChar w:fldCharType="separate"/>
            </w:r>
            <w:r w:rsidR="0011750F">
              <w:rPr>
                <w:noProof/>
                <w:webHidden/>
              </w:rPr>
              <w:t>5</w:t>
            </w:r>
            <w:r w:rsidR="00AC0B2F">
              <w:rPr>
                <w:noProof/>
                <w:webHidden/>
              </w:rPr>
              <w:fldChar w:fldCharType="end"/>
            </w:r>
          </w:hyperlink>
        </w:p>
        <w:p w14:paraId="07A4B79F" w14:textId="751C2847" w:rsidR="00AC1B60" w:rsidRDefault="00AC1B60">
          <w:r>
            <w:rPr>
              <w:b/>
              <w:bCs/>
              <w:noProof/>
            </w:rPr>
            <w:fldChar w:fldCharType="end"/>
          </w:r>
        </w:p>
      </w:sdtContent>
    </w:sdt>
    <w:p w14:paraId="2A960A62" w14:textId="1E0ABDCE" w:rsidR="00AC1B60" w:rsidRDefault="00AC1B60"/>
    <w:p w14:paraId="1D203F83" w14:textId="7931367D" w:rsidR="00AC1B60" w:rsidRDefault="00AC1B60"/>
    <w:p w14:paraId="70045890" w14:textId="71C66F97" w:rsidR="00AC1B60" w:rsidRDefault="00AC1B60"/>
    <w:p w14:paraId="64B3E79E" w14:textId="64C98AAA" w:rsidR="00AC1B60" w:rsidRDefault="00AC1B60"/>
    <w:p w14:paraId="22D975AD" w14:textId="0B842021" w:rsidR="00AC1B60" w:rsidRDefault="00AC1B60"/>
    <w:p w14:paraId="66D140E4" w14:textId="04B35FCC" w:rsidR="00AC1B60" w:rsidRDefault="00AC1B60"/>
    <w:p w14:paraId="706EB6F9" w14:textId="626E728E" w:rsidR="00AC1B60" w:rsidRDefault="00AC1B60"/>
    <w:p w14:paraId="422D946B" w14:textId="69A396C0" w:rsidR="00AC1B60" w:rsidRDefault="00AC1B60"/>
    <w:p w14:paraId="43DB2156" w14:textId="489AB510" w:rsidR="00AC1B60" w:rsidRDefault="00AC1B60"/>
    <w:p w14:paraId="7220F1F6" w14:textId="74EF71AF" w:rsidR="00AC1B60" w:rsidRDefault="00AC1B60"/>
    <w:p w14:paraId="20E94894" w14:textId="30920EF0" w:rsidR="00AC1B60" w:rsidRDefault="00AC1B60"/>
    <w:p w14:paraId="6E53D75D" w14:textId="217A043F" w:rsidR="00AC1B60" w:rsidRDefault="00AC1B60"/>
    <w:p w14:paraId="6101A94B" w14:textId="17C89C3B" w:rsidR="00AC1B60" w:rsidRDefault="00AC1B60"/>
    <w:tbl>
      <w:tblPr>
        <w:tblpPr w:leftFromText="180" w:rightFromText="180" w:vertAnchor="page" w:horzAnchor="margin" w:tblpXSpec="center" w:tblpY="1261"/>
        <w:tblW w:w="10061" w:type="dxa"/>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Layout w:type="fixed"/>
        <w:tblCellMar>
          <w:left w:w="0" w:type="dxa"/>
          <w:right w:w="0" w:type="dxa"/>
        </w:tblCellMar>
        <w:tblLook w:val="0000" w:firstRow="0" w:lastRow="0" w:firstColumn="0" w:lastColumn="0" w:noHBand="0" w:noVBand="0"/>
      </w:tblPr>
      <w:tblGrid>
        <w:gridCol w:w="10061"/>
      </w:tblGrid>
      <w:tr w:rsidR="00293DA9" w14:paraId="5301AF2A" w14:textId="77777777" w:rsidTr="00153FF6">
        <w:trPr>
          <w:trHeight w:val="3386"/>
        </w:trPr>
        <w:tc>
          <w:tcPr>
            <w:tcW w:w="10061" w:type="dxa"/>
            <w:tcBorders>
              <w:top w:val="nil"/>
              <w:left w:val="nil"/>
              <w:bottom w:val="nil"/>
              <w:right w:val="nil"/>
            </w:tcBorders>
          </w:tcPr>
          <w:p w14:paraId="07346AA2" w14:textId="77777777" w:rsidR="00293DA9" w:rsidRPr="00855482" w:rsidRDefault="00293DA9" w:rsidP="00153FF6">
            <w:pPr>
              <w:pStyle w:val="Heading1"/>
              <w:rPr>
                <w:u w:val="single"/>
              </w:rPr>
            </w:pPr>
            <w:bookmarkStart w:id="0" w:name="_Toc129796507"/>
            <w:r w:rsidRPr="00855482">
              <w:rPr>
                <w:u w:val="single"/>
              </w:rPr>
              <w:lastRenderedPageBreak/>
              <w:t>Introduction</w:t>
            </w:r>
            <w:bookmarkEnd w:id="0"/>
          </w:p>
          <w:p w14:paraId="146C69BE" w14:textId="343772D4" w:rsidR="00845972" w:rsidRDefault="00845972" w:rsidP="00845972">
            <w:pPr>
              <w:rPr>
                <w:sz w:val="24"/>
                <w:szCs w:val="24"/>
              </w:rPr>
            </w:pPr>
            <w:r w:rsidRPr="00845972">
              <w:rPr>
                <w:sz w:val="24"/>
                <w:szCs w:val="24"/>
              </w:rPr>
              <w:t xml:space="preserve">In this article, the author will provide a straightforward explanation of the tort of negligence, including </w:t>
            </w:r>
            <w:r w:rsidR="00F25838" w:rsidRPr="00845972">
              <w:rPr>
                <w:sz w:val="24"/>
                <w:szCs w:val="24"/>
              </w:rPr>
              <w:t>all</w:t>
            </w:r>
            <w:r w:rsidRPr="00845972">
              <w:rPr>
                <w:sz w:val="24"/>
                <w:szCs w:val="24"/>
              </w:rPr>
              <w:t xml:space="preserve"> the key components related to tort law. The importance in the building industry and how it can affect a project's progression will be outlined using the case study Donoghue v. Stevenson</w:t>
            </w:r>
            <w:r w:rsidR="00B327D3">
              <w:rPr>
                <w:sz w:val="24"/>
                <w:szCs w:val="24"/>
              </w:rPr>
              <w:t>,</w:t>
            </w:r>
            <w:r w:rsidRPr="00845972">
              <w:rPr>
                <w:sz w:val="24"/>
                <w:szCs w:val="24"/>
              </w:rPr>
              <w:t xml:space="preserve"> </w:t>
            </w:r>
            <w:r w:rsidR="00276C6F">
              <w:rPr>
                <w:sz w:val="24"/>
                <w:szCs w:val="24"/>
              </w:rPr>
              <w:t xml:space="preserve">alongside </w:t>
            </w:r>
            <w:r w:rsidR="00A16074">
              <w:rPr>
                <w:sz w:val="24"/>
                <w:szCs w:val="24"/>
              </w:rPr>
              <w:t xml:space="preserve">examples of their own understanding </w:t>
            </w:r>
            <w:r w:rsidRPr="00845972">
              <w:rPr>
                <w:sz w:val="24"/>
                <w:szCs w:val="24"/>
              </w:rPr>
              <w:t xml:space="preserve">as a starting point. Additionally, the author will discuss the effects of adjudication when going through this procedure using research from the case study, Vinci Construction UK Ltd v </w:t>
            </w:r>
            <w:proofErr w:type="spellStart"/>
            <w:r w:rsidRPr="00845972">
              <w:rPr>
                <w:sz w:val="24"/>
                <w:szCs w:val="24"/>
              </w:rPr>
              <w:t>Beumer</w:t>
            </w:r>
            <w:proofErr w:type="spellEnd"/>
            <w:r w:rsidRPr="00845972">
              <w:rPr>
                <w:sz w:val="24"/>
                <w:szCs w:val="24"/>
              </w:rPr>
              <w:t xml:space="preserve"> Group U</w:t>
            </w:r>
            <w:r w:rsidR="00D40CD9">
              <w:rPr>
                <w:sz w:val="24"/>
                <w:szCs w:val="24"/>
              </w:rPr>
              <w:t>K</w:t>
            </w:r>
            <w:r w:rsidRPr="00845972">
              <w:rPr>
                <w:sz w:val="24"/>
                <w:szCs w:val="24"/>
              </w:rPr>
              <w:t xml:space="preserve"> Ltd 2018.</w:t>
            </w:r>
          </w:p>
          <w:p w14:paraId="1EEF2161" w14:textId="0A09D681" w:rsidR="002F7B16" w:rsidRPr="00855482" w:rsidRDefault="00845972" w:rsidP="002F7B16">
            <w:pPr>
              <w:pStyle w:val="Heading1"/>
              <w:rPr>
                <w:u w:val="single"/>
              </w:rPr>
            </w:pPr>
            <w:bookmarkStart w:id="1" w:name="_Toc129796508"/>
            <w:r w:rsidRPr="00855482">
              <w:rPr>
                <w:u w:val="single"/>
              </w:rPr>
              <w:t>Tort of Neglig</w:t>
            </w:r>
            <w:r w:rsidR="002F7B16" w:rsidRPr="00855482">
              <w:rPr>
                <w:u w:val="single"/>
              </w:rPr>
              <w:t>ence</w:t>
            </w:r>
            <w:bookmarkEnd w:id="1"/>
          </w:p>
          <w:p w14:paraId="17B75DA7" w14:textId="77777777" w:rsidR="00D40CD9" w:rsidRDefault="00D40CD9" w:rsidP="00153FF6">
            <w:pPr>
              <w:pStyle w:val="Heading2"/>
              <w:spacing w:before="0"/>
            </w:pPr>
            <w:bookmarkStart w:id="2" w:name="_Toc129796509"/>
          </w:p>
          <w:p w14:paraId="27D316F8" w14:textId="4E3D10B9" w:rsidR="00293DA9" w:rsidRPr="002178B9" w:rsidRDefault="00293DA9" w:rsidP="00153FF6">
            <w:pPr>
              <w:pStyle w:val="Heading2"/>
              <w:spacing w:before="0"/>
            </w:pPr>
            <w:r>
              <w:t>Description</w:t>
            </w:r>
            <w:bookmarkEnd w:id="2"/>
          </w:p>
          <w:p w14:paraId="6824F32B" w14:textId="77777777" w:rsidR="00293DA9" w:rsidRDefault="00293DA9" w:rsidP="00153FF6">
            <w:pPr>
              <w:shd w:val="clear" w:color="auto" w:fill="FFFFFF"/>
              <w:textAlignment w:val="baseline"/>
            </w:pPr>
            <w:r w:rsidRPr="004B4B87">
              <w:t>According to the legeldictorary.net website, the description of Tort Law is</w:t>
            </w:r>
            <w:r>
              <w:t xml:space="preserve">: </w:t>
            </w:r>
          </w:p>
          <w:p w14:paraId="6C91B8F9" w14:textId="77777777" w:rsidR="00293DA9" w:rsidRPr="0050174A" w:rsidRDefault="00293DA9" w:rsidP="00153FF6">
            <w:pPr>
              <w:shd w:val="clear" w:color="auto" w:fill="FFFFFF"/>
              <w:textAlignment w:val="baseline"/>
              <w:rPr>
                <w:rFonts w:eastAsia="Times New Roman" w:cstheme="minorHAnsi"/>
                <w:b/>
                <w:bCs/>
                <w:color w:val="111111"/>
                <w:sz w:val="24"/>
                <w:szCs w:val="24"/>
                <w:lang w:eastAsia="en-GB"/>
              </w:rPr>
            </w:pPr>
            <w:r w:rsidRPr="0050174A">
              <w:rPr>
                <w:rFonts w:cstheme="minorHAnsi"/>
                <w:b/>
                <w:bCs/>
                <w:sz w:val="24"/>
                <w:szCs w:val="24"/>
              </w:rPr>
              <w:t>‘</w:t>
            </w:r>
            <w:r w:rsidRPr="0050174A">
              <w:rPr>
                <w:rFonts w:eastAsia="Times New Roman" w:cstheme="minorHAnsi"/>
                <w:b/>
                <w:bCs/>
                <w:color w:val="111111"/>
                <w:sz w:val="24"/>
                <w:szCs w:val="24"/>
                <w:lang w:eastAsia="en-GB"/>
              </w:rPr>
              <w:t>An area of law that deals with the wrongful actions of an individual or entity, which cause injury to another individual’s or entity’s person, property, or reputation, and which entitle the injured party to compensation.’</w:t>
            </w:r>
          </w:p>
          <w:p w14:paraId="0AAC4554" w14:textId="6163A524" w:rsidR="00293DA9" w:rsidRDefault="00293DA9" w:rsidP="00153FF6">
            <w:pPr>
              <w:shd w:val="clear" w:color="auto" w:fill="FFFFFF"/>
              <w:textAlignment w:val="baseline"/>
              <w:rPr>
                <w:rFonts w:eastAsia="Times New Roman" w:cstheme="minorHAnsi"/>
                <w:color w:val="111111"/>
                <w:sz w:val="24"/>
                <w:szCs w:val="24"/>
                <w:lang w:eastAsia="en-GB"/>
              </w:rPr>
            </w:pPr>
            <w:r w:rsidRPr="00AD1CD1">
              <w:rPr>
                <w:rFonts w:eastAsia="Times New Roman" w:cstheme="minorHAnsi"/>
                <w:color w:val="111111"/>
                <w:sz w:val="24"/>
                <w:szCs w:val="24"/>
                <w:lang w:eastAsia="en-GB"/>
              </w:rPr>
              <w:t>Usually, Tort Law is known for dealing with cases such as civil suits which is determined by the courts whether to award compensation for the person/person’s or company who are making the claim against someone else. Sufficient evidence must be provided to the courts to help determine the outcome. There can be various reason’s as to why a person would put a claim to the courts against another party. Tort is also known as dealing with civil wrongs.</w:t>
            </w:r>
          </w:p>
          <w:p w14:paraId="4C427750" w14:textId="77777777" w:rsidR="00B327D3" w:rsidRPr="006C4DDC" w:rsidRDefault="00B327D3" w:rsidP="00153FF6">
            <w:pPr>
              <w:shd w:val="clear" w:color="auto" w:fill="FFFFFF"/>
              <w:textAlignment w:val="baseline"/>
              <w:rPr>
                <w:rFonts w:eastAsia="Times New Roman" w:cstheme="minorHAnsi"/>
                <w:color w:val="111111"/>
                <w:sz w:val="24"/>
                <w:szCs w:val="24"/>
                <w:lang w:eastAsia="en-GB"/>
              </w:rPr>
            </w:pPr>
          </w:p>
          <w:p w14:paraId="0DEC5021" w14:textId="77777777" w:rsidR="00293DA9" w:rsidRPr="00D21C42" w:rsidRDefault="00293DA9" w:rsidP="00153FF6">
            <w:pPr>
              <w:shd w:val="clear" w:color="auto" w:fill="FFFFFF"/>
              <w:textAlignment w:val="baseline"/>
              <w:rPr>
                <w:rFonts w:asciiTheme="majorHAnsi" w:eastAsia="Times New Roman" w:hAnsiTheme="majorHAnsi" w:cstheme="majorHAnsi"/>
                <w:b/>
                <w:bCs/>
                <w:color w:val="111111"/>
                <w:sz w:val="24"/>
                <w:szCs w:val="24"/>
                <w:lang w:eastAsia="en-GB"/>
              </w:rPr>
            </w:pPr>
            <w:r w:rsidRPr="00D21C42">
              <w:rPr>
                <w:rFonts w:asciiTheme="majorHAnsi" w:eastAsia="Times New Roman" w:hAnsiTheme="majorHAnsi" w:cstheme="majorHAnsi"/>
                <w:b/>
                <w:bCs/>
                <w:sz w:val="24"/>
                <w:szCs w:val="24"/>
              </w:rPr>
              <w:t xml:space="preserve">There are three main elements of Tort of Negligence </w:t>
            </w:r>
          </w:p>
          <w:p w14:paraId="3DCAC6B3" w14:textId="77777777" w:rsidR="00293DA9" w:rsidRPr="00D21C42" w:rsidRDefault="00293DA9" w:rsidP="00153FF6">
            <w:pPr>
              <w:pStyle w:val="Content"/>
              <w:framePr w:hSpace="0" w:wrap="auto" w:vAnchor="margin" w:hAnchor="text" w:yAlign="inline"/>
              <w:rPr>
                <w:rFonts w:asciiTheme="majorHAnsi" w:hAnsiTheme="majorHAnsi" w:cstheme="majorHAnsi"/>
                <w:bCs/>
                <w:sz w:val="24"/>
                <w:szCs w:val="24"/>
              </w:rPr>
            </w:pPr>
            <w:r w:rsidRPr="00D21C42">
              <w:rPr>
                <w:rFonts w:asciiTheme="majorHAnsi" w:hAnsiTheme="majorHAnsi" w:cstheme="majorHAnsi"/>
                <w:bCs/>
                <w:sz w:val="24"/>
                <w:szCs w:val="24"/>
              </w:rPr>
              <w:t xml:space="preserve">Duty of Care – A company or person has a legal responsibility of duty of care to provide essential procedures or equipment to keep others safe. </w:t>
            </w:r>
            <w:proofErr w:type="spellStart"/>
            <w:r w:rsidRPr="00D21C42">
              <w:rPr>
                <w:rFonts w:asciiTheme="majorHAnsi" w:hAnsiTheme="majorHAnsi" w:cstheme="majorHAnsi"/>
                <w:bCs/>
                <w:sz w:val="24"/>
                <w:szCs w:val="24"/>
              </w:rPr>
              <w:t>E.g</w:t>
            </w:r>
            <w:proofErr w:type="spellEnd"/>
            <w:r w:rsidRPr="00D21C42">
              <w:rPr>
                <w:rFonts w:asciiTheme="majorHAnsi" w:hAnsiTheme="majorHAnsi" w:cstheme="majorHAnsi"/>
                <w:bCs/>
                <w:sz w:val="24"/>
                <w:szCs w:val="24"/>
              </w:rPr>
              <w:t xml:space="preserve"> – A roofing company must install a completely new roof on a house. The company or owner has a duty of care to make sure that all essential equipment, plans, materials and bodies are in place to make sure the job is completed correctly and safely. Providing things such as risk assessments before they begin the installation process would be essential. </w:t>
            </w:r>
          </w:p>
          <w:p w14:paraId="27358A29" w14:textId="77777777" w:rsidR="00293DA9" w:rsidRDefault="00293DA9" w:rsidP="00153FF6">
            <w:pPr>
              <w:pStyle w:val="Content"/>
              <w:framePr w:hSpace="0" w:wrap="auto" w:vAnchor="margin" w:hAnchor="text" w:yAlign="inline"/>
              <w:rPr>
                <w:rFonts w:asciiTheme="majorHAnsi" w:hAnsiTheme="majorHAnsi" w:cstheme="majorHAnsi"/>
                <w:bCs/>
                <w:sz w:val="24"/>
                <w:szCs w:val="24"/>
              </w:rPr>
            </w:pPr>
          </w:p>
          <w:p w14:paraId="4C020529" w14:textId="77777777" w:rsidR="00293DA9" w:rsidRPr="00D21C42" w:rsidRDefault="00293DA9" w:rsidP="00153FF6">
            <w:pPr>
              <w:pStyle w:val="Content"/>
              <w:framePr w:hSpace="0" w:wrap="auto" w:vAnchor="margin" w:hAnchor="text" w:yAlign="inline"/>
              <w:rPr>
                <w:rFonts w:asciiTheme="majorHAnsi" w:hAnsiTheme="majorHAnsi" w:cstheme="majorHAnsi"/>
                <w:bCs/>
                <w:sz w:val="24"/>
                <w:szCs w:val="24"/>
              </w:rPr>
            </w:pPr>
            <w:r w:rsidRPr="00D21C42">
              <w:rPr>
                <w:rFonts w:asciiTheme="majorHAnsi" w:hAnsiTheme="majorHAnsi" w:cstheme="majorHAnsi"/>
                <w:bCs/>
                <w:sz w:val="24"/>
                <w:szCs w:val="24"/>
              </w:rPr>
              <w:t xml:space="preserve">Breach of Duty – This element links into duty of care, so whereas the last point explained about the points that should be in place to work in a safer environment. If duty of care is breached and an incident was to occur causing harm to another, breach of duty would be determined if the person responsible could see the higher risks and knowingly let another person or themselves into that situation, putting them at potential risk or cause of damage were to occur. </w:t>
            </w:r>
          </w:p>
          <w:p w14:paraId="048CCD91" w14:textId="77777777" w:rsidR="00293DA9" w:rsidRDefault="00293DA9" w:rsidP="00153FF6">
            <w:pPr>
              <w:pStyle w:val="Content"/>
              <w:framePr w:hSpace="0" w:wrap="auto" w:vAnchor="margin" w:hAnchor="text" w:yAlign="inline"/>
              <w:rPr>
                <w:rFonts w:asciiTheme="majorHAnsi" w:hAnsiTheme="majorHAnsi" w:cstheme="majorHAnsi"/>
                <w:bCs/>
                <w:sz w:val="24"/>
                <w:szCs w:val="24"/>
              </w:rPr>
            </w:pPr>
          </w:p>
          <w:p w14:paraId="28B6D4B9" w14:textId="0669A640" w:rsidR="00293DA9" w:rsidRPr="00D21C42" w:rsidRDefault="00293DA9" w:rsidP="00153FF6">
            <w:pPr>
              <w:pStyle w:val="Content"/>
              <w:framePr w:hSpace="0" w:wrap="auto" w:vAnchor="margin" w:hAnchor="text" w:yAlign="inline"/>
              <w:rPr>
                <w:rFonts w:asciiTheme="majorHAnsi" w:hAnsiTheme="majorHAnsi" w:cstheme="majorHAnsi"/>
                <w:bCs/>
                <w:sz w:val="24"/>
                <w:szCs w:val="24"/>
              </w:rPr>
            </w:pPr>
            <w:r w:rsidRPr="00D21C42">
              <w:rPr>
                <w:rFonts w:asciiTheme="majorHAnsi" w:hAnsiTheme="majorHAnsi" w:cstheme="majorHAnsi"/>
                <w:bCs/>
                <w:sz w:val="24"/>
                <w:szCs w:val="24"/>
              </w:rPr>
              <w:t xml:space="preserve">Harm or damage caused by Breach of Duty – As a result of ‘Breach of duty’ damage or harm is caused to employees or materials – </w:t>
            </w:r>
            <w:proofErr w:type="spellStart"/>
            <w:r w:rsidRPr="00D21C42">
              <w:rPr>
                <w:rFonts w:asciiTheme="majorHAnsi" w:hAnsiTheme="majorHAnsi" w:cstheme="majorHAnsi"/>
                <w:bCs/>
                <w:sz w:val="24"/>
                <w:szCs w:val="24"/>
              </w:rPr>
              <w:t>E.g</w:t>
            </w:r>
            <w:proofErr w:type="spellEnd"/>
            <w:r w:rsidRPr="00D21C42">
              <w:rPr>
                <w:rFonts w:asciiTheme="majorHAnsi" w:hAnsiTheme="majorHAnsi" w:cstheme="majorHAnsi"/>
                <w:bCs/>
                <w:sz w:val="24"/>
                <w:szCs w:val="24"/>
              </w:rPr>
              <w:t xml:space="preserve"> in the construction industry a sole person is within their rights to take another person or company to court if felt they have been treated mis fairly or damage were to occur causing life threating trauma or changes to another person’s life. It is then determined by the courts to see how the harm or damage occurred and if precautions were put in place to prevent such things from happening. The courts would then decide who was at fault and determine a settlement or resolution for both parties in order to move forward</w:t>
            </w:r>
            <w:r w:rsidR="00134E86">
              <w:rPr>
                <w:rFonts w:asciiTheme="majorHAnsi" w:hAnsiTheme="majorHAnsi" w:cstheme="majorHAnsi"/>
                <w:bCs/>
                <w:sz w:val="24"/>
                <w:szCs w:val="24"/>
              </w:rPr>
              <w:t xml:space="preserve"> </w:t>
            </w:r>
            <w:r w:rsidR="00AE0FC8">
              <w:rPr>
                <w:rFonts w:asciiTheme="majorHAnsi" w:hAnsiTheme="majorHAnsi" w:cstheme="majorHAnsi"/>
                <w:bCs/>
                <w:sz w:val="24"/>
                <w:szCs w:val="24"/>
              </w:rPr>
              <w:t xml:space="preserve">(LEGAL DICTIONARY 2019). </w:t>
            </w:r>
          </w:p>
          <w:p w14:paraId="090B74A8" w14:textId="77777777" w:rsidR="00293DA9" w:rsidRDefault="00293DA9" w:rsidP="00153FF6">
            <w:pPr>
              <w:pStyle w:val="Content"/>
              <w:framePr w:hSpace="0" w:wrap="auto" w:vAnchor="margin" w:hAnchor="text" w:yAlign="inline"/>
            </w:pPr>
          </w:p>
          <w:p w14:paraId="17871465" w14:textId="77777777" w:rsidR="00293DA9" w:rsidRPr="00855482" w:rsidRDefault="00293DA9" w:rsidP="00153FF6">
            <w:pPr>
              <w:pStyle w:val="Heading1"/>
              <w:rPr>
                <w:u w:val="single"/>
              </w:rPr>
            </w:pPr>
            <w:bookmarkStart w:id="3" w:name="_Toc129796510"/>
            <w:r w:rsidRPr="00855482">
              <w:rPr>
                <w:u w:val="single"/>
              </w:rPr>
              <w:t>Donoghue V Stevenson – 1932</w:t>
            </w:r>
            <w:bookmarkEnd w:id="3"/>
          </w:p>
          <w:p w14:paraId="3426257B" w14:textId="77777777" w:rsidR="00293DA9" w:rsidRDefault="00293DA9" w:rsidP="00153FF6">
            <w:pPr>
              <w:pStyle w:val="Content"/>
              <w:framePr w:hSpace="0" w:wrap="auto" w:vAnchor="margin" w:hAnchor="text" w:yAlign="inline"/>
            </w:pPr>
          </w:p>
          <w:p w14:paraId="3678C1C4" w14:textId="77777777" w:rsidR="00293DA9" w:rsidRDefault="00293DA9" w:rsidP="00153FF6">
            <w:pPr>
              <w:pStyle w:val="Content"/>
              <w:framePr w:hSpace="0" w:wrap="auto" w:vAnchor="margin" w:hAnchor="text" w:yAlign="inline"/>
              <w:rPr>
                <w:rFonts w:asciiTheme="majorHAnsi" w:hAnsiTheme="majorHAnsi" w:cstheme="majorHAnsi"/>
                <w:sz w:val="24"/>
                <w:szCs w:val="24"/>
              </w:rPr>
            </w:pPr>
            <w:r w:rsidRPr="00D21C42">
              <w:rPr>
                <w:rFonts w:asciiTheme="majorHAnsi" w:hAnsiTheme="majorHAnsi" w:cstheme="majorHAnsi"/>
                <w:sz w:val="24"/>
                <w:szCs w:val="24"/>
              </w:rPr>
              <w:t xml:space="preserve">In 1932, a lady had bought her friend a bottle of ginger beer which was in a non-transparent bottle. Her friend had consumed some ginger beer before unfortunately discovering that there was a decomposing snail inside the bottle. It was then claimed that the friend who drank from the bottle became very sick. </w:t>
            </w:r>
          </w:p>
          <w:p w14:paraId="51AE4D20" w14:textId="77777777" w:rsidR="00293DA9" w:rsidRDefault="00293DA9" w:rsidP="00153FF6">
            <w:pPr>
              <w:pStyle w:val="Content"/>
              <w:framePr w:hSpace="0" w:wrap="auto" w:vAnchor="margin" w:hAnchor="text" w:yAlign="inline"/>
              <w:rPr>
                <w:rFonts w:asciiTheme="majorHAnsi" w:hAnsiTheme="majorHAnsi" w:cstheme="majorHAnsi"/>
                <w:sz w:val="24"/>
                <w:szCs w:val="24"/>
              </w:rPr>
            </w:pPr>
          </w:p>
          <w:p w14:paraId="26D1A50F" w14:textId="77777777" w:rsidR="00293DA9" w:rsidRPr="00D21C42" w:rsidRDefault="00293DA9" w:rsidP="00153FF6">
            <w:pPr>
              <w:pStyle w:val="Content"/>
              <w:framePr w:hSpace="0" w:wrap="auto" w:vAnchor="margin" w:hAnchor="text" w:yAlign="inline"/>
              <w:rPr>
                <w:rFonts w:asciiTheme="majorHAnsi" w:hAnsiTheme="majorHAnsi" w:cstheme="majorHAnsi"/>
                <w:sz w:val="24"/>
                <w:szCs w:val="24"/>
              </w:rPr>
            </w:pPr>
            <w:r w:rsidRPr="00D21C42">
              <w:rPr>
                <w:rFonts w:asciiTheme="majorHAnsi" w:hAnsiTheme="majorHAnsi" w:cstheme="majorHAnsi"/>
                <w:sz w:val="24"/>
                <w:szCs w:val="24"/>
              </w:rPr>
              <w:t xml:space="preserve">Unfortunately, at the time the friend was unable to take the matter further to sue the manufacturer as she had no legal contract with the manufacturer themselves, as she did not purchase the bottle herself under the ‘Sale of Goods Act’ – 1893. </w:t>
            </w:r>
          </w:p>
          <w:p w14:paraId="53B60185" w14:textId="77777777" w:rsidR="00293DA9" w:rsidRDefault="00293DA9" w:rsidP="00153FF6">
            <w:pPr>
              <w:pStyle w:val="Content"/>
              <w:framePr w:hSpace="0" w:wrap="auto" w:vAnchor="margin" w:hAnchor="text" w:yAlign="inline"/>
              <w:rPr>
                <w:rFonts w:asciiTheme="majorHAnsi" w:hAnsiTheme="majorHAnsi" w:cstheme="majorHAnsi"/>
                <w:sz w:val="24"/>
                <w:szCs w:val="24"/>
              </w:rPr>
            </w:pPr>
          </w:p>
          <w:p w14:paraId="086539B1" w14:textId="77777777" w:rsidR="00293DA9" w:rsidRDefault="00293DA9" w:rsidP="00153FF6">
            <w:pPr>
              <w:pStyle w:val="Content"/>
              <w:framePr w:hSpace="0" w:wrap="auto" w:vAnchor="margin" w:hAnchor="text" w:yAlign="inline"/>
              <w:rPr>
                <w:rFonts w:asciiTheme="majorHAnsi" w:hAnsiTheme="majorHAnsi" w:cstheme="majorHAnsi"/>
                <w:sz w:val="24"/>
                <w:szCs w:val="24"/>
              </w:rPr>
            </w:pPr>
            <w:r w:rsidRPr="00D21C42">
              <w:rPr>
                <w:rFonts w:asciiTheme="majorHAnsi" w:hAnsiTheme="majorHAnsi" w:cstheme="majorHAnsi"/>
                <w:sz w:val="24"/>
                <w:szCs w:val="24"/>
              </w:rPr>
              <w:t xml:space="preserve">After this, the House of Lords were contacted and questioned whether the friend in this case could pursue another method into negligence as a result from drinking the drink produced by the manufacturer. As a result, the House of Lords came to a majority of votes that the product produced by the manufacturer was sold in such a condition that the product would have eventually ended with the consumer in the same state it was, leaving the manufacturers without any evidence of intermediate examination meaning that there would be no liability if the produce could have been tampered with after leaving a manufacturer before arriving with a consumer. </w:t>
            </w:r>
          </w:p>
          <w:p w14:paraId="2E62DDC5" w14:textId="77777777" w:rsidR="00293DA9" w:rsidRPr="00D21C42" w:rsidRDefault="00293DA9" w:rsidP="00153FF6">
            <w:pPr>
              <w:pStyle w:val="Content"/>
              <w:framePr w:hSpace="0" w:wrap="auto" w:vAnchor="margin" w:hAnchor="text" w:yAlign="inline"/>
              <w:rPr>
                <w:rFonts w:asciiTheme="majorHAnsi" w:hAnsiTheme="majorHAnsi" w:cstheme="majorHAnsi"/>
                <w:sz w:val="24"/>
                <w:szCs w:val="24"/>
              </w:rPr>
            </w:pPr>
            <w:r w:rsidRPr="00D21C42">
              <w:rPr>
                <w:rFonts w:asciiTheme="majorHAnsi" w:hAnsiTheme="majorHAnsi" w:cstheme="majorHAnsi"/>
                <w:sz w:val="24"/>
                <w:szCs w:val="24"/>
              </w:rPr>
              <w:t xml:space="preserve">Duty of care first came in as a result of this case, as the manufacturer should have a duty of care to the consumer that their product should not cause injury and that they have a responsibility of duty of care to the consumer. After this it was also tested by Lord Atkins whether a duty of care exists. </w:t>
            </w:r>
          </w:p>
          <w:p w14:paraId="50EC5766" w14:textId="755E7069" w:rsidR="00293DA9" w:rsidRPr="004446D2" w:rsidRDefault="00293DA9" w:rsidP="004446D2">
            <w:r>
              <w:rPr>
                <w:rFonts w:asciiTheme="majorHAnsi" w:hAnsiTheme="majorHAnsi"/>
                <w:sz w:val="24"/>
                <w:szCs w:val="24"/>
              </w:rPr>
              <w:t xml:space="preserve">Furthermore, it was determined that Stevenson did owe a duty of care as a manufacturer as once the bottle of ginger beer was sealed, ultimately someone was going to drink the content out of the bottle. As this was not fit for purpose, duty of care from the manufacturer had been neglected </w:t>
            </w:r>
            <w:r w:rsidR="0032597E">
              <w:t>(ELAW Resources 2023)</w:t>
            </w:r>
            <w:r w:rsidR="004446D2">
              <w:t xml:space="preserve">. </w:t>
            </w:r>
          </w:p>
          <w:p w14:paraId="68200A19" w14:textId="77777777" w:rsidR="00293AA4" w:rsidRDefault="00293AA4" w:rsidP="00153FF6">
            <w:pPr>
              <w:pStyle w:val="Content"/>
              <w:framePr w:hSpace="0" w:wrap="auto" w:vAnchor="margin" w:hAnchor="text" w:yAlign="inline"/>
              <w:rPr>
                <w:rFonts w:asciiTheme="majorHAnsi" w:hAnsiTheme="majorHAnsi"/>
                <w:color w:val="auto"/>
                <w:sz w:val="24"/>
                <w:szCs w:val="24"/>
              </w:rPr>
            </w:pPr>
          </w:p>
          <w:p w14:paraId="246B28AE" w14:textId="77777777" w:rsidR="00FC2E29" w:rsidRDefault="005F66BC" w:rsidP="00153FF6">
            <w:pPr>
              <w:pStyle w:val="Content"/>
              <w:framePr w:hSpace="0" w:wrap="auto" w:vAnchor="margin" w:hAnchor="text" w:yAlign="inline"/>
              <w:rPr>
                <w:rFonts w:asciiTheme="majorHAnsi" w:hAnsiTheme="majorHAnsi"/>
                <w:color w:val="auto"/>
                <w:sz w:val="24"/>
                <w:szCs w:val="24"/>
              </w:rPr>
            </w:pPr>
            <w:r>
              <w:rPr>
                <w:rFonts w:asciiTheme="majorHAnsi" w:hAnsiTheme="majorHAnsi"/>
                <w:color w:val="auto"/>
                <w:sz w:val="24"/>
                <w:szCs w:val="24"/>
              </w:rPr>
              <w:t>Relating this case study into the construction industry, this case shows how</w:t>
            </w:r>
            <w:r w:rsidR="000D4AB7">
              <w:rPr>
                <w:rFonts w:asciiTheme="majorHAnsi" w:hAnsiTheme="majorHAnsi"/>
                <w:color w:val="auto"/>
                <w:sz w:val="24"/>
                <w:szCs w:val="24"/>
              </w:rPr>
              <w:t xml:space="preserve"> manufacturers have a duty to the c</w:t>
            </w:r>
            <w:r w:rsidR="00C42307">
              <w:rPr>
                <w:rFonts w:asciiTheme="majorHAnsi" w:hAnsiTheme="majorHAnsi"/>
                <w:color w:val="auto"/>
                <w:sz w:val="24"/>
                <w:szCs w:val="24"/>
              </w:rPr>
              <w:t>onsumer to produce the final product in good order. For example, a couple who ha</w:t>
            </w:r>
            <w:r w:rsidR="00D1103B">
              <w:rPr>
                <w:rFonts w:asciiTheme="majorHAnsi" w:hAnsiTheme="majorHAnsi"/>
                <w:color w:val="auto"/>
                <w:sz w:val="24"/>
                <w:szCs w:val="24"/>
              </w:rPr>
              <w:t>s</w:t>
            </w:r>
            <w:r w:rsidR="00C42307">
              <w:rPr>
                <w:rFonts w:asciiTheme="majorHAnsi" w:hAnsiTheme="majorHAnsi"/>
                <w:color w:val="auto"/>
                <w:sz w:val="24"/>
                <w:szCs w:val="24"/>
              </w:rPr>
              <w:t xml:space="preserve"> just bought their first </w:t>
            </w:r>
            <w:r w:rsidR="00175692">
              <w:rPr>
                <w:rFonts w:asciiTheme="majorHAnsi" w:hAnsiTheme="majorHAnsi"/>
                <w:color w:val="auto"/>
                <w:sz w:val="24"/>
                <w:szCs w:val="24"/>
              </w:rPr>
              <w:t xml:space="preserve">home together have to have a new kitchen fitted, they decide to </w:t>
            </w:r>
            <w:r w:rsidR="008339A8">
              <w:rPr>
                <w:rFonts w:asciiTheme="majorHAnsi" w:hAnsiTheme="majorHAnsi"/>
                <w:color w:val="auto"/>
                <w:sz w:val="24"/>
                <w:szCs w:val="24"/>
              </w:rPr>
              <w:t xml:space="preserve">go to their local B&amp;Q after receiving great reviews </w:t>
            </w:r>
            <w:r w:rsidR="005F00B4">
              <w:rPr>
                <w:rFonts w:asciiTheme="majorHAnsi" w:hAnsiTheme="majorHAnsi"/>
                <w:color w:val="auto"/>
                <w:sz w:val="24"/>
                <w:szCs w:val="24"/>
              </w:rPr>
              <w:t>about their kitchen installation process</w:t>
            </w:r>
            <w:r w:rsidR="006129F3">
              <w:rPr>
                <w:rFonts w:asciiTheme="majorHAnsi" w:hAnsiTheme="majorHAnsi"/>
                <w:color w:val="auto"/>
                <w:sz w:val="24"/>
                <w:szCs w:val="24"/>
              </w:rPr>
              <w:t xml:space="preserve"> and </w:t>
            </w:r>
            <w:r w:rsidR="005F00B4">
              <w:rPr>
                <w:rFonts w:asciiTheme="majorHAnsi" w:hAnsiTheme="majorHAnsi"/>
                <w:color w:val="auto"/>
                <w:sz w:val="24"/>
                <w:szCs w:val="24"/>
              </w:rPr>
              <w:t>they decide to order their first kitchen</w:t>
            </w:r>
            <w:r w:rsidR="006129F3">
              <w:rPr>
                <w:rFonts w:asciiTheme="majorHAnsi" w:hAnsiTheme="majorHAnsi"/>
                <w:color w:val="auto"/>
                <w:sz w:val="24"/>
                <w:szCs w:val="24"/>
              </w:rPr>
              <w:t xml:space="preserve">. </w:t>
            </w:r>
            <w:r w:rsidR="005F00B4">
              <w:rPr>
                <w:rFonts w:asciiTheme="majorHAnsi" w:hAnsiTheme="majorHAnsi"/>
                <w:color w:val="auto"/>
                <w:sz w:val="24"/>
                <w:szCs w:val="24"/>
              </w:rPr>
              <w:t xml:space="preserve">They agree a date with </w:t>
            </w:r>
            <w:r w:rsidR="008B3919">
              <w:rPr>
                <w:rFonts w:asciiTheme="majorHAnsi" w:hAnsiTheme="majorHAnsi"/>
                <w:color w:val="auto"/>
                <w:sz w:val="24"/>
                <w:szCs w:val="24"/>
              </w:rPr>
              <w:t xml:space="preserve">B&amp;Q of </w:t>
            </w:r>
            <w:r w:rsidR="006129F3">
              <w:rPr>
                <w:rFonts w:asciiTheme="majorHAnsi" w:hAnsiTheme="majorHAnsi"/>
                <w:color w:val="auto"/>
                <w:sz w:val="24"/>
                <w:szCs w:val="24"/>
              </w:rPr>
              <w:t>A</w:t>
            </w:r>
            <w:r w:rsidR="00C33E84">
              <w:rPr>
                <w:rFonts w:asciiTheme="majorHAnsi" w:hAnsiTheme="majorHAnsi"/>
                <w:color w:val="auto"/>
                <w:sz w:val="24"/>
                <w:szCs w:val="24"/>
              </w:rPr>
              <w:t>pril</w:t>
            </w:r>
            <w:r w:rsidR="008B3919">
              <w:rPr>
                <w:rFonts w:asciiTheme="majorHAnsi" w:hAnsiTheme="majorHAnsi"/>
                <w:color w:val="auto"/>
                <w:sz w:val="24"/>
                <w:szCs w:val="24"/>
              </w:rPr>
              <w:t xml:space="preserve"> 1, </w:t>
            </w:r>
            <w:proofErr w:type="gramStart"/>
            <w:r w:rsidR="008B3919">
              <w:rPr>
                <w:rFonts w:asciiTheme="majorHAnsi" w:hAnsiTheme="majorHAnsi"/>
                <w:color w:val="auto"/>
                <w:sz w:val="24"/>
                <w:szCs w:val="24"/>
              </w:rPr>
              <w:t>2023</w:t>
            </w:r>
            <w:proofErr w:type="gramEnd"/>
            <w:r w:rsidR="00ED4397">
              <w:rPr>
                <w:rFonts w:asciiTheme="majorHAnsi" w:hAnsiTheme="majorHAnsi"/>
                <w:color w:val="auto"/>
                <w:sz w:val="24"/>
                <w:szCs w:val="24"/>
              </w:rPr>
              <w:t xml:space="preserve"> for the kitchen to </w:t>
            </w:r>
            <w:r w:rsidR="00C33E84">
              <w:rPr>
                <w:rFonts w:asciiTheme="majorHAnsi" w:hAnsiTheme="majorHAnsi"/>
                <w:color w:val="auto"/>
                <w:sz w:val="24"/>
                <w:szCs w:val="24"/>
              </w:rPr>
              <w:t>be fitted</w:t>
            </w:r>
            <w:r w:rsidR="00ED4397">
              <w:rPr>
                <w:rFonts w:asciiTheme="majorHAnsi" w:hAnsiTheme="majorHAnsi"/>
                <w:color w:val="auto"/>
                <w:sz w:val="24"/>
                <w:szCs w:val="24"/>
              </w:rPr>
              <w:t xml:space="preserve"> and advised it can take three to five working days for th</w:t>
            </w:r>
            <w:r w:rsidR="009A6662">
              <w:rPr>
                <w:rFonts w:asciiTheme="majorHAnsi" w:hAnsiTheme="majorHAnsi"/>
                <w:color w:val="auto"/>
                <w:sz w:val="24"/>
                <w:szCs w:val="24"/>
              </w:rPr>
              <w:t xml:space="preserve">is to be completed. </w:t>
            </w:r>
            <w:r w:rsidR="00C33E84">
              <w:rPr>
                <w:rFonts w:asciiTheme="majorHAnsi" w:hAnsiTheme="majorHAnsi"/>
                <w:color w:val="auto"/>
                <w:sz w:val="24"/>
                <w:szCs w:val="24"/>
              </w:rPr>
              <w:t>After having their consultation in store, they pay for their new kitchen and sign a contract.</w:t>
            </w:r>
            <w:r w:rsidR="00EF5B7C">
              <w:rPr>
                <w:rFonts w:asciiTheme="majorHAnsi" w:hAnsiTheme="majorHAnsi"/>
                <w:color w:val="auto"/>
                <w:sz w:val="24"/>
                <w:szCs w:val="24"/>
              </w:rPr>
              <w:t xml:space="preserve"> </w:t>
            </w:r>
          </w:p>
          <w:p w14:paraId="2565A564" w14:textId="74B1A68F" w:rsidR="004446D2" w:rsidRPr="004446D2" w:rsidRDefault="00EF5B7C" w:rsidP="004446D2">
            <w:pPr>
              <w:pStyle w:val="Content"/>
              <w:framePr w:hSpace="0" w:wrap="auto" w:vAnchor="margin" w:hAnchor="text" w:yAlign="inline"/>
              <w:rPr>
                <w:rFonts w:asciiTheme="majorHAnsi" w:hAnsiTheme="majorHAnsi"/>
                <w:color w:val="auto"/>
                <w:sz w:val="24"/>
                <w:szCs w:val="24"/>
              </w:rPr>
            </w:pPr>
            <w:r>
              <w:rPr>
                <w:rFonts w:asciiTheme="majorHAnsi" w:hAnsiTheme="majorHAnsi"/>
                <w:color w:val="auto"/>
                <w:sz w:val="24"/>
                <w:szCs w:val="24"/>
              </w:rPr>
              <w:t xml:space="preserve">April 1, </w:t>
            </w:r>
            <w:proofErr w:type="gramStart"/>
            <w:r>
              <w:rPr>
                <w:rFonts w:asciiTheme="majorHAnsi" w:hAnsiTheme="majorHAnsi"/>
                <w:color w:val="auto"/>
                <w:sz w:val="24"/>
                <w:szCs w:val="24"/>
              </w:rPr>
              <w:t>2023</w:t>
            </w:r>
            <w:proofErr w:type="gramEnd"/>
            <w:r>
              <w:rPr>
                <w:rFonts w:asciiTheme="majorHAnsi" w:hAnsiTheme="majorHAnsi"/>
                <w:color w:val="auto"/>
                <w:sz w:val="24"/>
                <w:szCs w:val="24"/>
              </w:rPr>
              <w:t xml:space="preserve"> comes around and they receive their kitchen</w:t>
            </w:r>
            <w:r w:rsidR="00344AE4">
              <w:rPr>
                <w:rFonts w:asciiTheme="majorHAnsi" w:hAnsiTheme="majorHAnsi"/>
                <w:color w:val="auto"/>
                <w:sz w:val="24"/>
                <w:szCs w:val="24"/>
              </w:rPr>
              <w:t xml:space="preserve"> first thi</w:t>
            </w:r>
            <w:r w:rsidR="000B122F">
              <w:rPr>
                <w:rFonts w:asciiTheme="majorHAnsi" w:hAnsiTheme="majorHAnsi"/>
                <w:color w:val="auto"/>
                <w:sz w:val="24"/>
                <w:szCs w:val="24"/>
              </w:rPr>
              <w:t>ng</w:t>
            </w:r>
            <w:r w:rsidR="00344AE4">
              <w:rPr>
                <w:rFonts w:asciiTheme="majorHAnsi" w:hAnsiTheme="majorHAnsi"/>
                <w:color w:val="auto"/>
                <w:sz w:val="24"/>
                <w:szCs w:val="24"/>
              </w:rPr>
              <w:t xml:space="preserve"> in the morning, the contractors arrive and start unpacking the kitchen ca</w:t>
            </w:r>
            <w:r w:rsidR="00FF3D78">
              <w:rPr>
                <w:rFonts w:asciiTheme="majorHAnsi" w:hAnsiTheme="majorHAnsi"/>
                <w:color w:val="auto"/>
                <w:sz w:val="24"/>
                <w:szCs w:val="24"/>
              </w:rPr>
              <w:t xml:space="preserve">binets when the owner realizes </w:t>
            </w:r>
            <w:r w:rsidR="009003BA">
              <w:rPr>
                <w:rFonts w:asciiTheme="majorHAnsi" w:hAnsiTheme="majorHAnsi"/>
                <w:color w:val="auto"/>
                <w:sz w:val="24"/>
                <w:szCs w:val="24"/>
              </w:rPr>
              <w:t>it’s</w:t>
            </w:r>
            <w:r w:rsidR="00FF3D78">
              <w:rPr>
                <w:rFonts w:asciiTheme="majorHAnsi" w:hAnsiTheme="majorHAnsi"/>
                <w:color w:val="auto"/>
                <w:sz w:val="24"/>
                <w:szCs w:val="24"/>
              </w:rPr>
              <w:t xml:space="preserve"> </w:t>
            </w:r>
            <w:r w:rsidR="009003BA">
              <w:rPr>
                <w:rFonts w:asciiTheme="majorHAnsi" w:hAnsiTheme="majorHAnsi"/>
                <w:color w:val="auto"/>
                <w:sz w:val="24"/>
                <w:szCs w:val="24"/>
              </w:rPr>
              <w:t xml:space="preserve">not the right </w:t>
            </w:r>
            <w:proofErr w:type="spellStart"/>
            <w:r w:rsidR="009003BA">
              <w:rPr>
                <w:rFonts w:asciiTheme="majorHAnsi" w:hAnsiTheme="majorHAnsi"/>
                <w:color w:val="auto"/>
                <w:sz w:val="24"/>
                <w:szCs w:val="24"/>
              </w:rPr>
              <w:t>colour</w:t>
            </w:r>
            <w:proofErr w:type="spellEnd"/>
            <w:r w:rsidR="000B122F">
              <w:rPr>
                <w:rFonts w:asciiTheme="majorHAnsi" w:hAnsiTheme="majorHAnsi"/>
                <w:color w:val="auto"/>
                <w:sz w:val="24"/>
                <w:szCs w:val="24"/>
              </w:rPr>
              <w:t xml:space="preserve">. The owners </w:t>
            </w:r>
            <w:r w:rsidR="000856C8">
              <w:rPr>
                <w:rFonts w:asciiTheme="majorHAnsi" w:hAnsiTheme="majorHAnsi"/>
                <w:color w:val="auto"/>
                <w:sz w:val="24"/>
                <w:szCs w:val="24"/>
              </w:rPr>
              <w:t>ask the contractors to stop working and they call the manufacturers</w:t>
            </w:r>
            <w:r w:rsidR="00AD2163">
              <w:rPr>
                <w:rFonts w:asciiTheme="majorHAnsi" w:hAnsiTheme="majorHAnsi"/>
                <w:color w:val="auto"/>
                <w:sz w:val="24"/>
                <w:szCs w:val="24"/>
              </w:rPr>
              <w:t>.</w:t>
            </w:r>
            <w:r w:rsidR="000856C8">
              <w:rPr>
                <w:rFonts w:asciiTheme="majorHAnsi" w:hAnsiTheme="majorHAnsi"/>
                <w:color w:val="auto"/>
                <w:sz w:val="24"/>
                <w:szCs w:val="24"/>
              </w:rPr>
              <w:t xml:space="preserve"> </w:t>
            </w:r>
            <w:r w:rsidR="00AD2163">
              <w:rPr>
                <w:rFonts w:asciiTheme="majorHAnsi" w:hAnsiTheme="majorHAnsi"/>
                <w:color w:val="auto"/>
                <w:sz w:val="24"/>
                <w:szCs w:val="24"/>
              </w:rPr>
              <w:t>T</w:t>
            </w:r>
            <w:r w:rsidR="000856C8">
              <w:rPr>
                <w:rFonts w:asciiTheme="majorHAnsi" w:hAnsiTheme="majorHAnsi"/>
                <w:color w:val="auto"/>
                <w:sz w:val="24"/>
                <w:szCs w:val="24"/>
              </w:rPr>
              <w:t xml:space="preserve">he </w:t>
            </w:r>
            <w:r w:rsidR="00AD2163">
              <w:rPr>
                <w:rFonts w:asciiTheme="majorHAnsi" w:hAnsiTheme="majorHAnsi"/>
                <w:color w:val="auto"/>
                <w:sz w:val="24"/>
                <w:szCs w:val="24"/>
              </w:rPr>
              <w:t>manufacturers apologize for</w:t>
            </w:r>
            <w:r w:rsidR="00A35692">
              <w:rPr>
                <w:rFonts w:asciiTheme="majorHAnsi" w:hAnsiTheme="majorHAnsi"/>
                <w:color w:val="auto"/>
                <w:sz w:val="24"/>
                <w:szCs w:val="24"/>
              </w:rPr>
              <w:t xml:space="preserve"> the misunderstanding and advise that their correct kitchen suite will be delivered in two to three weeks. The owners </w:t>
            </w:r>
            <w:r w:rsidR="00333146">
              <w:rPr>
                <w:rFonts w:asciiTheme="majorHAnsi" w:hAnsiTheme="majorHAnsi"/>
                <w:color w:val="auto"/>
                <w:sz w:val="24"/>
                <w:szCs w:val="24"/>
              </w:rPr>
              <w:t>decided</w:t>
            </w:r>
            <w:r w:rsidR="00A35692">
              <w:rPr>
                <w:rFonts w:asciiTheme="majorHAnsi" w:hAnsiTheme="majorHAnsi"/>
                <w:color w:val="auto"/>
                <w:sz w:val="24"/>
                <w:szCs w:val="24"/>
              </w:rPr>
              <w:t xml:space="preserve"> to then</w:t>
            </w:r>
            <w:r w:rsidR="009738D3">
              <w:rPr>
                <w:rFonts w:asciiTheme="majorHAnsi" w:hAnsiTheme="majorHAnsi"/>
                <w:color w:val="auto"/>
                <w:sz w:val="24"/>
                <w:szCs w:val="24"/>
              </w:rPr>
              <w:t xml:space="preserve"> seek further into the complaints process </w:t>
            </w:r>
            <w:r w:rsidR="00097294">
              <w:rPr>
                <w:rFonts w:asciiTheme="majorHAnsi" w:hAnsiTheme="majorHAnsi"/>
                <w:color w:val="auto"/>
                <w:sz w:val="24"/>
                <w:szCs w:val="24"/>
              </w:rPr>
              <w:t>as the</w:t>
            </w:r>
            <w:r w:rsidR="0058357C">
              <w:rPr>
                <w:rFonts w:asciiTheme="majorHAnsi" w:hAnsiTheme="majorHAnsi"/>
                <w:color w:val="auto"/>
                <w:sz w:val="24"/>
                <w:szCs w:val="24"/>
              </w:rPr>
              <w:t>y now have further delays in their house renovations</w:t>
            </w:r>
            <w:r w:rsidR="00AD2163">
              <w:rPr>
                <w:rFonts w:asciiTheme="majorHAnsi" w:hAnsiTheme="majorHAnsi"/>
                <w:color w:val="auto"/>
                <w:sz w:val="24"/>
                <w:szCs w:val="24"/>
              </w:rPr>
              <w:t xml:space="preserve"> but were being ignored by the </w:t>
            </w:r>
            <w:r w:rsidR="006E352F">
              <w:rPr>
                <w:rFonts w:asciiTheme="majorHAnsi" w:hAnsiTheme="majorHAnsi"/>
                <w:color w:val="auto"/>
                <w:sz w:val="24"/>
                <w:szCs w:val="24"/>
              </w:rPr>
              <w:t>complaints department after putting their first complaint to them. They dec</w:t>
            </w:r>
            <w:r w:rsidR="00333146">
              <w:rPr>
                <w:rFonts w:asciiTheme="majorHAnsi" w:hAnsiTheme="majorHAnsi"/>
                <w:color w:val="auto"/>
                <w:sz w:val="24"/>
                <w:szCs w:val="24"/>
              </w:rPr>
              <w:t xml:space="preserve">ide to go through to a </w:t>
            </w:r>
            <w:r w:rsidR="00490C23">
              <w:rPr>
                <w:rFonts w:asciiTheme="majorHAnsi" w:hAnsiTheme="majorHAnsi"/>
                <w:color w:val="auto"/>
                <w:sz w:val="24"/>
                <w:szCs w:val="24"/>
              </w:rPr>
              <w:t xml:space="preserve">small claims court to </w:t>
            </w:r>
            <w:r w:rsidR="0049495F">
              <w:rPr>
                <w:rFonts w:asciiTheme="majorHAnsi" w:hAnsiTheme="majorHAnsi"/>
                <w:color w:val="auto"/>
                <w:sz w:val="24"/>
                <w:szCs w:val="24"/>
              </w:rPr>
              <w:t>settle the dispute</w:t>
            </w:r>
            <w:r w:rsidR="00142C65">
              <w:rPr>
                <w:rFonts w:asciiTheme="majorHAnsi" w:hAnsiTheme="majorHAnsi"/>
                <w:color w:val="auto"/>
                <w:sz w:val="24"/>
                <w:szCs w:val="24"/>
              </w:rPr>
              <w:t>.</w:t>
            </w:r>
            <w:r w:rsidR="000044B7">
              <w:rPr>
                <w:rFonts w:asciiTheme="majorHAnsi" w:hAnsiTheme="majorHAnsi"/>
                <w:color w:val="auto"/>
                <w:sz w:val="24"/>
                <w:szCs w:val="24"/>
              </w:rPr>
              <w:t xml:space="preserve"> </w:t>
            </w:r>
            <w:r w:rsidR="005C0E9F">
              <w:t xml:space="preserve"> </w:t>
            </w:r>
            <w:r w:rsidR="005C0E9F" w:rsidRPr="005C0E9F">
              <w:rPr>
                <w:rFonts w:asciiTheme="majorHAnsi" w:hAnsiTheme="majorHAnsi"/>
                <w:color w:val="auto"/>
                <w:sz w:val="24"/>
                <w:szCs w:val="24"/>
              </w:rPr>
              <w:t>This demonstrates that it is the responsibility of manufacturers or construction companies to send goods in good condition to customers.</w:t>
            </w:r>
            <w:r w:rsidR="005C0E9F">
              <w:rPr>
                <w:rFonts w:asciiTheme="majorHAnsi" w:hAnsiTheme="majorHAnsi"/>
                <w:color w:val="auto"/>
                <w:sz w:val="24"/>
                <w:szCs w:val="24"/>
              </w:rPr>
              <w:t xml:space="preserve"> </w:t>
            </w:r>
            <w:r w:rsidR="00FC2E29">
              <w:rPr>
                <w:rFonts w:asciiTheme="majorHAnsi" w:hAnsiTheme="majorHAnsi"/>
                <w:color w:val="auto"/>
                <w:sz w:val="24"/>
                <w:szCs w:val="24"/>
              </w:rPr>
              <w:t>Consumers</w:t>
            </w:r>
            <w:r w:rsidR="00983ACC">
              <w:rPr>
                <w:rFonts w:asciiTheme="majorHAnsi" w:hAnsiTheme="majorHAnsi"/>
                <w:color w:val="auto"/>
                <w:sz w:val="24"/>
                <w:szCs w:val="24"/>
              </w:rPr>
              <w:t xml:space="preserve"> are </w:t>
            </w:r>
            <w:r w:rsidR="00E56E60">
              <w:rPr>
                <w:rFonts w:asciiTheme="majorHAnsi" w:hAnsiTheme="majorHAnsi"/>
                <w:color w:val="auto"/>
                <w:sz w:val="24"/>
                <w:szCs w:val="24"/>
              </w:rPr>
              <w:t>also</w:t>
            </w:r>
            <w:r w:rsidR="00FC2E29">
              <w:rPr>
                <w:rFonts w:asciiTheme="majorHAnsi" w:hAnsiTheme="majorHAnsi"/>
                <w:color w:val="auto"/>
                <w:sz w:val="24"/>
                <w:szCs w:val="24"/>
              </w:rPr>
              <w:t xml:space="preserve"> protected under the Consumer Rights Act 2015</w:t>
            </w:r>
            <w:r w:rsidR="004446D2">
              <w:rPr>
                <w:rFonts w:asciiTheme="majorHAnsi" w:hAnsiTheme="majorHAnsi"/>
                <w:color w:val="auto"/>
                <w:sz w:val="24"/>
                <w:szCs w:val="24"/>
              </w:rPr>
              <w:t xml:space="preserve"> (JONES 2013</w:t>
            </w:r>
            <w:r w:rsidR="00BE3FA7">
              <w:rPr>
                <w:rFonts w:asciiTheme="majorHAnsi" w:hAnsiTheme="majorHAnsi"/>
                <w:color w:val="auto"/>
                <w:sz w:val="24"/>
                <w:szCs w:val="24"/>
              </w:rPr>
              <w:t xml:space="preserve">; </w:t>
            </w:r>
            <w:r w:rsidR="004446D2">
              <w:rPr>
                <w:rFonts w:asciiTheme="majorHAnsi" w:hAnsiTheme="majorHAnsi"/>
                <w:color w:val="auto"/>
                <w:sz w:val="24"/>
                <w:szCs w:val="24"/>
              </w:rPr>
              <w:t>GOV 2015</w:t>
            </w:r>
            <w:r w:rsidR="00E115C2">
              <w:rPr>
                <w:rFonts w:asciiTheme="majorHAnsi" w:hAnsiTheme="majorHAnsi"/>
                <w:color w:val="auto"/>
                <w:sz w:val="24"/>
                <w:szCs w:val="24"/>
              </w:rPr>
              <w:t xml:space="preserve">; </w:t>
            </w:r>
            <w:r w:rsidR="00E56E60">
              <w:rPr>
                <w:rFonts w:asciiTheme="majorHAnsi" w:hAnsiTheme="majorHAnsi"/>
                <w:color w:val="auto"/>
                <w:sz w:val="24"/>
                <w:szCs w:val="24"/>
              </w:rPr>
              <w:t>Which? 2023</w:t>
            </w:r>
            <w:r w:rsidR="004446D2">
              <w:rPr>
                <w:rFonts w:asciiTheme="majorHAnsi" w:hAnsiTheme="majorHAnsi"/>
                <w:color w:val="auto"/>
                <w:sz w:val="24"/>
                <w:szCs w:val="24"/>
              </w:rPr>
              <w:t>).</w:t>
            </w:r>
          </w:p>
          <w:p w14:paraId="5B7668CC" w14:textId="77777777" w:rsidR="00FC2E29" w:rsidRDefault="00FC2E29" w:rsidP="00153FF6">
            <w:pPr>
              <w:pStyle w:val="Heading2"/>
              <w:spacing w:before="0"/>
              <w:rPr>
                <w:sz w:val="32"/>
                <w:szCs w:val="32"/>
              </w:rPr>
            </w:pPr>
          </w:p>
          <w:p w14:paraId="414AA3E9" w14:textId="77777777" w:rsidR="00FC2E29" w:rsidRDefault="00FC2E29" w:rsidP="00153FF6">
            <w:pPr>
              <w:pStyle w:val="Heading2"/>
              <w:spacing w:before="0"/>
              <w:rPr>
                <w:sz w:val="32"/>
                <w:szCs w:val="32"/>
              </w:rPr>
            </w:pPr>
          </w:p>
          <w:p w14:paraId="137AA69F" w14:textId="689F45EE" w:rsidR="00293DA9" w:rsidRPr="00855482" w:rsidRDefault="00293DA9" w:rsidP="00153FF6">
            <w:pPr>
              <w:pStyle w:val="Heading2"/>
              <w:spacing w:before="0"/>
              <w:rPr>
                <w:sz w:val="32"/>
                <w:szCs w:val="32"/>
                <w:u w:val="single"/>
              </w:rPr>
            </w:pPr>
            <w:bookmarkStart w:id="4" w:name="_Toc129796511"/>
            <w:r w:rsidRPr="00855482">
              <w:rPr>
                <w:sz w:val="32"/>
                <w:szCs w:val="32"/>
                <w:u w:val="single"/>
              </w:rPr>
              <w:t xml:space="preserve">Vinci Construction UK Ltd V </w:t>
            </w:r>
            <w:proofErr w:type="spellStart"/>
            <w:r w:rsidRPr="00855482">
              <w:rPr>
                <w:sz w:val="32"/>
                <w:szCs w:val="32"/>
                <w:u w:val="single"/>
              </w:rPr>
              <w:t>Beumer</w:t>
            </w:r>
            <w:proofErr w:type="spellEnd"/>
            <w:r w:rsidRPr="00855482">
              <w:rPr>
                <w:sz w:val="32"/>
                <w:szCs w:val="32"/>
                <w:u w:val="single"/>
              </w:rPr>
              <w:t xml:space="preserve"> Group UK Ltd – 2018</w:t>
            </w:r>
            <w:bookmarkEnd w:id="4"/>
            <w:r w:rsidRPr="00855482">
              <w:rPr>
                <w:sz w:val="32"/>
                <w:szCs w:val="32"/>
                <w:u w:val="single"/>
              </w:rPr>
              <w:t xml:space="preserve"> </w:t>
            </w:r>
          </w:p>
          <w:p w14:paraId="6356D72F" w14:textId="77777777" w:rsidR="00293DA9" w:rsidRDefault="00293DA9" w:rsidP="00153FF6"/>
          <w:p w14:paraId="158A1379" w14:textId="77777777" w:rsidR="00293DA9" w:rsidRDefault="00293DA9" w:rsidP="00153FF6">
            <w:r>
              <w:t xml:space="preserve">Vinci Construction UK Ltd subcontracted </w:t>
            </w:r>
            <w:proofErr w:type="spellStart"/>
            <w:r>
              <w:t>Beumer</w:t>
            </w:r>
            <w:proofErr w:type="spellEnd"/>
            <w:r>
              <w:t xml:space="preserve"> Group UK Ltd to carry out work on the south terminal baggage handling system at Gatwick Airport. As time went on, </w:t>
            </w:r>
            <w:proofErr w:type="spellStart"/>
            <w:r>
              <w:t>Beumer</w:t>
            </w:r>
            <w:proofErr w:type="spellEnd"/>
            <w:r>
              <w:t xml:space="preserve"> Group advised that there would be delays in proceeding to complete the work by the agreed completion dates. As a result of the delay, Vinci Construction decided to collect the 9.7 million in liquidated damages agreed in the contract. </w:t>
            </w:r>
            <w:proofErr w:type="spellStart"/>
            <w:r>
              <w:t>Beumer</w:t>
            </w:r>
            <w:proofErr w:type="spellEnd"/>
            <w:r>
              <w:t xml:space="preserve"> however, disagreed with this and proceeded to take the matter to an adjudicator to settle the matter. This however wasn’t the first time that Vinci and </w:t>
            </w:r>
            <w:proofErr w:type="spellStart"/>
            <w:r>
              <w:t>Beumer</w:t>
            </w:r>
            <w:proofErr w:type="spellEnd"/>
            <w:r>
              <w:t xml:space="preserve"> had been through the adjudication process for previous reasons. </w:t>
            </w:r>
          </w:p>
          <w:p w14:paraId="6D19C3EC" w14:textId="77777777" w:rsidR="00293DA9" w:rsidRDefault="00293DA9" w:rsidP="00153FF6">
            <w:r>
              <w:t xml:space="preserve">Because the Subcontractors could not complete the works agreed on the original dates from to two different sections in their NEC3 contract, Vinci Construction decided to collect the liquidated damages, but </w:t>
            </w:r>
            <w:proofErr w:type="spellStart"/>
            <w:r>
              <w:t>Beumer</w:t>
            </w:r>
            <w:proofErr w:type="spellEnd"/>
            <w:r>
              <w:t xml:space="preserve"> protested this due to the unclear specification of which delays were covered in both sections. Therefore, arguing that this claim should be invalid because of the uncertainty. Initially, the adjudicator favoured with </w:t>
            </w:r>
            <w:proofErr w:type="spellStart"/>
            <w:r>
              <w:t>Beumer</w:t>
            </w:r>
            <w:proofErr w:type="spellEnd"/>
            <w:r>
              <w:t xml:space="preserve"> claiming that because of the uncertainty it was ‘unenforceable’. </w:t>
            </w:r>
          </w:p>
          <w:p w14:paraId="107E3311" w14:textId="77777777" w:rsidR="00293DA9" w:rsidRDefault="00293DA9" w:rsidP="00153FF6">
            <w:r>
              <w:t xml:space="preserve">Vinci disagreed with the outcome from the adjudication process and decided to seek a further declaratory relief from the court on the matter. Declaratory relief comes in if two parties arguing a dispute cannot come to an agreement and ask the higher court for their opinion through Part eight in civil proceedings, whether this be meanings in a contract or simply what a contract requires etc. In this case, the court decided to favour with Vinci on this matter due to the evidence brought to them from O’Farrell that, both parties had distinctly arranged for the works carried out to be divided into several sections. They had also discussed and settled on completion dates for each section which the liquidated damages were detailed on each section as well. This was produced as motivation for the sub-contractor </w:t>
            </w:r>
            <w:proofErr w:type="spellStart"/>
            <w:r>
              <w:t>Beumer</w:t>
            </w:r>
            <w:proofErr w:type="spellEnd"/>
            <w:r>
              <w:t xml:space="preserve"> to work punctually. </w:t>
            </w:r>
          </w:p>
          <w:p w14:paraId="6036B5C9" w14:textId="77777777" w:rsidR="00293DA9" w:rsidRDefault="00293DA9" w:rsidP="00153FF6">
            <w:r>
              <w:t>As a result of this, Vinci had diminished the original decision of the adjudicator.</w:t>
            </w:r>
          </w:p>
          <w:p w14:paraId="2DE8C300" w14:textId="77777777" w:rsidR="00293DA9" w:rsidRDefault="00293DA9" w:rsidP="00153FF6">
            <w:r>
              <w:t xml:space="preserve">The adjudication process is a form of alternative dispute resolution specifically for construction. This can take less time overall but would have seen additional costs arise for both parties, even more so by appealing further to the courts in this case. The original adjudication process has several stages that need to be done before a decision can be made. </w:t>
            </w:r>
          </w:p>
          <w:p w14:paraId="558DAED1" w14:textId="77777777" w:rsidR="00293DA9" w:rsidRDefault="00293DA9" w:rsidP="00153FF6">
            <w:r>
              <w:t xml:space="preserve">Firstly, you must send out a Commencement or Notice of Adjudication to notify the other party that you are going to start the adjudication process. Secondly, you must appoint an adjudicator. After this, the referral then needs to be sent out and once received, the adjudicator would then organise with yourself and the opposing party timetables for further communications on the matter. Whilst timetabling issues may occur depending on schedules, the opposing party must respond. Once the response has reached the adjudicator, a decision must be made by them. </w:t>
            </w:r>
          </w:p>
          <w:p w14:paraId="131C2DA9" w14:textId="0FFCE4D7" w:rsidR="00423454" w:rsidRDefault="00293DA9" w:rsidP="0032597E">
            <w:r>
              <w:t>It can take up to twenty-eight days for this process to complete once the referral has been submitted to the adjudicator. The adjudicators decision must be made within those twenty-eight days, although this still can take longer depending on agreements with both parties. Examples of delays can include, how quickly parties respond to each other and timetables. However, the additional costs to cover the adjudicators fees and expenses would need to be discussed, this can create further delay until all is agreed.</w:t>
            </w:r>
          </w:p>
          <w:p w14:paraId="042AFDF1" w14:textId="77777777" w:rsidR="0032597E" w:rsidRDefault="0032597E" w:rsidP="0032597E"/>
          <w:p w14:paraId="002B724A" w14:textId="3EDC24B9" w:rsidR="0032597E" w:rsidRPr="0032597E" w:rsidRDefault="0032597E" w:rsidP="0032597E">
            <w:r>
              <w:t xml:space="preserve">(FENWICK 2017) </w:t>
            </w:r>
          </w:p>
          <w:p w14:paraId="7E5D3E21" w14:textId="77777777" w:rsidR="00423454" w:rsidRDefault="00423454" w:rsidP="00153FF6">
            <w:pPr>
              <w:pStyle w:val="Heading2"/>
              <w:spacing w:before="0"/>
              <w:rPr>
                <w:sz w:val="32"/>
                <w:szCs w:val="32"/>
              </w:rPr>
            </w:pPr>
          </w:p>
          <w:p w14:paraId="68C61576" w14:textId="77777777" w:rsidR="00423454" w:rsidRDefault="00423454" w:rsidP="00153FF6">
            <w:pPr>
              <w:pStyle w:val="Heading2"/>
              <w:spacing w:before="0"/>
              <w:rPr>
                <w:sz w:val="32"/>
                <w:szCs w:val="32"/>
              </w:rPr>
            </w:pPr>
          </w:p>
          <w:p w14:paraId="30423253" w14:textId="124B1CB3" w:rsidR="00293DA9" w:rsidRPr="00855482" w:rsidRDefault="00153FF6" w:rsidP="00F25838">
            <w:pPr>
              <w:pStyle w:val="Heading2"/>
              <w:spacing w:before="0"/>
              <w:rPr>
                <w:sz w:val="32"/>
                <w:szCs w:val="32"/>
                <w:u w:val="single"/>
              </w:rPr>
            </w:pPr>
            <w:bookmarkStart w:id="5" w:name="_Toc129796512"/>
            <w:r w:rsidRPr="00855482">
              <w:rPr>
                <w:sz w:val="32"/>
                <w:szCs w:val="32"/>
                <w:u w:val="single"/>
              </w:rPr>
              <w:t>Conclusion</w:t>
            </w:r>
            <w:bookmarkEnd w:id="5"/>
            <w:r w:rsidRPr="00855482">
              <w:rPr>
                <w:sz w:val="32"/>
                <w:szCs w:val="32"/>
                <w:u w:val="single"/>
              </w:rPr>
              <w:t xml:space="preserve"> </w:t>
            </w:r>
          </w:p>
          <w:p w14:paraId="0D89286B" w14:textId="7D534197" w:rsidR="00293DA9" w:rsidRDefault="008D26D3" w:rsidP="00153FF6">
            <w:pPr>
              <w:pStyle w:val="NormalWeb"/>
              <w:spacing w:before="0" w:beforeAutospacing="0" w:after="0" w:afterAutospacing="0" w:line="360" w:lineRule="atLeast"/>
              <w:rPr>
                <w:rFonts w:asciiTheme="minorHAnsi" w:hAnsiTheme="minorHAnsi" w:cstheme="minorHAnsi"/>
              </w:rPr>
            </w:pPr>
            <w:r w:rsidRPr="008D26D3">
              <w:rPr>
                <w:rFonts w:asciiTheme="minorHAnsi" w:hAnsiTheme="minorHAnsi" w:cstheme="minorHAnsi"/>
              </w:rPr>
              <w:t>The significance of negligence as a tort is discussed in this study for the construction sector. This illustrates the importance of having established legal procedures for conflict resolution by using credible case studies and examples. This applies to both businesses and consumers. Even though each process has the potential to be more timely and economically efficient, taking into consideration potential delays helps us see this. To make sure problems are addressed effectively and that businesses can work together moving forward, it is worthwhile to go through these. Additionally, laws that must be followed guarantee the security of a person or people working in the building sector, ensuring the safety of all parties and demonstrating the efficiency of the construction process.</w:t>
            </w:r>
          </w:p>
          <w:p w14:paraId="2B986CF9" w14:textId="77777777" w:rsidR="008D26D3" w:rsidRDefault="008D26D3" w:rsidP="00153FF6">
            <w:pPr>
              <w:pStyle w:val="NormalWeb"/>
              <w:spacing w:before="0" w:beforeAutospacing="0" w:after="0" w:afterAutospacing="0" w:line="360" w:lineRule="atLeast"/>
              <w:rPr>
                <w:rFonts w:asciiTheme="minorHAnsi" w:hAnsiTheme="minorHAnsi" w:cstheme="minorHAnsi"/>
              </w:rPr>
            </w:pPr>
          </w:p>
          <w:p w14:paraId="5BEC97CA" w14:textId="1C5927ED" w:rsidR="00293DA9" w:rsidRPr="00855482" w:rsidRDefault="00153FF6" w:rsidP="00153FF6">
            <w:pPr>
              <w:pStyle w:val="Heading2"/>
              <w:spacing w:before="0"/>
              <w:rPr>
                <w:sz w:val="32"/>
                <w:szCs w:val="32"/>
                <w:u w:val="single"/>
              </w:rPr>
            </w:pPr>
            <w:bookmarkStart w:id="6" w:name="_Toc129796513"/>
            <w:r w:rsidRPr="00855482">
              <w:rPr>
                <w:sz w:val="32"/>
                <w:szCs w:val="32"/>
                <w:u w:val="single"/>
              </w:rPr>
              <w:t>Reference List</w:t>
            </w:r>
            <w:bookmarkEnd w:id="6"/>
            <w:r w:rsidRPr="00855482">
              <w:rPr>
                <w:sz w:val="32"/>
                <w:szCs w:val="32"/>
                <w:u w:val="single"/>
              </w:rPr>
              <w:t xml:space="preserve"> </w:t>
            </w:r>
            <w:r w:rsidR="00293DA9" w:rsidRPr="00855482">
              <w:rPr>
                <w:sz w:val="32"/>
                <w:szCs w:val="32"/>
                <w:u w:val="single"/>
              </w:rPr>
              <w:t xml:space="preserve"> </w:t>
            </w:r>
          </w:p>
          <w:p w14:paraId="51C2C7DC" w14:textId="77777777" w:rsidR="004C3AE6" w:rsidRDefault="004C3AE6" w:rsidP="00153FF6">
            <w:pPr>
              <w:pStyle w:val="NormalWeb"/>
              <w:spacing w:before="0" w:beforeAutospacing="0" w:after="0" w:afterAutospacing="0" w:line="360" w:lineRule="atLeast"/>
              <w:rPr>
                <w:rFonts w:asciiTheme="minorHAnsi" w:hAnsiTheme="minorHAnsi" w:cstheme="minorHAnsi"/>
              </w:rPr>
            </w:pPr>
          </w:p>
          <w:p w14:paraId="45BF8193" w14:textId="7E3D703A" w:rsidR="00293DA9" w:rsidRPr="0050174A" w:rsidRDefault="00293DA9" w:rsidP="00153FF6">
            <w:pPr>
              <w:pStyle w:val="NormalWeb"/>
              <w:spacing w:before="0" w:beforeAutospacing="0" w:after="0" w:afterAutospacing="0" w:line="360" w:lineRule="atLeast"/>
              <w:rPr>
                <w:rFonts w:asciiTheme="minorHAnsi" w:hAnsiTheme="minorHAnsi" w:cstheme="minorHAnsi"/>
                <w:color w:val="000000"/>
              </w:rPr>
            </w:pPr>
            <w:r w:rsidRPr="0050174A">
              <w:rPr>
                <w:rFonts w:asciiTheme="minorHAnsi" w:hAnsiTheme="minorHAnsi" w:cstheme="minorHAnsi"/>
              </w:rPr>
              <w:t>Legal</w:t>
            </w:r>
            <w:r w:rsidRPr="0050174A">
              <w:rPr>
                <w:rFonts w:asciiTheme="minorHAnsi" w:hAnsiTheme="minorHAnsi" w:cstheme="minorHAnsi"/>
                <w:color w:val="000000"/>
              </w:rPr>
              <w:t xml:space="preserve"> Dictionary (2019). </w:t>
            </w:r>
            <w:r w:rsidRPr="0050174A">
              <w:rPr>
                <w:rFonts w:asciiTheme="minorHAnsi" w:hAnsiTheme="minorHAnsi" w:cstheme="minorHAnsi"/>
                <w:i/>
                <w:iCs/>
                <w:color w:val="000000"/>
              </w:rPr>
              <w:t>Tort Law - Definition, Examples, Cases, Processes</w:t>
            </w:r>
            <w:r w:rsidRPr="0050174A">
              <w:rPr>
                <w:rFonts w:asciiTheme="minorHAnsi" w:hAnsiTheme="minorHAnsi" w:cstheme="minorHAnsi"/>
                <w:color w:val="000000"/>
              </w:rPr>
              <w:t xml:space="preserve">. [online] Legal Dictionary. Available at: </w:t>
            </w:r>
            <w:hyperlink r:id="rId8" w:history="1">
              <w:r w:rsidRPr="0050174A">
                <w:rPr>
                  <w:rStyle w:val="Hyperlink"/>
                  <w:rFonts w:asciiTheme="minorHAnsi" w:hAnsiTheme="minorHAnsi" w:cstheme="minorHAnsi"/>
                </w:rPr>
                <w:t>https://legaldictionary.net/tort-law/</w:t>
              </w:r>
            </w:hyperlink>
            <w:r w:rsidRPr="0050174A">
              <w:rPr>
                <w:rFonts w:asciiTheme="minorHAnsi" w:hAnsiTheme="minorHAnsi" w:cstheme="minorHAnsi"/>
                <w:color w:val="000000"/>
              </w:rPr>
              <w:t>.</w:t>
            </w:r>
          </w:p>
          <w:p w14:paraId="54E478B8" w14:textId="77777777" w:rsidR="004C3AE6" w:rsidRDefault="004C3AE6" w:rsidP="004C3AE6">
            <w:pPr>
              <w:pStyle w:val="NormalWeb"/>
              <w:spacing w:before="0" w:beforeAutospacing="0" w:after="0" w:afterAutospacing="0" w:line="360" w:lineRule="atLeast"/>
              <w:rPr>
                <w:rFonts w:ascii="Calibri" w:hAnsi="Calibri" w:cs="Calibri"/>
                <w:color w:val="000000"/>
                <w:sz w:val="27"/>
                <w:szCs w:val="27"/>
              </w:rPr>
            </w:pPr>
          </w:p>
          <w:p w14:paraId="49F93403" w14:textId="185F9A82" w:rsidR="00B7394A" w:rsidRPr="00E25A8C" w:rsidRDefault="00B7394A" w:rsidP="00B7394A">
            <w:pPr>
              <w:pStyle w:val="NormalWeb"/>
              <w:spacing w:before="0" w:beforeAutospacing="0" w:after="0" w:afterAutospacing="0" w:line="360" w:lineRule="atLeast"/>
              <w:rPr>
                <w:rFonts w:ascii="Calibri" w:hAnsi="Calibri" w:cs="Calibri"/>
                <w:color w:val="000000"/>
              </w:rPr>
            </w:pPr>
            <w:r w:rsidRPr="00E25A8C">
              <w:rPr>
                <w:rFonts w:ascii="Calibri" w:hAnsi="Calibri" w:cs="Calibri"/>
                <w:color w:val="000000"/>
              </w:rPr>
              <w:t xml:space="preserve">www.e-lawresources.co.uk. </w:t>
            </w:r>
            <w:r w:rsidR="00327F76">
              <w:rPr>
                <w:rFonts w:ascii="Calibri" w:hAnsi="Calibri" w:cs="Calibri"/>
                <w:color w:val="000000"/>
              </w:rPr>
              <w:t>(2023)</w:t>
            </w:r>
            <w:r w:rsidR="00C13240">
              <w:rPr>
                <w:rFonts w:ascii="Calibri" w:hAnsi="Calibri" w:cs="Calibri"/>
                <w:color w:val="000000"/>
              </w:rPr>
              <w:t>.</w:t>
            </w:r>
            <w:r w:rsidRPr="00E25A8C">
              <w:rPr>
                <w:rFonts w:ascii="Calibri" w:hAnsi="Calibri" w:cs="Calibri"/>
                <w:color w:val="000000"/>
              </w:rPr>
              <w:t> </w:t>
            </w:r>
            <w:r w:rsidRPr="00E25A8C">
              <w:rPr>
                <w:rFonts w:ascii="Calibri" w:hAnsi="Calibri" w:cs="Calibri"/>
                <w:i/>
                <w:iCs/>
                <w:color w:val="000000"/>
              </w:rPr>
              <w:t>Donoghue v Stevenson</w:t>
            </w:r>
            <w:r w:rsidRPr="00E25A8C">
              <w:rPr>
                <w:rFonts w:ascii="Calibri" w:hAnsi="Calibri" w:cs="Calibri"/>
                <w:color w:val="000000"/>
              </w:rPr>
              <w:t xml:space="preserve">. [online] Available at: </w:t>
            </w:r>
            <w:hyperlink r:id="rId9" w:history="1">
              <w:r w:rsidR="00E25A8C" w:rsidRPr="00E25A8C">
                <w:rPr>
                  <w:rStyle w:val="Hyperlink"/>
                  <w:rFonts w:ascii="Calibri" w:hAnsi="Calibri" w:cs="Calibri"/>
                </w:rPr>
                <w:t>https://www.e-lawresources.co.uk/Donoghue-v-Stevenson.php</w:t>
              </w:r>
            </w:hyperlink>
            <w:r w:rsidRPr="00E25A8C">
              <w:rPr>
                <w:rFonts w:ascii="Calibri" w:hAnsi="Calibri" w:cs="Calibri"/>
                <w:color w:val="000000"/>
              </w:rPr>
              <w:t>.</w:t>
            </w:r>
            <w:r w:rsidR="00E25A8C" w:rsidRPr="00E25A8C">
              <w:rPr>
                <w:rFonts w:ascii="Calibri" w:hAnsi="Calibri" w:cs="Calibri"/>
                <w:color w:val="000000"/>
              </w:rPr>
              <w:t xml:space="preserve"> </w:t>
            </w:r>
          </w:p>
          <w:p w14:paraId="0865DADA" w14:textId="77777777" w:rsidR="00D3365E" w:rsidRDefault="00D3365E" w:rsidP="004C3AE6">
            <w:pPr>
              <w:pStyle w:val="NormalWeb"/>
              <w:spacing w:before="0" w:beforeAutospacing="0" w:after="0" w:afterAutospacing="0" w:line="360" w:lineRule="atLeast"/>
              <w:rPr>
                <w:rFonts w:ascii="Calibri" w:hAnsi="Calibri" w:cs="Calibri"/>
                <w:color w:val="000000"/>
              </w:rPr>
            </w:pPr>
          </w:p>
          <w:p w14:paraId="5ECE98EA" w14:textId="384C166A" w:rsidR="004C3AE6" w:rsidRPr="004C3AE6" w:rsidRDefault="004C3AE6" w:rsidP="004C3AE6">
            <w:pPr>
              <w:pStyle w:val="NormalWeb"/>
              <w:spacing w:before="0" w:beforeAutospacing="0" w:after="0" w:afterAutospacing="0" w:line="360" w:lineRule="atLeast"/>
              <w:rPr>
                <w:rFonts w:ascii="Calibri" w:hAnsi="Calibri" w:cs="Calibri"/>
                <w:color w:val="000000"/>
              </w:rPr>
            </w:pPr>
            <w:r w:rsidRPr="004C3AE6">
              <w:rPr>
                <w:rFonts w:ascii="Calibri" w:hAnsi="Calibri" w:cs="Calibri"/>
                <w:color w:val="000000"/>
              </w:rPr>
              <w:t>Which? (</w:t>
            </w:r>
            <w:r w:rsidR="002C1FF7">
              <w:rPr>
                <w:rFonts w:ascii="Calibri" w:hAnsi="Calibri" w:cs="Calibri"/>
                <w:color w:val="000000"/>
              </w:rPr>
              <w:t>2023)</w:t>
            </w:r>
            <w:r w:rsidRPr="004C3AE6">
              <w:rPr>
                <w:rFonts w:ascii="Calibri" w:hAnsi="Calibri" w:cs="Calibri"/>
                <w:color w:val="000000"/>
              </w:rPr>
              <w:t>. </w:t>
            </w:r>
            <w:r w:rsidRPr="004C3AE6">
              <w:rPr>
                <w:rFonts w:ascii="Calibri" w:hAnsi="Calibri" w:cs="Calibri"/>
                <w:i/>
                <w:iCs/>
                <w:color w:val="000000"/>
              </w:rPr>
              <w:t>How to complain if you’re unhappy with building work</w:t>
            </w:r>
            <w:r w:rsidRPr="004C3AE6">
              <w:rPr>
                <w:rFonts w:ascii="Calibri" w:hAnsi="Calibri" w:cs="Calibri"/>
                <w:color w:val="000000"/>
              </w:rPr>
              <w:t xml:space="preserve">. [online] Which? Available at: </w:t>
            </w:r>
            <w:hyperlink r:id="rId10" w:anchor="go-to-the-small-claims-court" w:history="1">
              <w:r w:rsidRPr="004C3AE6">
                <w:rPr>
                  <w:rStyle w:val="Hyperlink"/>
                  <w:rFonts w:ascii="Calibri" w:hAnsi="Calibri" w:cs="Calibri"/>
                </w:rPr>
                <w:t>https://www.which</w:t>
              </w:r>
              <w:r w:rsidRPr="004C3AE6">
                <w:rPr>
                  <w:rStyle w:val="Hyperlink"/>
                  <w:rFonts w:ascii="Calibri" w:hAnsi="Calibri" w:cs="Calibri"/>
                </w:rPr>
                <w:t>.</w:t>
              </w:r>
              <w:r w:rsidRPr="004C3AE6">
                <w:rPr>
                  <w:rStyle w:val="Hyperlink"/>
                  <w:rFonts w:ascii="Calibri" w:hAnsi="Calibri" w:cs="Calibri"/>
                </w:rPr>
                <w:t>co.uk/consumer-rights/advice/how-to-complain-if-you-re-unhappy-with-building-work-aWG3g5O4RZCh#go-to-the-small-claims-court</w:t>
              </w:r>
            </w:hyperlink>
            <w:r w:rsidRPr="004C3AE6">
              <w:rPr>
                <w:rFonts w:ascii="Calibri" w:hAnsi="Calibri" w:cs="Calibri"/>
                <w:color w:val="000000"/>
              </w:rPr>
              <w:t xml:space="preserve">  </w:t>
            </w:r>
          </w:p>
          <w:p w14:paraId="3AFE7925" w14:textId="77777777" w:rsidR="004C3AE6" w:rsidRDefault="004C3AE6" w:rsidP="00153FF6">
            <w:pPr>
              <w:pStyle w:val="NormalWeb"/>
              <w:spacing w:before="0" w:beforeAutospacing="0" w:after="0" w:afterAutospacing="0" w:line="360" w:lineRule="atLeast"/>
              <w:rPr>
                <w:rFonts w:ascii="Calibri" w:hAnsi="Calibri" w:cs="Calibri"/>
                <w:color w:val="000000"/>
                <w:sz w:val="27"/>
                <w:szCs w:val="27"/>
              </w:rPr>
            </w:pPr>
          </w:p>
          <w:p w14:paraId="10353A7D" w14:textId="5E8DACA3" w:rsidR="00C14FB1" w:rsidRDefault="00FF57F4" w:rsidP="00FF57F4">
            <w:pPr>
              <w:pStyle w:val="NormalWeb"/>
              <w:spacing w:before="0" w:beforeAutospacing="0" w:after="0" w:afterAutospacing="0" w:line="360" w:lineRule="atLeast"/>
              <w:rPr>
                <w:rFonts w:ascii="Calibri" w:hAnsi="Calibri" w:cs="Calibri"/>
                <w:color w:val="000000"/>
              </w:rPr>
            </w:pPr>
            <w:r w:rsidRPr="00FF57F4">
              <w:rPr>
                <w:rFonts w:ascii="Calibri" w:hAnsi="Calibri" w:cs="Calibri"/>
                <w:color w:val="000000"/>
              </w:rPr>
              <w:t>Jones, R. (2013). Buying a kitchen: your consumer rights. </w:t>
            </w:r>
            <w:r w:rsidRPr="00FF57F4">
              <w:rPr>
                <w:rFonts w:ascii="Calibri" w:hAnsi="Calibri" w:cs="Calibri"/>
                <w:i/>
                <w:iCs/>
                <w:color w:val="000000"/>
              </w:rPr>
              <w:t>The Guardian</w:t>
            </w:r>
            <w:r w:rsidRPr="00FF57F4">
              <w:rPr>
                <w:rFonts w:ascii="Calibri" w:hAnsi="Calibri" w:cs="Calibri"/>
                <w:color w:val="000000"/>
              </w:rPr>
              <w:t xml:space="preserve">. [online] 20 Apr. Available at: </w:t>
            </w:r>
            <w:hyperlink r:id="rId11" w:history="1">
              <w:r w:rsidRPr="00084DA4">
                <w:rPr>
                  <w:rStyle w:val="Hyperlink"/>
                  <w:rFonts w:ascii="Calibri" w:hAnsi="Calibri" w:cs="Calibri"/>
                </w:rPr>
                <w:t>https://www.theguardian.com/money/2013/apr/20/buying-a-kitchen-your-consumer-rights</w:t>
              </w:r>
            </w:hyperlink>
            <w:r>
              <w:rPr>
                <w:rFonts w:ascii="Calibri" w:hAnsi="Calibri" w:cs="Calibri"/>
                <w:color w:val="000000"/>
              </w:rPr>
              <w:t xml:space="preserve"> </w:t>
            </w:r>
          </w:p>
          <w:p w14:paraId="0F1A7BFB" w14:textId="77777777" w:rsidR="00FF57F4" w:rsidRPr="00FF57F4" w:rsidRDefault="00FF57F4" w:rsidP="00FF57F4">
            <w:pPr>
              <w:pStyle w:val="NormalWeb"/>
              <w:spacing w:before="0" w:beforeAutospacing="0" w:after="0" w:afterAutospacing="0" w:line="360" w:lineRule="atLeast"/>
              <w:rPr>
                <w:rFonts w:ascii="Calibri" w:hAnsi="Calibri" w:cs="Calibri"/>
                <w:color w:val="000000"/>
              </w:rPr>
            </w:pPr>
          </w:p>
          <w:p w14:paraId="0ECC0C02" w14:textId="774A7DCB" w:rsidR="00B91AC2" w:rsidRPr="005D3CFE" w:rsidRDefault="004C17D6" w:rsidP="005D3CFE">
            <w:pPr>
              <w:pStyle w:val="NormalWeb"/>
              <w:spacing w:before="0" w:beforeAutospacing="0" w:after="0" w:afterAutospacing="0" w:line="360" w:lineRule="atLeast"/>
              <w:rPr>
                <w:rFonts w:ascii="Calibri" w:hAnsi="Calibri" w:cs="Calibri"/>
                <w:color w:val="000000"/>
              </w:rPr>
            </w:pPr>
            <w:r w:rsidRPr="005D3CFE">
              <w:rPr>
                <w:rFonts w:ascii="Calibri" w:hAnsi="Calibri" w:cs="Calibri"/>
                <w:color w:val="000000"/>
              </w:rPr>
              <w:t>GOV.UK</w:t>
            </w:r>
            <w:r w:rsidR="005D3CFE" w:rsidRPr="005D3CFE">
              <w:rPr>
                <w:rFonts w:ascii="Calibri" w:hAnsi="Calibri" w:cs="Calibri"/>
                <w:color w:val="000000"/>
              </w:rPr>
              <w:t xml:space="preserve"> (2015). </w:t>
            </w:r>
            <w:r w:rsidR="005D3CFE" w:rsidRPr="005D3CFE">
              <w:rPr>
                <w:rFonts w:ascii="Calibri" w:hAnsi="Calibri" w:cs="Calibri"/>
                <w:i/>
                <w:iCs/>
                <w:color w:val="000000"/>
              </w:rPr>
              <w:t>Consumer Rights Act 2015</w:t>
            </w:r>
            <w:r w:rsidR="005D3CFE" w:rsidRPr="005D3CFE">
              <w:rPr>
                <w:rFonts w:ascii="Calibri" w:hAnsi="Calibri" w:cs="Calibri"/>
                <w:color w:val="000000"/>
              </w:rPr>
              <w:t xml:space="preserve">. [online] Legislation.gov.uk. Available at: </w:t>
            </w:r>
            <w:hyperlink r:id="rId12" w:history="1">
              <w:r w:rsidR="005D3CFE" w:rsidRPr="00084DA4">
                <w:rPr>
                  <w:rStyle w:val="Hyperlink"/>
                  <w:rFonts w:ascii="Calibri" w:hAnsi="Calibri" w:cs="Calibri"/>
                </w:rPr>
                <w:t>https://www.legislation.gov.uk/ukpga/2015/15/contents/enacted</w:t>
              </w:r>
            </w:hyperlink>
            <w:r w:rsidR="005D3CFE">
              <w:rPr>
                <w:rFonts w:ascii="Calibri" w:hAnsi="Calibri" w:cs="Calibri"/>
                <w:color w:val="000000"/>
              </w:rPr>
              <w:t xml:space="preserve"> </w:t>
            </w:r>
          </w:p>
          <w:p w14:paraId="72BCFFC8" w14:textId="77777777" w:rsidR="004C3AE6" w:rsidRPr="0050174A" w:rsidRDefault="004C3AE6" w:rsidP="00153FF6">
            <w:pPr>
              <w:pStyle w:val="NormalWeb"/>
              <w:spacing w:before="0" w:beforeAutospacing="0" w:after="0" w:afterAutospacing="0" w:line="360" w:lineRule="atLeast"/>
              <w:rPr>
                <w:rFonts w:ascii="Calibri" w:hAnsi="Calibri" w:cs="Calibri"/>
                <w:color w:val="000000"/>
                <w:sz w:val="27"/>
                <w:szCs w:val="27"/>
              </w:rPr>
            </w:pPr>
          </w:p>
          <w:p w14:paraId="07FDAAFE" w14:textId="4AB96FAE" w:rsidR="00293DA9" w:rsidRPr="0050174A" w:rsidRDefault="00293DA9" w:rsidP="00153FF6">
            <w:pPr>
              <w:pStyle w:val="NormalWeb"/>
              <w:spacing w:before="0" w:beforeAutospacing="0" w:after="0" w:afterAutospacing="0" w:line="360" w:lineRule="atLeast"/>
              <w:rPr>
                <w:rFonts w:asciiTheme="minorHAnsi" w:hAnsiTheme="minorHAnsi" w:cstheme="minorHAnsi"/>
              </w:rPr>
            </w:pPr>
            <w:r w:rsidRPr="00F64A0D">
              <w:rPr>
                <w:rFonts w:asciiTheme="minorHAnsi" w:hAnsiTheme="minorHAnsi" w:cstheme="minorHAnsi"/>
                <w:color w:val="000000"/>
              </w:rPr>
              <w:t>Fenwick Elliott. (2017). </w:t>
            </w:r>
            <w:r w:rsidRPr="00F64A0D">
              <w:rPr>
                <w:rFonts w:asciiTheme="minorHAnsi" w:hAnsiTheme="minorHAnsi" w:cstheme="minorHAnsi"/>
                <w:i/>
                <w:iCs/>
                <w:color w:val="000000"/>
              </w:rPr>
              <w:t xml:space="preserve">Vinci Construction UK Ltd v </w:t>
            </w:r>
            <w:proofErr w:type="spellStart"/>
            <w:r w:rsidRPr="00F64A0D">
              <w:rPr>
                <w:rFonts w:asciiTheme="minorHAnsi" w:hAnsiTheme="minorHAnsi" w:cstheme="minorHAnsi"/>
                <w:i/>
                <w:iCs/>
                <w:color w:val="000000"/>
              </w:rPr>
              <w:t>Beumer</w:t>
            </w:r>
            <w:proofErr w:type="spellEnd"/>
            <w:r w:rsidRPr="00F64A0D">
              <w:rPr>
                <w:rFonts w:asciiTheme="minorHAnsi" w:hAnsiTheme="minorHAnsi" w:cstheme="minorHAnsi"/>
                <w:i/>
                <w:iCs/>
                <w:color w:val="000000"/>
              </w:rPr>
              <w:t xml:space="preserve"> Group UK Ltd</w:t>
            </w:r>
            <w:r w:rsidRPr="00F64A0D">
              <w:rPr>
                <w:rFonts w:asciiTheme="minorHAnsi" w:hAnsiTheme="minorHAnsi" w:cstheme="minorHAnsi"/>
                <w:color w:val="000000"/>
              </w:rPr>
              <w:t xml:space="preserve">. [online] </w:t>
            </w:r>
          </w:p>
          <w:p w14:paraId="299590FD" w14:textId="77777777" w:rsidR="00293DA9" w:rsidRDefault="00293DA9" w:rsidP="00153FF6">
            <w:pPr>
              <w:pStyle w:val="NormalWeb"/>
              <w:spacing w:before="0" w:beforeAutospacing="0" w:after="0" w:afterAutospacing="0" w:line="360" w:lineRule="atLeast"/>
              <w:rPr>
                <w:rFonts w:asciiTheme="minorHAnsi" w:hAnsiTheme="minorHAnsi" w:cstheme="minorHAnsi"/>
                <w:color w:val="000000"/>
              </w:rPr>
            </w:pPr>
            <w:r w:rsidRPr="00F64A0D">
              <w:rPr>
                <w:rFonts w:asciiTheme="minorHAnsi" w:hAnsiTheme="minorHAnsi" w:cstheme="minorHAnsi"/>
                <w:color w:val="000000"/>
              </w:rPr>
              <w:t xml:space="preserve">Available at: </w:t>
            </w:r>
            <w:hyperlink r:id="rId13" w:history="1">
              <w:r w:rsidRPr="00E40A9C">
                <w:rPr>
                  <w:rStyle w:val="Hyperlink"/>
                  <w:rFonts w:asciiTheme="minorHAnsi" w:hAnsiTheme="minorHAnsi" w:cstheme="minorHAnsi"/>
                </w:rPr>
                <w:t>https://www.fen</w:t>
              </w:r>
              <w:r w:rsidRPr="00E40A9C">
                <w:rPr>
                  <w:rStyle w:val="Hyperlink"/>
                  <w:rFonts w:asciiTheme="minorHAnsi" w:hAnsiTheme="minorHAnsi" w:cstheme="minorHAnsi"/>
                </w:rPr>
                <w:t>w</w:t>
              </w:r>
              <w:r w:rsidRPr="00E40A9C">
                <w:rPr>
                  <w:rStyle w:val="Hyperlink"/>
                  <w:rFonts w:asciiTheme="minorHAnsi" w:hAnsiTheme="minorHAnsi" w:cstheme="minorHAnsi"/>
                </w:rPr>
                <w:t>ickelliott.com/research-insight/adjudication-case-notes/vinci-construction-uk-ltd-v-beumer-group-uk-ltd</w:t>
              </w:r>
            </w:hyperlink>
            <w:r w:rsidRPr="00F64A0D">
              <w:rPr>
                <w:rFonts w:asciiTheme="minorHAnsi" w:hAnsiTheme="minorHAnsi" w:cstheme="minorHAnsi"/>
                <w:color w:val="000000"/>
              </w:rPr>
              <w:t>.</w:t>
            </w:r>
          </w:p>
          <w:p w14:paraId="69E81505" w14:textId="77777777" w:rsidR="00293DA9" w:rsidRDefault="00293DA9" w:rsidP="00153FF6">
            <w:pPr>
              <w:pStyle w:val="NormalWeb"/>
              <w:spacing w:before="0" w:beforeAutospacing="0" w:after="0" w:afterAutospacing="0" w:line="360" w:lineRule="atLeast"/>
              <w:rPr>
                <w:rFonts w:asciiTheme="minorHAnsi" w:hAnsiTheme="minorHAnsi" w:cstheme="minorHAnsi"/>
                <w:color w:val="000000"/>
              </w:rPr>
            </w:pPr>
          </w:p>
          <w:p w14:paraId="3F6CFBB9" w14:textId="1FE14F7D" w:rsidR="00293DA9" w:rsidRPr="00855482" w:rsidRDefault="00293DA9" w:rsidP="00855482">
            <w:pPr>
              <w:pStyle w:val="NormalWeb"/>
              <w:rPr>
                <w:rFonts w:ascii="Calibri" w:hAnsi="Calibri" w:cs="Calibri"/>
                <w:color w:val="000000"/>
                <w:sz w:val="27"/>
                <w:szCs w:val="27"/>
              </w:rPr>
            </w:pPr>
          </w:p>
        </w:tc>
      </w:tr>
    </w:tbl>
    <w:p w14:paraId="061E5230" w14:textId="5443AB3E" w:rsidR="00AC1B60" w:rsidRDefault="00AC1B60"/>
    <w:p w14:paraId="65253397" w14:textId="5F39261C" w:rsidR="00AC1B60" w:rsidRDefault="00AC1B60"/>
    <w:p w14:paraId="1E39BC6E" w14:textId="02EBE793" w:rsidR="00E714EC" w:rsidRDefault="00E714EC" w:rsidP="00F74C64"/>
    <w:p w14:paraId="5A383A05" w14:textId="77777777" w:rsidR="00D21C42" w:rsidRPr="00D21C42" w:rsidRDefault="00D21C42" w:rsidP="006C4DDC"/>
    <w:sectPr w:rsidR="00D21C42" w:rsidRPr="00D21C42" w:rsidSect="00AC1B60">
      <w:head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137A5" w14:textId="77777777" w:rsidR="00527154" w:rsidRDefault="00527154" w:rsidP="00AC1B60">
      <w:pPr>
        <w:spacing w:after="0" w:line="240" w:lineRule="auto"/>
      </w:pPr>
      <w:r>
        <w:separator/>
      </w:r>
    </w:p>
  </w:endnote>
  <w:endnote w:type="continuationSeparator" w:id="0">
    <w:p w14:paraId="38C6E52C" w14:textId="77777777" w:rsidR="00527154" w:rsidRDefault="00527154" w:rsidP="00AC1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E6031" w14:textId="77777777" w:rsidR="00527154" w:rsidRDefault="00527154" w:rsidP="00AC1B60">
      <w:pPr>
        <w:spacing w:after="0" w:line="240" w:lineRule="auto"/>
      </w:pPr>
      <w:r>
        <w:separator/>
      </w:r>
    </w:p>
  </w:footnote>
  <w:footnote w:type="continuationSeparator" w:id="0">
    <w:p w14:paraId="22FA81C6" w14:textId="77777777" w:rsidR="00527154" w:rsidRDefault="00527154" w:rsidP="00AC1B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1545504"/>
      <w:docPartObj>
        <w:docPartGallery w:val="Page Numbers (Top of Page)"/>
        <w:docPartUnique/>
      </w:docPartObj>
    </w:sdtPr>
    <w:sdtEndPr>
      <w:rPr>
        <w:noProof/>
      </w:rPr>
    </w:sdtEndPr>
    <w:sdtContent>
      <w:p w14:paraId="689E971A" w14:textId="506CA9D8" w:rsidR="00AC1B60" w:rsidRDefault="00AC1B6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53DFFED" w14:textId="77777777" w:rsidR="00AC1B60" w:rsidRDefault="00AC1B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DC4797"/>
    <w:multiLevelType w:val="hybridMultilevel"/>
    <w:tmpl w:val="72BC10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9736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B60"/>
    <w:rsid w:val="000044B7"/>
    <w:rsid w:val="00011C50"/>
    <w:rsid w:val="00016766"/>
    <w:rsid w:val="00027D38"/>
    <w:rsid w:val="00034C1B"/>
    <w:rsid w:val="000446F7"/>
    <w:rsid w:val="0005384D"/>
    <w:rsid w:val="00066D38"/>
    <w:rsid w:val="000856C8"/>
    <w:rsid w:val="00097294"/>
    <w:rsid w:val="000A2437"/>
    <w:rsid w:val="000A422D"/>
    <w:rsid w:val="000B122F"/>
    <w:rsid w:val="000B43DD"/>
    <w:rsid w:val="000C09C3"/>
    <w:rsid w:val="000C6ABE"/>
    <w:rsid w:val="000D4AB7"/>
    <w:rsid w:val="000D5F30"/>
    <w:rsid w:val="000E096E"/>
    <w:rsid w:val="000E206D"/>
    <w:rsid w:val="000F158B"/>
    <w:rsid w:val="00101510"/>
    <w:rsid w:val="00106F24"/>
    <w:rsid w:val="00112F32"/>
    <w:rsid w:val="0011750F"/>
    <w:rsid w:val="00134E86"/>
    <w:rsid w:val="00142C65"/>
    <w:rsid w:val="001476BD"/>
    <w:rsid w:val="00153FF6"/>
    <w:rsid w:val="0016639B"/>
    <w:rsid w:val="00166E74"/>
    <w:rsid w:val="00175692"/>
    <w:rsid w:val="001C04A5"/>
    <w:rsid w:val="001F0F20"/>
    <w:rsid w:val="001F2D40"/>
    <w:rsid w:val="002003C7"/>
    <w:rsid w:val="00211129"/>
    <w:rsid w:val="0022007A"/>
    <w:rsid w:val="00250D91"/>
    <w:rsid w:val="0026363D"/>
    <w:rsid w:val="00272D76"/>
    <w:rsid w:val="00276C6F"/>
    <w:rsid w:val="00290943"/>
    <w:rsid w:val="00293AA4"/>
    <w:rsid w:val="00293DA9"/>
    <w:rsid w:val="002A03C2"/>
    <w:rsid w:val="002B2046"/>
    <w:rsid w:val="002C1FF7"/>
    <w:rsid w:val="002C7EED"/>
    <w:rsid w:val="002E5F2D"/>
    <w:rsid w:val="002F7B16"/>
    <w:rsid w:val="00304216"/>
    <w:rsid w:val="00315800"/>
    <w:rsid w:val="0032597E"/>
    <w:rsid w:val="0032655E"/>
    <w:rsid w:val="00327F76"/>
    <w:rsid w:val="00333146"/>
    <w:rsid w:val="00344AE4"/>
    <w:rsid w:val="00350EDC"/>
    <w:rsid w:val="00363CC1"/>
    <w:rsid w:val="00374D82"/>
    <w:rsid w:val="00375205"/>
    <w:rsid w:val="00395C71"/>
    <w:rsid w:val="003B1B17"/>
    <w:rsid w:val="003B79EC"/>
    <w:rsid w:val="003D37F0"/>
    <w:rsid w:val="003D4BB9"/>
    <w:rsid w:val="003E04EF"/>
    <w:rsid w:val="0040230F"/>
    <w:rsid w:val="00402897"/>
    <w:rsid w:val="00423454"/>
    <w:rsid w:val="00431F17"/>
    <w:rsid w:val="004446D2"/>
    <w:rsid w:val="004726F7"/>
    <w:rsid w:val="0048099B"/>
    <w:rsid w:val="00483C0D"/>
    <w:rsid w:val="00490C23"/>
    <w:rsid w:val="0049495F"/>
    <w:rsid w:val="004B3A60"/>
    <w:rsid w:val="004C0CF3"/>
    <w:rsid w:val="004C17D6"/>
    <w:rsid w:val="004C3AE6"/>
    <w:rsid w:val="004E4A72"/>
    <w:rsid w:val="004F6784"/>
    <w:rsid w:val="0050174A"/>
    <w:rsid w:val="005167C7"/>
    <w:rsid w:val="00527154"/>
    <w:rsid w:val="00534370"/>
    <w:rsid w:val="0054515B"/>
    <w:rsid w:val="0058357C"/>
    <w:rsid w:val="00585248"/>
    <w:rsid w:val="00594306"/>
    <w:rsid w:val="005A089A"/>
    <w:rsid w:val="005A3EA3"/>
    <w:rsid w:val="005B5150"/>
    <w:rsid w:val="005B6F59"/>
    <w:rsid w:val="005C0E9F"/>
    <w:rsid w:val="005C1241"/>
    <w:rsid w:val="005D0BC0"/>
    <w:rsid w:val="005D3CFE"/>
    <w:rsid w:val="005E2BE9"/>
    <w:rsid w:val="005E64F8"/>
    <w:rsid w:val="005E6F6B"/>
    <w:rsid w:val="005F00B4"/>
    <w:rsid w:val="005F66BC"/>
    <w:rsid w:val="006129F3"/>
    <w:rsid w:val="00625BE1"/>
    <w:rsid w:val="0064264E"/>
    <w:rsid w:val="00644BD4"/>
    <w:rsid w:val="00654C63"/>
    <w:rsid w:val="006822D6"/>
    <w:rsid w:val="006824F1"/>
    <w:rsid w:val="006C42CD"/>
    <w:rsid w:val="006C4DDC"/>
    <w:rsid w:val="006D06AE"/>
    <w:rsid w:val="006E352F"/>
    <w:rsid w:val="006F22B9"/>
    <w:rsid w:val="007424AF"/>
    <w:rsid w:val="007707DC"/>
    <w:rsid w:val="00773879"/>
    <w:rsid w:val="00784454"/>
    <w:rsid w:val="007A0782"/>
    <w:rsid w:val="007B209E"/>
    <w:rsid w:val="007C37DC"/>
    <w:rsid w:val="007C6259"/>
    <w:rsid w:val="007E2CA3"/>
    <w:rsid w:val="007E3FD1"/>
    <w:rsid w:val="007E4269"/>
    <w:rsid w:val="007E609E"/>
    <w:rsid w:val="007E661B"/>
    <w:rsid w:val="00817BB7"/>
    <w:rsid w:val="0082754A"/>
    <w:rsid w:val="008320F3"/>
    <w:rsid w:val="008339A8"/>
    <w:rsid w:val="008345EC"/>
    <w:rsid w:val="00845972"/>
    <w:rsid w:val="00855482"/>
    <w:rsid w:val="00870C0E"/>
    <w:rsid w:val="00876A48"/>
    <w:rsid w:val="008B3919"/>
    <w:rsid w:val="008D26D3"/>
    <w:rsid w:val="008D5F9B"/>
    <w:rsid w:val="008E6EE7"/>
    <w:rsid w:val="008E74D8"/>
    <w:rsid w:val="009003BA"/>
    <w:rsid w:val="009008AF"/>
    <w:rsid w:val="00900C83"/>
    <w:rsid w:val="00915AA2"/>
    <w:rsid w:val="00922C35"/>
    <w:rsid w:val="00926FCE"/>
    <w:rsid w:val="00964094"/>
    <w:rsid w:val="009738D3"/>
    <w:rsid w:val="00976989"/>
    <w:rsid w:val="00981A20"/>
    <w:rsid w:val="00983ACC"/>
    <w:rsid w:val="009933E4"/>
    <w:rsid w:val="009A6662"/>
    <w:rsid w:val="009A785D"/>
    <w:rsid w:val="009B0708"/>
    <w:rsid w:val="009E5AEA"/>
    <w:rsid w:val="00A079E2"/>
    <w:rsid w:val="00A15465"/>
    <w:rsid w:val="00A16074"/>
    <w:rsid w:val="00A35692"/>
    <w:rsid w:val="00A60D81"/>
    <w:rsid w:val="00A74604"/>
    <w:rsid w:val="00AC0B2F"/>
    <w:rsid w:val="00AC12E4"/>
    <w:rsid w:val="00AC1B60"/>
    <w:rsid w:val="00AC2CB9"/>
    <w:rsid w:val="00AC5855"/>
    <w:rsid w:val="00AD018F"/>
    <w:rsid w:val="00AD1CD1"/>
    <w:rsid w:val="00AD2163"/>
    <w:rsid w:val="00AE0FC8"/>
    <w:rsid w:val="00AF192A"/>
    <w:rsid w:val="00B05ADF"/>
    <w:rsid w:val="00B105A5"/>
    <w:rsid w:val="00B1447D"/>
    <w:rsid w:val="00B327D3"/>
    <w:rsid w:val="00B40FD6"/>
    <w:rsid w:val="00B42301"/>
    <w:rsid w:val="00B50699"/>
    <w:rsid w:val="00B56879"/>
    <w:rsid w:val="00B66ED2"/>
    <w:rsid w:val="00B70602"/>
    <w:rsid w:val="00B7394A"/>
    <w:rsid w:val="00B864E1"/>
    <w:rsid w:val="00B91AC2"/>
    <w:rsid w:val="00B9226A"/>
    <w:rsid w:val="00BB311B"/>
    <w:rsid w:val="00BB6D54"/>
    <w:rsid w:val="00BC29BC"/>
    <w:rsid w:val="00BC7514"/>
    <w:rsid w:val="00BD2C89"/>
    <w:rsid w:val="00BE0F0F"/>
    <w:rsid w:val="00BE3FA7"/>
    <w:rsid w:val="00C11548"/>
    <w:rsid w:val="00C13240"/>
    <w:rsid w:val="00C14FB1"/>
    <w:rsid w:val="00C264BC"/>
    <w:rsid w:val="00C337B6"/>
    <w:rsid w:val="00C33E84"/>
    <w:rsid w:val="00C42307"/>
    <w:rsid w:val="00C5419B"/>
    <w:rsid w:val="00C5528E"/>
    <w:rsid w:val="00C93CBC"/>
    <w:rsid w:val="00CA1942"/>
    <w:rsid w:val="00CA767F"/>
    <w:rsid w:val="00CC2879"/>
    <w:rsid w:val="00CD28FE"/>
    <w:rsid w:val="00CE2978"/>
    <w:rsid w:val="00CE65F3"/>
    <w:rsid w:val="00D1103B"/>
    <w:rsid w:val="00D21C42"/>
    <w:rsid w:val="00D3365E"/>
    <w:rsid w:val="00D40CD9"/>
    <w:rsid w:val="00D6540F"/>
    <w:rsid w:val="00D65CF9"/>
    <w:rsid w:val="00D778B0"/>
    <w:rsid w:val="00D92690"/>
    <w:rsid w:val="00DA0444"/>
    <w:rsid w:val="00DA3216"/>
    <w:rsid w:val="00DA7712"/>
    <w:rsid w:val="00DC74A8"/>
    <w:rsid w:val="00DE0DDC"/>
    <w:rsid w:val="00DE702E"/>
    <w:rsid w:val="00DF6B4D"/>
    <w:rsid w:val="00E04420"/>
    <w:rsid w:val="00E10532"/>
    <w:rsid w:val="00E115C2"/>
    <w:rsid w:val="00E25A8C"/>
    <w:rsid w:val="00E4362B"/>
    <w:rsid w:val="00E55928"/>
    <w:rsid w:val="00E56B0C"/>
    <w:rsid w:val="00E56E60"/>
    <w:rsid w:val="00E714EC"/>
    <w:rsid w:val="00E83A9B"/>
    <w:rsid w:val="00EA760B"/>
    <w:rsid w:val="00EB13BC"/>
    <w:rsid w:val="00EC1A55"/>
    <w:rsid w:val="00EC2B51"/>
    <w:rsid w:val="00EC358D"/>
    <w:rsid w:val="00ED4397"/>
    <w:rsid w:val="00ED5BB0"/>
    <w:rsid w:val="00ED6564"/>
    <w:rsid w:val="00EF5B7C"/>
    <w:rsid w:val="00F25838"/>
    <w:rsid w:val="00F44037"/>
    <w:rsid w:val="00F445FB"/>
    <w:rsid w:val="00F5547A"/>
    <w:rsid w:val="00F64A0D"/>
    <w:rsid w:val="00F74605"/>
    <w:rsid w:val="00F74C64"/>
    <w:rsid w:val="00F74DDD"/>
    <w:rsid w:val="00F92471"/>
    <w:rsid w:val="00FA0B3F"/>
    <w:rsid w:val="00FA1DF1"/>
    <w:rsid w:val="00FA69C1"/>
    <w:rsid w:val="00FC2E29"/>
    <w:rsid w:val="00FC428F"/>
    <w:rsid w:val="00FD29D4"/>
    <w:rsid w:val="00FD6A02"/>
    <w:rsid w:val="00FE768B"/>
    <w:rsid w:val="00FF3D78"/>
    <w:rsid w:val="00FF57F4"/>
    <w:rsid w:val="00FF7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8701E"/>
  <w15:chartTrackingRefBased/>
  <w15:docId w15:val="{457DC48A-28E1-472D-9923-E1FFB0817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C1B6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C1B60"/>
    <w:rPr>
      <w:rFonts w:eastAsiaTheme="minorEastAsia"/>
      <w:lang w:val="en-US"/>
    </w:rPr>
  </w:style>
  <w:style w:type="paragraph" w:styleId="Header">
    <w:name w:val="header"/>
    <w:basedOn w:val="Normal"/>
    <w:link w:val="HeaderChar"/>
    <w:uiPriority w:val="99"/>
    <w:unhideWhenUsed/>
    <w:rsid w:val="00AC1B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B60"/>
  </w:style>
  <w:style w:type="paragraph" w:styleId="Footer">
    <w:name w:val="footer"/>
    <w:basedOn w:val="Normal"/>
    <w:link w:val="FooterChar"/>
    <w:uiPriority w:val="99"/>
    <w:unhideWhenUsed/>
    <w:rsid w:val="00AC1B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B60"/>
  </w:style>
  <w:style w:type="character" w:customStyle="1" w:styleId="Heading1Char">
    <w:name w:val="Heading 1 Char"/>
    <w:basedOn w:val="DefaultParagraphFont"/>
    <w:link w:val="Heading1"/>
    <w:uiPriority w:val="9"/>
    <w:rsid w:val="00AC1B6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C1B60"/>
    <w:pPr>
      <w:outlineLvl w:val="9"/>
    </w:pPr>
    <w:rPr>
      <w:lang w:val="en-US"/>
    </w:rPr>
  </w:style>
  <w:style w:type="character" w:customStyle="1" w:styleId="Heading2Char">
    <w:name w:val="Heading 2 Char"/>
    <w:basedOn w:val="DefaultParagraphFont"/>
    <w:link w:val="Heading2"/>
    <w:uiPriority w:val="9"/>
    <w:rsid w:val="00AC1B6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21C42"/>
    <w:pPr>
      <w:spacing w:after="100"/>
      <w:ind w:left="220"/>
    </w:pPr>
  </w:style>
  <w:style w:type="character" w:styleId="Hyperlink">
    <w:name w:val="Hyperlink"/>
    <w:basedOn w:val="DefaultParagraphFont"/>
    <w:uiPriority w:val="99"/>
    <w:unhideWhenUsed/>
    <w:rsid w:val="00D21C42"/>
    <w:rPr>
      <w:color w:val="0563C1" w:themeColor="hyperlink"/>
      <w:u w:val="single"/>
    </w:rPr>
  </w:style>
  <w:style w:type="paragraph" w:customStyle="1" w:styleId="Content">
    <w:name w:val="Content"/>
    <w:basedOn w:val="Normal"/>
    <w:link w:val="ContentChar"/>
    <w:qFormat/>
    <w:rsid w:val="00D21C42"/>
    <w:pPr>
      <w:framePr w:hSpace="180" w:wrap="around" w:vAnchor="page" w:hAnchor="margin" w:y="3427"/>
      <w:spacing w:after="0" w:line="240" w:lineRule="auto"/>
    </w:pPr>
    <w:rPr>
      <w:rFonts w:eastAsiaTheme="minorEastAsia"/>
      <w:color w:val="000000" w:themeColor="text1"/>
      <w:sz w:val="28"/>
      <w:lang w:val="en-US"/>
    </w:rPr>
  </w:style>
  <w:style w:type="character" w:customStyle="1" w:styleId="ContentChar">
    <w:name w:val="Content Char"/>
    <w:basedOn w:val="DefaultParagraphFont"/>
    <w:link w:val="Content"/>
    <w:rsid w:val="00D21C42"/>
    <w:rPr>
      <w:rFonts w:eastAsiaTheme="minorEastAsia"/>
      <w:color w:val="000000" w:themeColor="text1"/>
      <w:sz w:val="28"/>
      <w:lang w:val="en-US"/>
    </w:rPr>
  </w:style>
  <w:style w:type="character" w:styleId="UnresolvedMention">
    <w:name w:val="Unresolved Mention"/>
    <w:basedOn w:val="DefaultParagraphFont"/>
    <w:uiPriority w:val="99"/>
    <w:semiHidden/>
    <w:unhideWhenUsed/>
    <w:rsid w:val="00D21C42"/>
    <w:rPr>
      <w:color w:val="605E5C"/>
      <w:shd w:val="clear" w:color="auto" w:fill="E1DFDD"/>
    </w:rPr>
  </w:style>
  <w:style w:type="paragraph" w:styleId="NormalWeb">
    <w:name w:val="Normal (Web)"/>
    <w:basedOn w:val="Normal"/>
    <w:uiPriority w:val="99"/>
    <w:unhideWhenUsed/>
    <w:rsid w:val="00F64A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E2CA3"/>
    <w:rPr>
      <w:color w:val="954F72" w:themeColor="followedHyperlink"/>
      <w:u w:val="single"/>
    </w:rPr>
  </w:style>
  <w:style w:type="paragraph" w:styleId="TOC1">
    <w:name w:val="toc 1"/>
    <w:basedOn w:val="Normal"/>
    <w:next w:val="Normal"/>
    <w:autoRedefine/>
    <w:uiPriority w:val="39"/>
    <w:unhideWhenUsed/>
    <w:rsid w:val="00153FF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810319">
      <w:bodyDiv w:val="1"/>
      <w:marLeft w:val="0"/>
      <w:marRight w:val="0"/>
      <w:marTop w:val="0"/>
      <w:marBottom w:val="0"/>
      <w:divBdr>
        <w:top w:val="none" w:sz="0" w:space="0" w:color="auto"/>
        <w:left w:val="none" w:sz="0" w:space="0" w:color="auto"/>
        <w:bottom w:val="none" w:sz="0" w:space="0" w:color="auto"/>
        <w:right w:val="none" w:sz="0" w:space="0" w:color="auto"/>
      </w:divBdr>
    </w:div>
    <w:div w:id="561063263">
      <w:bodyDiv w:val="1"/>
      <w:marLeft w:val="0"/>
      <w:marRight w:val="0"/>
      <w:marTop w:val="0"/>
      <w:marBottom w:val="0"/>
      <w:divBdr>
        <w:top w:val="none" w:sz="0" w:space="0" w:color="auto"/>
        <w:left w:val="none" w:sz="0" w:space="0" w:color="auto"/>
        <w:bottom w:val="none" w:sz="0" w:space="0" w:color="auto"/>
        <w:right w:val="none" w:sz="0" w:space="0" w:color="auto"/>
      </w:divBdr>
    </w:div>
    <w:div w:id="765002047">
      <w:bodyDiv w:val="1"/>
      <w:marLeft w:val="0"/>
      <w:marRight w:val="0"/>
      <w:marTop w:val="0"/>
      <w:marBottom w:val="0"/>
      <w:divBdr>
        <w:top w:val="none" w:sz="0" w:space="0" w:color="auto"/>
        <w:left w:val="none" w:sz="0" w:space="0" w:color="auto"/>
        <w:bottom w:val="none" w:sz="0" w:space="0" w:color="auto"/>
        <w:right w:val="none" w:sz="0" w:space="0" w:color="auto"/>
      </w:divBdr>
    </w:div>
    <w:div w:id="1019627504">
      <w:bodyDiv w:val="1"/>
      <w:marLeft w:val="0"/>
      <w:marRight w:val="0"/>
      <w:marTop w:val="0"/>
      <w:marBottom w:val="0"/>
      <w:divBdr>
        <w:top w:val="none" w:sz="0" w:space="0" w:color="auto"/>
        <w:left w:val="none" w:sz="0" w:space="0" w:color="auto"/>
        <w:bottom w:val="none" w:sz="0" w:space="0" w:color="auto"/>
        <w:right w:val="none" w:sz="0" w:space="0" w:color="auto"/>
      </w:divBdr>
    </w:div>
    <w:div w:id="1835340807">
      <w:bodyDiv w:val="1"/>
      <w:marLeft w:val="0"/>
      <w:marRight w:val="0"/>
      <w:marTop w:val="0"/>
      <w:marBottom w:val="0"/>
      <w:divBdr>
        <w:top w:val="none" w:sz="0" w:space="0" w:color="auto"/>
        <w:left w:val="none" w:sz="0" w:space="0" w:color="auto"/>
        <w:bottom w:val="none" w:sz="0" w:space="0" w:color="auto"/>
        <w:right w:val="none" w:sz="0" w:space="0" w:color="auto"/>
      </w:divBdr>
    </w:div>
    <w:div w:id="183660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aldictionary.net/tort-law/" TargetMode="External"/><Relationship Id="rId13" Type="http://schemas.openxmlformats.org/officeDocument/2006/relationships/hyperlink" Target="https://www.fenwickelliott.com/research-insight/adjudication-case-notes/vinci-construction-uk-ltd-v-beumer-group-uk-lt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2015/15/contents/enacte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money/2013/apr/20/buying-a-kitchen-your-consumer-right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which.co.uk/consumer-rights/advice/how-to-complain-if-you-re-unhappy-with-building-work-aWG3g5O4RZCh" TargetMode="External"/><Relationship Id="rId4" Type="http://schemas.openxmlformats.org/officeDocument/2006/relationships/settings" Target="settings.xml"/><Relationship Id="rId9" Type="http://schemas.openxmlformats.org/officeDocument/2006/relationships/hyperlink" Target="https://www.e-lawresources.co.uk/Donoghue-v-Stevenson.php"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8600A-A26F-47EC-9AE7-070E8D9C3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1985</Words>
  <Characters>11321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Negligence in construction</vt:lpstr>
    </vt:vector>
  </TitlesOfParts>
  <Company>University of Wales Trinity Saint Davids</Company>
  <LinksUpToDate>false</LinksUpToDate>
  <CharactersWithSpaces>13280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Negligence in construction</dc:title>
  <dc:subject>Legal Assignment</dc:subject>
  <dc:creator>Abi Davies</dc:creator>
  <cp:keywords/>
  <dc:description/>
  <cp:lastModifiedBy>Abi Davies</cp:lastModifiedBy>
  <cp:revision>2</cp:revision>
  <cp:lastPrinted>2023-03-21T18:35:00Z</cp:lastPrinted>
  <dcterms:created xsi:type="dcterms:W3CDTF">2023-03-29T19:31:00Z</dcterms:created>
  <dcterms:modified xsi:type="dcterms:W3CDTF">2023-03-29T19:31:00Z</dcterms:modified>
  <cp:category>Abigail Davies</cp:category>
</cp:coreProperties>
</file>