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The impact of Virtual Learning Environment (VLE) </w:t>
      </w:r>
      <w:r>
        <w:rPr>
          <w:rFonts w:ascii="Times New Roman" w:hAnsi="Times New Roman" w:cs="Times New Roman" w:eastAsia="Times New Roman"/>
          <w:b/>
          <w:color w:val="auto"/>
          <w:spacing w:val="0"/>
          <w:position w:val="0"/>
          <w:sz w:val="32"/>
          <w:shd w:fill="auto" w:val="clear"/>
        </w:rPr>
        <w:t xml:space="preserve">–</w:t>
      </w:r>
      <w:r>
        <w:rPr>
          <w:rFonts w:ascii="Times New Roman" w:hAnsi="Times New Roman" w:cs="Times New Roman" w:eastAsia="Times New Roman"/>
          <w:b/>
          <w:color w:val="auto"/>
          <w:spacing w:val="0"/>
          <w:position w:val="0"/>
          <w:sz w:val="32"/>
          <w:shd w:fill="auto" w:val="clear"/>
        </w:rPr>
        <w:t xml:space="preserve"> Moodle on students</w:t>
      </w:r>
      <w:r>
        <w:rPr>
          <w:rFonts w:ascii="Times New Roman" w:hAnsi="Times New Roman" w:cs="Times New Roman" w:eastAsia="Times New Roman"/>
          <w:b/>
          <w:color w:val="auto"/>
          <w:spacing w:val="0"/>
          <w:position w:val="0"/>
          <w:sz w:val="32"/>
          <w:shd w:fill="auto" w:val="clear"/>
        </w:rPr>
        <w:t xml:space="preserve">’</w:t>
      </w:r>
      <w:r>
        <w:rPr>
          <w:rFonts w:ascii="Times New Roman" w:hAnsi="Times New Roman" w:cs="Times New Roman" w:eastAsia="Times New Roman"/>
          <w:b/>
          <w:color w:val="auto"/>
          <w:spacing w:val="0"/>
          <w:position w:val="0"/>
          <w:sz w:val="32"/>
          <w:shd w:fill="auto" w:val="clear"/>
        </w:rPr>
        <w:t xml:space="preserve"> learning experience at the University of Wales Trinity Saint David London Campus</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By Romina Mirela Holban Bicoi </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Student ID: 2123649</w:t>
      </w:r>
    </w:p>
    <w:p>
      <w:pPr>
        <w:spacing w:before="0" w:after="160" w:line="360"/>
        <w:ind w:right="0" w:left="0" w:firstLine="0"/>
        <w:jc w:val="center"/>
        <w:rPr>
          <w:rFonts w:ascii="Times New Roman" w:hAnsi="Times New Roman" w:cs="Times New Roman" w:eastAsia="Times New Roman"/>
          <w:b/>
          <w:color w:val="auto"/>
          <w:spacing w:val="0"/>
          <w:position w:val="0"/>
          <w:sz w:val="32"/>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 </w:t>
      </w:r>
    </w:p>
    <w:p>
      <w:pPr>
        <w:spacing w:before="0" w:after="160" w:line="259"/>
        <w:ind w:right="0" w:left="0" w:firstLine="0"/>
        <w:jc w:val="left"/>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1.0 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Technological advancement has appeared to be a privilege for the education system worldwide with the introduction of digital tools for conducting teaching and learning practices. The integration of technology has enabled the education system to be fostered with a learning environment where all the teaching and learning tools can be combined to allow students and lecturers to interact and perform curriculum activities in a single web-based platform which is termed a </w:t>
      </w:r>
      <w:r>
        <w:rPr>
          <w:rFonts w:ascii="Times New Roman" w:hAnsi="Times New Roman" w:cs="Times New Roman" w:eastAsia="Times New Roman"/>
          <w:b/>
          <w:color w:val="auto"/>
          <w:spacing w:val="0"/>
          <w:position w:val="0"/>
          <w:sz w:val="24"/>
          <w:shd w:fill="auto" w:val="clear"/>
        </w:rPr>
        <w:t xml:space="preserve">Virtual Learning Environment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222222"/>
          <w:spacing w:val="0"/>
          <w:position w:val="0"/>
          <w:sz w:val="24"/>
          <w:shd w:fill="FFFFFF" w:val="clear"/>
        </w:rPr>
        <w:t xml:space="preserve">Thamarana, 2016). The virtual learning environment helps the lecturers to engage the students in the e-learning process with various assessments, learning materials, necessary resources, and the entire course structure. The present report is focused on critically analysing how the virtual learning environment using Moodle has impacted the learning experience of the students of </w:t>
      </w:r>
      <w:r>
        <w:rPr>
          <w:rFonts w:ascii="Times New Roman" w:hAnsi="Times New Roman" w:cs="Times New Roman" w:eastAsia="Times New Roman"/>
          <w:color w:val="auto"/>
          <w:spacing w:val="0"/>
          <w:position w:val="0"/>
          <w:sz w:val="24"/>
          <w:shd w:fill="auto" w:val="clear"/>
        </w:rPr>
        <w:t xml:space="preserve">the University of Wales Trinity Saint David London Campus (UWTSD). Both primary and secondary research has been conducted for accomplishing the report. </w:t>
      </w: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1.1 Research aim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present research has the aim of critically analysing how the virtual learning environment (VLE) has impacted the learning experience of the students of UWTSD through the adoption of Moodle for e-learning. </w:t>
      </w: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1.2 Research Objectives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present research has the following objectives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interpret the benefits of a virtual learning environment for the UWTSD students and its importance in the present curriculum system.</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analyse how students perceive the initiative of UWTSD to engage them in Moodle for virtual learning. </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interpret the influence of the Covid-19 pandemic on virtual learning of UWTSD students in Moodle. </w:t>
      </w:r>
    </w:p>
    <w:p>
      <w:pPr>
        <w:numPr>
          <w:ilvl w:val="0"/>
          <w:numId w:val="12"/>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identify the issues faced by UWTSD students while engaging in the virtual learning environment and some potential solutions to mitigate the issues.</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2.0 LITERATURE REVIEW </w:t>
      </w:r>
    </w:p>
    <w:p>
      <w:pPr>
        <w:tabs>
          <w:tab w:val="left" w:pos="1152" w:leader="none"/>
        </w:tabs>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As stated by </w:t>
      </w:r>
      <w:r>
        <w:rPr>
          <w:rFonts w:ascii="Times New Roman" w:hAnsi="Times New Roman" w:cs="Times New Roman" w:eastAsia="Times New Roman"/>
          <w:b/>
          <w:color w:val="222222"/>
          <w:spacing w:val="0"/>
          <w:position w:val="0"/>
          <w:sz w:val="24"/>
          <w:shd w:fill="FFFFFF" w:val="clear"/>
        </w:rPr>
        <w:t xml:space="preserve">Borba et al. (2017),</w:t>
      </w:r>
      <w:r>
        <w:rPr>
          <w:rFonts w:ascii="Times New Roman" w:hAnsi="Times New Roman" w:cs="Times New Roman" w:eastAsia="Times New Roman"/>
          <w:color w:val="222222"/>
          <w:spacing w:val="0"/>
          <w:position w:val="0"/>
          <w:sz w:val="24"/>
          <w:shd w:fill="FFFFFF" w:val="clear"/>
        </w:rPr>
        <w:t xml:space="preserve"> technology has revolutionised the way of learning and teaching as the internet has been integrated into the curriculum system in the last decade, and the virtual learning environment has been developed to make distance learning possible with the help of internet and digital tools. </w:t>
      </w:r>
    </w:p>
    <w:p>
      <w:pPr>
        <w:tabs>
          <w:tab w:val="left" w:pos="1152" w:leader="none"/>
        </w:tabs>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According to </w:t>
      </w:r>
      <w:r>
        <w:rPr>
          <w:rFonts w:ascii="Times New Roman" w:hAnsi="Times New Roman" w:cs="Times New Roman" w:eastAsia="Times New Roman"/>
          <w:b/>
          <w:color w:val="222222"/>
          <w:spacing w:val="0"/>
          <w:position w:val="0"/>
          <w:sz w:val="24"/>
          <w:shd w:fill="FFFFFF" w:val="clear"/>
        </w:rPr>
        <w:t xml:space="preserve">Rienties et al. (2016)</w:t>
      </w:r>
      <w:r>
        <w:rPr>
          <w:rFonts w:ascii="Times New Roman" w:hAnsi="Times New Roman" w:cs="Times New Roman" w:eastAsia="Times New Roman"/>
          <w:color w:val="222222"/>
          <w:spacing w:val="0"/>
          <w:position w:val="0"/>
          <w:sz w:val="24"/>
          <w:shd w:fill="FFFFFF" w:val="clear"/>
        </w:rPr>
        <w:t xml:space="preserve">, the western countries especially the United Kingdom has adopted virtual learning environment (VLE) such as Moodle which is an open-source platform but significant changes have not been noticed in the pedagogy as it has been found that several teaching staffs in the educational institutions do not leverage all the applications of VLE, but many teachers find it easy to use VLE for engaging with students and provide them with a good learning experience. </w:t>
      </w:r>
    </w:p>
    <w:p>
      <w:pPr>
        <w:tabs>
          <w:tab w:val="left" w:pos="1152" w:leader="none"/>
        </w:tabs>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study of </w:t>
      </w:r>
      <w:r>
        <w:rPr>
          <w:rFonts w:ascii="Times New Roman" w:hAnsi="Times New Roman" w:cs="Times New Roman" w:eastAsia="Times New Roman"/>
          <w:b/>
          <w:color w:val="222222"/>
          <w:spacing w:val="0"/>
          <w:position w:val="0"/>
          <w:sz w:val="24"/>
          <w:shd w:fill="FFFFFF" w:val="clear"/>
        </w:rPr>
        <w:t xml:space="preserve">Torres Martín et al. (2021)</w:t>
      </w:r>
      <w:r>
        <w:rPr>
          <w:rFonts w:ascii="Times New Roman" w:hAnsi="Times New Roman" w:cs="Times New Roman" w:eastAsia="Times New Roman"/>
          <w:color w:val="222222"/>
          <w:spacing w:val="0"/>
          <w:position w:val="0"/>
          <w:sz w:val="24"/>
          <w:shd w:fill="FFFFFF" w:val="clear"/>
        </w:rPr>
        <w:t xml:space="preserve"> has depicted that the virtual learning environment has been helpful for the educational institutions to continue teaching students during the Covid-19 pandemic that restricted social gathering, but the sudden transformation from traditional learning to virtual learning has posed difficulties to teachers and students to adapt to the new virtual environment which resulted in dissatisfaction among learners regarding the new learning models. </w:t>
      </w:r>
    </w:p>
    <w:p>
      <w:pPr>
        <w:keepNext w:val="true"/>
        <w:keepLines w:val="true"/>
        <w:spacing w:before="2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3.0 RESEARCH METHODOLOGY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research methodology depicts the procedure and methods used in research to initiate the steps such as data collection and analysis for achieving research objectives (</w:t>
      </w:r>
      <w:r>
        <w:rPr>
          <w:rFonts w:ascii="Times New Roman" w:hAnsi="Times New Roman" w:cs="Times New Roman" w:eastAsia="Times New Roman"/>
          <w:color w:val="222222"/>
          <w:spacing w:val="0"/>
          <w:position w:val="0"/>
          <w:sz w:val="24"/>
          <w:shd w:fill="FFFFFF" w:val="clear"/>
        </w:rPr>
        <w:t xml:space="preserve">Pandey and Pandey, 2021)</w:t>
      </w:r>
      <w:r>
        <w:rPr>
          <w:rFonts w:ascii="Times New Roman" w:hAnsi="Times New Roman" w:cs="Times New Roman" w:eastAsia="Times New Roman"/>
          <w:color w:val="auto"/>
          <w:spacing w:val="0"/>
          <w:position w:val="0"/>
          <w:sz w:val="24"/>
          <w:shd w:fill="auto" w:val="clear"/>
        </w:rPr>
        <w:t xml:space="preserve">. The methodology shows the research philosophy, approach, strategy, data collection method and also the method of analysing the collected data. Research can be conducted through three distinct research methods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quantitative</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color w:val="auto"/>
          <w:spacing w:val="0"/>
          <w:position w:val="0"/>
          <w:sz w:val="24"/>
          <w:shd w:fill="auto" w:val="clear"/>
        </w:rPr>
        <w:t xml:space="preserve">qualitative and mixed research methods</w:t>
      </w:r>
      <w:r>
        <w:rPr>
          <w:rFonts w:ascii="Times New Roman" w:hAnsi="Times New Roman" w:cs="Times New Roman" w:eastAsia="Times New Roman"/>
          <w:color w:val="auto"/>
          <w:spacing w:val="0"/>
          <w:position w:val="0"/>
          <w:sz w:val="24"/>
          <w:shd w:fill="auto" w:val="clear"/>
        </w:rPr>
        <w:t xml:space="preserve">. The quantitative method is used to gather numeric data whereas the qualitative method is used to gather non-numeric or detailed data. The mixed research method integrates both quantitative and qualitative methods. The present study has been conducted using the mixed research method. </w:t>
      </w:r>
    </w:p>
    <w:p>
      <w:pPr>
        <w:keepNext w:val="true"/>
        <w:keepLines w:val="true"/>
        <w:spacing w:before="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3.1 Data collection and analysis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data collection method also has two categories that include </w:t>
      </w:r>
      <w:r>
        <w:rPr>
          <w:rFonts w:ascii="Times New Roman" w:hAnsi="Times New Roman" w:cs="Times New Roman" w:eastAsia="Times New Roman"/>
          <w:b/>
          <w:color w:val="auto"/>
          <w:spacing w:val="0"/>
          <w:position w:val="0"/>
          <w:sz w:val="24"/>
          <w:shd w:fill="auto" w:val="clear"/>
        </w:rPr>
        <w:t xml:space="preserve">primary</w:t>
      </w:r>
      <w:r>
        <w:rPr>
          <w:rFonts w:ascii="Times New Roman" w:hAnsi="Times New Roman" w:cs="Times New Roman" w:eastAsia="Times New Roman"/>
          <w:color w:val="auto"/>
          <w:spacing w:val="0"/>
          <w:position w:val="0"/>
          <w:sz w:val="24"/>
          <w:shd w:fill="auto" w:val="clear"/>
        </w:rPr>
        <w:t xml:space="preserve"> and </w:t>
      </w:r>
      <w:r>
        <w:rPr>
          <w:rFonts w:ascii="Times New Roman" w:hAnsi="Times New Roman" w:cs="Times New Roman" w:eastAsia="Times New Roman"/>
          <w:b/>
          <w:color w:val="auto"/>
          <w:spacing w:val="0"/>
          <w:position w:val="0"/>
          <w:sz w:val="24"/>
          <w:shd w:fill="auto" w:val="clear"/>
        </w:rPr>
        <w:t xml:space="preserve">secondary data collection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222222"/>
          <w:spacing w:val="0"/>
          <w:position w:val="0"/>
          <w:sz w:val="24"/>
          <w:shd w:fill="FFFFFF" w:val="clear"/>
        </w:rPr>
        <w:t xml:space="preserve">Martins et al., 2018)</w:t>
      </w:r>
      <w:r>
        <w:rPr>
          <w:rFonts w:ascii="Times New Roman" w:hAnsi="Times New Roman" w:cs="Times New Roman" w:eastAsia="Times New Roman"/>
          <w:color w:val="auto"/>
          <w:spacing w:val="0"/>
          <w:position w:val="0"/>
          <w:sz w:val="24"/>
          <w:shd w:fill="auto" w:val="clear"/>
        </w:rPr>
        <w:t xml:space="preserve">. In this study, the quantitative data has been collected through the primary data collection method, and qualitative data has been collected through the secondary data collection method. Primary data has been collected through an online survey in this study, for which a questionnaire containing 6 closed-ended questions has been used to get responses from participants. Secondary data has been collected from journal articles accessed through Google Scholar and ResearchGate. The primary data has been analysed using descriptive analysis, and secondary data has been analysed using thematic analysis. </w:t>
      </w:r>
    </w:p>
    <w:p>
      <w:pPr>
        <w:keepNext w:val="true"/>
        <w:keepLines w:val="true"/>
        <w:spacing w:before="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3.2 Sampling method and sample size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sampling method is used to select some individuals from a target population who can represent the entire population (</w:t>
      </w:r>
      <w:r>
        <w:rPr>
          <w:rFonts w:ascii="Times New Roman" w:hAnsi="Times New Roman" w:cs="Times New Roman" w:eastAsia="Times New Roman"/>
          <w:color w:val="222222"/>
          <w:spacing w:val="0"/>
          <w:position w:val="0"/>
          <w:sz w:val="24"/>
          <w:shd w:fill="FFFFFF" w:val="clear"/>
        </w:rPr>
        <w:t xml:space="preserve">Acharya et al., 2013). Selecting a suitable sampling method is crucial in research to generate a sample that can contribute to the data collection process. The present research has used the non-probability sampling method to select the sample of this study. The sample has included 375 students of the </w:t>
      </w:r>
      <w:r>
        <w:rPr>
          <w:rFonts w:ascii="Times New Roman" w:hAnsi="Times New Roman" w:cs="Times New Roman" w:eastAsia="Times New Roman"/>
          <w:color w:val="auto"/>
          <w:spacing w:val="0"/>
          <w:position w:val="0"/>
          <w:sz w:val="24"/>
          <w:shd w:fill="auto" w:val="clear"/>
        </w:rPr>
        <w:t xml:space="preserve">University of Wales Trinity Saint David London Campus. </w:t>
      </w:r>
    </w:p>
    <w:p>
      <w:pPr>
        <w:keepNext w:val="true"/>
        <w:keepLines w:val="true"/>
        <w:spacing w:before="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3.3 Ethical considerations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present study has been conducted by considering the research ethics which are crucial for magnifying research validity and reliability. For conducting the survey, consent has been taken from the participants, their identities have not been disclosed and the collected data has been secured with proper measures. Any sensitive information of the participants has not been revealed and no intentional harm has been caused to them. </w:t>
      </w: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3.4 GANTT CHART </w:t>
      </w:r>
    </w:p>
    <w:tbl>
      <w:tblPr/>
      <w:tblGrid>
        <w:gridCol w:w="1986"/>
        <w:gridCol w:w="992"/>
        <w:gridCol w:w="992"/>
        <w:gridCol w:w="992"/>
        <w:gridCol w:w="993"/>
        <w:gridCol w:w="992"/>
        <w:gridCol w:w="992"/>
        <w:gridCol w:w="992"/>
        <w:gridCol w:w="993"/>
      </w:tblGrid>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e7e6e6"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Activities </w:t>
            </w:r>
          </w:p>
        </w:tc>
        <w:tc>
          <w:tcPr>
            <w:tcW w:w="992" w:type="dxa"/>
            <w:tcBorders>
              <w:top w:val="single" w:color="000000" w:sz="12"/>
              <w:left w:val="single" w:color="000000" w:sz="12"/>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1</w:t>
            </w:r>
            <w:r>
              <w:rPr>
                <w:rFonts w:ascii="Times New Roman" w:hAnsi="Times New Roman" w:cs="Times New Roman" w:eastAsia="Times New Roman"/>
                <w:b/>
                <w:color w:val="auto"/>
                <w:spacing w:val="0"/>
                <w:position w:val="0"/>
                <w:sz w:val="24"/>
                <w:shd w:fill="auto" w:val="clear"/>
                <w:vertAlign w:val="superscript"/>
              </w:rPr>
              <w:t xml:space="preserve">st</w:t>
            </w:r>
            <w:r>
              <w:rPr>
                <w:rFonts w:ascii="Times New Roman" w:hAnsi="Times New Roman" w:cs="Times New Roman" w:eastAsia="Times New Roman"/>
                <w:b/>
                <w:color w:val="auto"/>
                <w:spacing w:val="0"/>
                <w:position w:val="0"/>
                <w:sz w:val="24"/>
                <w:shd w:fill="auto" w:val="clear"/>
              </w:rPr>
              <w:t xml:space="preserve"> week </w:t>
            </w:r>
          </w:p>
        </w:tc>
        <w:tc>
          <w:tcPr>
            <w:tcW w:w="992" w:type="dxa"/>
            <w:tcBorders>
              <w:top w:val="single" w:color="000000" w:sz="12"/>
              <w:left w:val="single" w:color="000000" w:sz="4"/>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w:t>
            </w:r>
            <w:r>
              <w:rPr>
                <w:rFonts w:ascii="Times New Roman" w:hAnsi="Times New Roman" w:cs="Times New Roman" w:eastAsia="Times New Roman"/>
                <w:b/>
                <w:color w:val="auto"/>
                <w:spacing w:val="0"/>
                <w:position w:val="0"/>
                <w:sz w:val="24"/>
                <w:shd w:fill="auto" w:val="clear"/>
                <w:vertAlign w:val="superscript"/>
              </w:rPr>
              <w:t xml:space="preserve">nd</w:t>
            </w:r>
            <w:r>
              <w:rPr>
                <w:rFonts w:ascii="Times New Roman" w:hAnsi="Times New Roman" w:cs="Times New Roman" w:eastAsia="Times New Roman"/>
                <w:b/>
                <w:color w:val="auto"/>
                <w:spacing w:val="0"/>
                <w:position w:val="0"/>
                <w:sz w:val="24"/>
                <w:shd w:fill="auto" w:val="clear"/>
              </w:rPr>
              <w:t xml:space="preserve"> week</w:t>
            </w:r>
          </w:p>
        </w:tc>
        <w:tc>
          <w:tcPr>
            <w:tcW w:w="992" w:type="dxa"/>
            <w:tcBorders>
              <w:top w:val="single" w:color="000000" w:sz="12"/>
              <w:left w:val="single" w:color="000000" w:sz="4"/>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3</w:t>
            </w:r>
            <w:r>
              <w:rPr>
                <w:rFonts w:ascii="Times New Roman" w:hAnsi="Times New Roman" w:cs="Times New Roman" w:eastAsia="Times New Roman"/>
                <w:b/>
                <w:color w:val="auto"/>
                <w:spacing w:val="0"/>
                <w:position w:val="0"/>
                <w:sz w:val="24"/>
                <w:shd w:fill="auto" w:val="clear"/>
                <w:vertAlign w:val="superscript"/>
              </w:rPr>
              <w:t xml:space="preserve">rd</w:t>
            </w:r>
            <w:r>
              <w:rPr>
                <w:rFonts w:ascii="Times New Roman" w:hAnsi="Times New Roman" w:cs="Times New Roman" w:eastAsia="Times New Roman"/>
                <w:b/>
                <w:color w:val="auto"/>
                <w:spacing w:val="0"/>
                <w:position w:val="0"/>
                <w:sz w:val="24"/>
                <w:shd w:fill="auto" w:val="clear"/>
              </w:rPr>
              <w:t xml:space="preserve"> week</w:t>
            </w:r>
          </w:p>
        </w:tc>
        <w:tc>
          <w:tcPr>
            <w:tcW w:w="993" w:type="dxa"/>
            <w:tcBorders>
              <w:top w:val="single" w:color="000000" w:sz="12"/>
              <w:left w:val="single" w:color="000000" w:sz="4"/>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4</w:t>
            </w:r>
            <w:r>
              <w:rPr>
                <w:rFonts w:ascii="Times New Roman" w:hAnsi="Times New Roman" w:cs="Times New Roman" w:eastAsia="Times New Roman"/>
                <w:b/>
                <w:color w:val="auto"/>
                <w:spacing w:val="0"/>
                <w:position w:val="0"/>
                <w:sz w:val="24"/>
                <w:shd w:fill="auto" w:val="clear"/>
                <w:vertAlign w:val="superscript"/>
              </w:rPr>
              <w:t xml:space="preserve">th</w:t>
            </w:r>
            <w:r>
              <w:rPr>
                <w:rFonts w:ascii="Times New Roman" w:hAnsi="Times New Roman" w:cs="Times New Roman" w:eastAsia="Times New Roman"/>
                <w:b/>
                <w:color w:val="auto"/>
                <w:spacing w:val="0"/>
                <w:position w:val="0"/>
                <w:sz w:val="24"/>
                <w:shd w:fill="auto" w:val="clear"/>
              </w:rPr>
              <w:t xml:space="preserve"> week </w:t>
            </w:r>
          </w:p>
        </w:tc>
        <w:tc>
          <w:tcPr>
            <w:tcW w:w="992" w:type="dxa"/>
            <w:tcBorders>
              <w:top w:val="single" w:color="000000" w:sz="12"/>
              <w:left w:val="single" w:color="000000" w:sz="4"/>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w:t>
            </w:r>
            <w:r>
              <w:rPr>
                <w:rFonts w:ascii="Times New Roman" w:hAnsi="Times New Roman" w:cs="Times New Roman" w:eastAsia="Times New Roman"/>
                <w:b/>
                <w:color w:val="auto"/>
                <w:spacing w:val="0"/>
                <w:position w:val="0"/>
                <w:sz w:val="24"/>
                <w:shd w:fill="auto" w:val="clear"/>
                <w:vertAlign w:val="superscript"/>
              </w:rPr>
              <w:t xml:space="preserve">th</w:t>
            </w:r>
            <w:r>
              <w:rPr>
                <w:rFonts w:ascii="Times New Roman" w:hAnsi="Times New Roman" w:cs="Times New Roman" w:eastAsia="Times New Roman"/>
                <w:b/>
                <w:color w:val="auto"/>
                <w:spacing w:val="0"/>
                <w:position w:val="0"/>
                <w:sz w:val="24"/>
                <w:shd w:fill="auto" w:val="clear"/>
              </w:rPr>
              <w:t xml:space="preserve"> week </w:t>
            </w:r>
          </w:p>
        </w:tc>
        <w:tc>
          <w:tcPr>
            <w:tcW w:w="992" w:type="dxa"/>
            <w:tcBorders>
              <w:top w:val="single" w:color="000000" w:sz="12"/>
              <w:left w:val="single" w:color="000000" w:sz="4"/>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6</w:t>
            </w:r>
            <w:r>
              <w:rPr>
                <w:rFonts w:ascii="Times New Roman" w:hAnsi="Times New Roman" w:cs="Times New Roman" w:eastAsia="Times New Roman"/>
                <w:b/>
                <w:color w:val="auto"/>
                <w:spacing w:val="0"/>
                <w:position w:val="0"/>
                <w:sz w:val="24"/>
                <w:shd w:fill="auto" w:val="clear"/>
                <w:vertAlign w:val="superscript"/>
              </w:rPr>
              <w:t xml:space="preserve">th</w:t>
            </w:r>
            <w:r>
              <w:rPr>
                <w:rFonts w:ascii="Times New Roman" w:hAnsi="Times New Roman" w:cs="Times New Roman" w:eastAsia="Times New Roman"/>
                <w:b/>
                <w:color w:val="auto"/>
                <w:spacing w:val="0"/>
                <w:position w:val="0"/>
                <w:sz w:val="24"/>
                <w:shd w:fill="auto" w:val="clear"/>
              </w:rPr>
              <w:t xml:space="preserve"> week </w:t>
            </w:r>
          </w:p>
        </w:tc>
        <w:tc>
          <w:tcPr>
            <w:tcW w:w="992" w:type="dxa"/>
            <w:tcBorders>
              <w:top w:val="single" w:color="000000" w:sz="12"/>
              <w:left w:val="single" w:color="000000" w:sz="4"/>
              <w:bottom w:val="single" w:color="000000" w:sz="12"/>
              <w:right w:val="single" w:color="000000" w:sz="4"/>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7</w:t>
            </w:r>
            <w:r>
              <w:rPr>
                <w:rFonts w:ascii="Times New Roman" w:hAnsi="Times New Roman" w:cs="Times New Roman" w:eastAsia="Times New Roman"/>
                <w:b/>
                <w:color w:val="auto"/>
                <w:spacing w:val="0"/>
                <w:position w:val="0"/>
                <w:sz w:val="24"/>
                <w:shd w:fill="auto" w:val="clear"/>
                <w:vertAlign w:val="superscript"/>
              </w:rPr>
              <w:t xml:space="preserve">th</w:t>
            </w:r>
            <w:r>
              <w:rPr>
                <w:rFonts w:ascii="Times New Roman" w:hAnsi="Times New Roman" w:cs="Times New Roman" w:eastAsia="Times New Roman"/>
                <w:b/>
                <w:color w:val="auto"/>
                <w:spacing w:val="0"/>
                <w:position w:val="0"/>
                <w:sz w:val="24"/>
                <w:shd w:fill="auto" w:val="clear"/>
              </w:rPr>
              <w:t xml:space="preserve"> week </w:t>
            </w:r>
          </w:p>
        </w:tc>
        <w:tc>
          <w:tcPr>
            <w:tcW w:w="993" w:type="dxa"/>
            <w:tcBorders>
              <w:top w:val="single" w:color="000000" w:sz="12"/>
              <w:left w:val="single" w:color="000000" w:sz="4"/>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8</w:t>
            </w:r>
            <w:r>
              <w:rPr>
                <w:rFonts w:ascii="Times New Roman" w:hAnsi="Times New Roman" w:cs="Times New Roman" w:eastAsia="Times New Roman"/>
                <w:b/>
                <w:color w:val="auto"/>
                <w:spacing w:val="0"/>
                <w:position w:val="0"/>
                <w:sz w:val="24"/>
                <w:shd w:fill="auto" w:val="clear"/>
                <w:vertAlign w:val="superscript"/>
              </w:rPr>
              <w:t xml:space="preserve">th</w:t>
            </w:r>
            <w:r>
              <w:rPr>
                <w:rFonts w:ascii="Times New Roman" w:hAnsi="Times New Roman" w:cs="Times New Roman" w:eastAsia="Times New Roman"/>
                <w:b/>
                <w:color w:val="auto"/>
                <w:spacing w:val="0"/>
                <w:position w:val="0"/>
                <w:sz w:val="24"/>
                <w:shd w:fill="auto" w:val="clear"/>
              </w:rPr>
              <w:t xml:space="preserve"> week </w:t>
            </w: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Setting aim and objectives </w:t>
            </w:r>
          </w:p>
        </w:tc>
        <w:tc>
          <w:tcPr>
            <w:tcW w:w="992" w:type="dxa"/>
            <w:tcBorders>
              <w:top w:val="single" w:color="000000" w:sz="12"/>
              <w:left w:val="single" w:color="000000" w:sz="12"/>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Literature </w:t>
            </w:r>
          </w:p>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Review</w:t>
            </w:r>
          </w:p>
        </w:tc>
        <w:tc>
          <w:tcPr>
            <w:tcW w:w="992" w:type="dxa"/>
            <w:tcBorders>
              <w:top w:val="single" w:color="000000" w:sz="12"/>
              <w:left w:val="single" w:color="000000" w:sz="12"/>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Formulating research methodology</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Devising questionnaire</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Conducting survey</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Analysing primary data</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Collecting secondary data </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2"/>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Secondary data analysis</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r>
        <w:trPr>
          <w:trHeight w:val="1" w:hRule="atLeast"/>
          <w:jc w:val="left"/>
        </w:trPr>
        <w:tc>
          <w:tcPr>
            <w:tcW w:w="1986" w:type="dxa"/>
            <w:tcBorders>
              <w:top w:val="single" w:color="000000" w:sz="12"/>
              <w:left w:val="single" w:color="000000" w:sz="12"/>
              <w:bottom w:val="single" w:color="000000" w:sz="18"/>
              <w:right w:val="single" w:color="000000" w:sz="12"/>
            </w:tcBorders>
            <w:shd w:color="auto" w:fill="a8d08d" w:val="clear"/>
            <w:tcMar>
              <w:left w:w="108" w:type="dxa"/>
              <w:right w:w="108" w:type="dxa"/>
            </w:tcMar>
            <w:vAlign w:val="top"/>
          </w:tcPr>
          <w:p>
            <w:pPr>
              <w:spacing w:before="0" w:after="0" w:line="24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Findings and Conclusion </w:t>
            </w:r>
          </w:p>
        </w:tc>
        <w:tc>
          <w:tcPr>
            <w:tcW w:w="992" w:type="dxa"/>
            <w:tcBorders>
              <w:top w:val="single" w:color="000000" w:sz="12"/>
              <w:left w:val="single" w:color="000000" w:sz="12"/>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2" w:type="dxa"/>
            <w:tcBorders>
              <w:top w:val="single" w:color="000000" w:sz="12"/>
              <w:left w:val="single" w:color="000000" w:sz="4"/>
              <w:bottom w:val="single" w:color="000000" w:sz="12"/>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c>
          <w:tcPr>
            <w:tcW w:w="993" w:type="dxa"/>
            <w:tcBorders>
              <w:top w:val="single" w:color="000000" w:sz="12"/>
              <w:left w:val="single" w:color="000000" w:sz="4"/>
              <w:bottom w:val="single" w:color="000000" w:sz="12"/>
              <w:right w:val="single" w:color="000000" w:sz="12"/>
            </w:tcBorders>
            <w:shd w:color="auto" w:fill="f4b083"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tabs>
          <w:tab w:val="left" w:pos="2172" w:leader="none"/>
        </w:tabs>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ab/>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4.0 PRIMARY RESEARCH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primary research has been conducted by surveying 375 students of UWTSD where a questionnaire is used containing 6 close-ended questions to which the students were asked to respond. The following section shows the tabular and graphical representation of the collected primary data. </w:t>
      </w: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4.1 Survey questions with responses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1: Does the use of Moodle for virtual learning have improved your educational experience significantly?</w:t>
      </w:r>
    </w:p>
    <w:tbl>
      <w:tblPr/>
      <w:tblGrid>
        <w:gridCol w:w="2120"/>
        <w:gridCol w:w="1880"/>
        <w:gridCol w:w="1840"/>
        <w:gridCol w:w="1640"/>
      </w:tblGrid>
      <w:tr>
        <w:trPr>
          <w:trHeight w:val="936" w:hRule="auto"/>
          <w:jc w:val="center"/>
        </w:trPr>
        <w:tc>
          <w:tcPr>
            <w:tcW w:w="212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Options</w:t>
            </w:r>
          </w:p>
        </w:tc>
        <w:tc>
          <w:tcPr>
            <w:tcW w:w="188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Responses</w:t>
            </w:r>
          </w:p>
        </w:tc>
        <w:tc>
          <w:tcPr>
            <w:tcW w:w="18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 percentage</w:t>
            </w:r>
          </w:p>
        </w:tc>
        <w:tc>
          <w:tcPr>
            <w:tcW w:w="16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respondents</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Yes</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77</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46.11</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No</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55</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32.93</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Not sure </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35</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20.96</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2: Do you agree that the virtual learning environment (VLE) has facilitated communication with the lecturers?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2120"/>
        <w:gridCol w:w="1880"/>
        <w:gridCol w:w="1840"/>
        <w:gridCol w:w="1640"/>
      </w:tblGrid>
      <w:tr>
        <w:trPr>
          <w:trHeight w:val="624" w:hRule="auto"/>
          <w:jc w:val="center"/>
        </w:trPr>
        <w:tc>
          <w:tcPr>
            <w:tcW w:w="212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Options</w:t>
            </w:r>
          </w:p>
        </w:tc>
        <w:tc>
          <w:tcPr>
            <w:tcW w:w="188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Responses</w:t>
            </w:r>
          </w:p>
        </w:tc>
        <w:tc>
          <w:tcPr>
            <w:tcW w:w="18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 percentage</w:t>
            </w:r>
          </w:p>
        </w:tc>
        <w:tc>
          <w:tcPr>
            <w:tcW w:w="16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respondents</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Strongly 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74</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44.31</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33</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19.76</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Neutral</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6.59</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Disagree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37</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22.16</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Strongly Disagree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7.19</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3: Do you agree that the virtual learning environment has effectively aided the academic system during the Covid-19 pandemic?</w:t>
      </w:r>
    </w:p>
    <w:tbl>
      <w:tblPr/>
      <w:tblGrid>
        <w:gridCol w:w="2120"/>
        <w:gridCol w:w="1880"/>
        <w:gridCol w:w="1840"/>
        <w:gridCol w:w="1640"/>
      </w:tblGrid>
      <w:tr>
        <w:trPr>
          <w:trHeight w:val="624" w:hRule="auto"/>
          <w:jc w:val="center"/>
        </w:trPr>
        <w:tc>
          <w:tcPr>
            <w:tcW w:w="212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Options</w:t>
            </w:r>
          </w:p>
        </w:tc>
        <w:tc>
          <w:tcPr>
            <w:tcW w:w="188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Responses</w:t>
            </w:r>
          </w:p>
        </w:tc>
        <w:tc>
          <w:tcPr>
            <w:tcW w:w="18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 percentage</w:t>
            </w:r>
          </w:p>
        </w:tc>
        <w:tc>
          <w:tcPr>
            <w:tcW w:w="16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respondents</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Strongly 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42</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25.15</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79</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47.31</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Neutral</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9.58</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Disagree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23</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13.77</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Strongly Disagree</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4.19</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bl>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4: Does the virtual learning environment have the scope of entirely replacing traditional learning systems in near future?</w:t>
      </w:r>
    </w:p>
    <w:tbl>
      <w:tblPr/>
      <w:tblGrid>
        <w:gridCol w:w="2120"/>
        <w:gridCol w:w="1880"/>
        <w:gridCol w:w="1840"/>
        <w:gridCol w:w="1640"/>
      </w:tblGrid>
      <w:tr>
        <w:trPr>
          <w:trHeight w:val="624" w:hRule="auto"/>
          <w:jc w:val="center"/>
        </w:trPr>
        <w:tc>
          <w:tcPr>
            <w:tcW w:w="2120"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Options</w:t>
            </w:r>
          </w:p>
        </w:tc>
        <w:tc>
          <w:tcPr>
            <w:tcW w:w="188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Responses</w:t>
            </w:r>
          </w:p>
        </w:tc>
        <w:tc>
          <w:tcPr>
            <w:tcW w:w="18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Response percentage</w:t>
            </w:r>
          </w:p>
        </w:tc>
        <w:tc>
          <w:tcPr>
            <w:tcW w:w="1640"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Total respondents</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Yes</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14.97</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73</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43.71</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120"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Not sure </w:t>
            </w:r>
          </w:p>
        </w:tc>
        <w:tc>
          <w:tcPr>
            <w:tcW w:w="188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69</w:t>
            </w:r>
          </w:p>
        </w:tc>
        <w:tc>
          <w:tcPr>
            <w:tcW w:w="18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41.32</w:t>
            </w:r>
          </w:p>
        </w:tc>
        <w:tc>
          <w:tcPr>
            <w:tcW w:w="1640"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bl>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5: Do you face any of the following challenges while engaging in the virtual learning environment?</w:t>
      </w:r>
    </w:p>
    <w:tbl>
      <w:tblPr/>
      <w:tblGrid>
        <w:gridCol w:w="2356"/>
        <w:gridCol w:w="1785"/>
        <w:gridCol w:w="1752"/>
        <w:gridCol w:w="1587"/>
      </w:tblGrid>
      <w:tr>
        <w:trPr>
          <w:trHeight w:val="624" w:hRule="auto"/>
          <w:jc w:val="center"/>
        </w:trPr>
        <w:tc>
          <w:tcPr>
            <w:tcW w:w="2356"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Options</w:t>
            </w:r>
          </w:p>
        </w:tc>
        <w:tc>
          <w:tcPr>
            <w:tcW w:w="1785"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Responses</w:t>
            </w:r>
          </w:p>
        </w:tc>
        <w:tc>
          <w:tcPr>
            <w:tcW w:w="1752"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 percentage</w:t>
            </w:r>
          </w:p>
        </w:tc>
        <w:tc>
          <w:tcPr>
            <w:tcW w:w="1587"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respondents</w:t>
            </w:r>
          </w:p>
        </w:tc>
      </w:tr>
      <w:tr>
        <w:trPr>
          <w:trHeight w:val="312" w:hRule="auto"/>
          <w:jc w:val="center"/>
        </w:trPr>
        <w:tc>
          <w:tcPr>
            <w:tcW w:w="2356"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Lack of flexibility</w:t>
            </w:r>
          </w:p>
          <w:p>
            <w:pPr>
              <w:spacing w:before="0" w:after="0" w:line="240"/>
              <w:ind w:right="0" w:left="0" w:firstLine="0"/>
              <w:jc w:val="both"/>
              <w:rPr>
                <w:spacing w:val="0"/>
                <w:position w:val="0"/>
                <w:shd w:fill="auto" w:val="clear"/>
              </w:rPr>
            </w:pPr>
          </w:p>
        </w:tc>
        <w:tc>
          <w:tcPr>
            <w:tcW w:w="1785"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w:t>
            </w:r>
          </w:p>
        </w:tc>
        <w:tc>
          <w:tcPr>
            <w:tcW w:w="175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24.55</w:t>
            </w:r>
          </w:p>
        </w:tc>
        <w:tc>
          <w:tcPr>
            <w:tcW w:w="158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356"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Raw interface</w:t>
            </w:r>
          </w:p>
          <w:p>
            <w:pPr>
              <w:spacing w:before="0" w:after="0" w:line="24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 </w:t>
            </w:r>
          </w:p>
        </w:tc>
        <w:tc>
          <w:tcPr>
            <w:tcW w:w="1785"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27</w:t>
            </w:r>
          </w:p>
        </w:tc>
        <w:tc>
          <w:tcPr>
            <w:tcW w:w="175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16.17</w:t>
            </w:r>
          </w:p>
        </w:tc>
        <w:tc>
          <w:tcPr>
            <w:tcW w:w="158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356"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Tech-heavy </w:t>
            </w:r>
          </w:p>
          <w:p>
            <w:pPr>
              <w:spacing w:before="0" w:after="0" w:line="240"/>
              <w:ind w:right="0" w:left="0" w:firstLine="0"/>
              <w:jc w:val="both"/>
              <w:rPr>
                <w:spacing w:val="0"/>
                <w:position w:val="0"/>
                <w:shd w:fill="auto" w:val="clear"/>
              </w:rPr>
            </w:pPr>
          </w:p>
        </w:tc>
        <w:tc>
          <w:tcPr>
            <w:tcW w:w="1785"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57</w:t>
            </w:r>
          </w:p>
        </w:tc>
        <w:tc>
          <w:tcPr>
            <w:tcW w:w="175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34.13</w:t>
            </w:r>
          </w:p>
        </w:tc>
        <w:tc>
          <w:tcPr>
            <w:tcW w:w="158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624" w:hRule="auto"/>
          <w:jc w:val="center"/>
        </w:trPr>
        <w:tc>
          <w:tcPr>
            <w:tcW w:w="2356"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Insufficient interactivity</w:t>
            </w:r>
          </w:p>
          <w:p>
            <w:pPr>
              <w:spacing w:before="0" w:after="0" w:line="24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 </w:t>
            </w:r>
          </w:p>
        </w:tc>
        <w:tc>
          <w:tcPr>
            <w:tcW w:w="1785"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24</w:t>
            </w:r>
          </w:p>
        </w:tc>
        <w:tc>
          <w:tcPr>
            <w:tcW w:w="175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14.37</w:t>
            </w:r>
          </w:p>
        </w:tc>
        <w:tc>
          <w:tcPr>
            <w:tcW w:w="158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2356"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Others</w:t>
            </w:r>
          </w:p>
          <w:p>
            <w:pPr>
              <w:spacing w:before="0" w:after="0" w:line="240"/>
              <w:ind w:right="0" w:left="0" w:firstLine="0"/>
              <w:jc w:val="both"/>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 </w:t>
            </w:r>
          </w:p>
        </w:tc>
        <w:tc>
          <w:tcPr>
            <w:tcW w:w="1785"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w:t>
            </w:r>
          </w:p>
        </w:tc>
        <w:tc>
          <w:tcPr>
            <w:tcW w:w="1752"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10.78</w:t>
            </w:r>
          </w:p>
        </w:tc>
        <w:tc>
          <w:tcPr>
            <w:tcW w:w="158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Question 6: Do you think that UWTSD Moodle requires further improvement to provide a greater learning experience? </w:t>
      </w:r>
    </w:p>
    <w:tbl>
      <w:tblPr/>
      <w:tblGrid>
        <w:gridCol w:w="1643"/>
        <w:gridCol w:w="1677"/>
        <w:gridCol w:w="1543"/>
        <w:gridCol w:w="1457"/>
      </w:tblGrid>
      <w:tr>
        <w:trPr>
          <w:trHeight w:val="936" w:hRule="auto"/>
          <w:jc w:val="center"/>
        </w:trPr>
        <w:tc>
          <w:tcPr>
            <w:tcW w:w="1643" w:type="dxa"/>
            <w:tcBorders>
              <w:top w:val="single" w:color="000000" w:sz="4"/>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Options</w:t>
            </w:r>
          </w:p>
        </w:tc>
        <w:tc>
          <w:tcPr>
            <w:tcW w:w="1677"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Responses</w:t>
            </w:r>
          </w:p>
        </w:tc>
        <w:tc>
          <w:tcPr>
            <w:tcW w:w="1543"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Response percentage</w:t>
            </w:r>
          </w:p>
        </w:tc>
        <w:tc>
          <w:tcPr>
            <w:tcW w:w="1457" w:type="dxa"/>
            <w:tcBorders>
              <w:top w:val="single" w:color="000000" w:sz="4"/>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respondents</w:t>
            </w:r>
          </w:p>
        </w:tc>
      </w:tr>
      <w:tr>
        <w:trPr>
          <w:trHeight w:val="312" w:hRule="auto"/>
          <w:jc w:val="center"/>
        </w:trPr>
        <w:tc>
          <w:tcPr>
            <w:tcW w:w="1643"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Yes</w:t>
            </w:r>
          </w:p>
        </w:tc>
        <w:tc>
          <w:tcPr>
            <w:tcW w:w="167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101</w:t>
            </w:r>
          </w:p>
        </w:tc>
        <w:tc>
          <w:tcPr>
            <w:tcW w:w="1543"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60.48</w:t>
            </w:r>
          </w:p>
        </w:tc>
        <w:tc>
          <w:tcPr>
            <w:tcW w:w="145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1643"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No</w:t>
            </w:r>
          </w:p>
        </w:tc>
        <w:tc>
          <w:tcPr>
            <w:tcW w:w="167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34</w:t>
            </w:r>
          </w:p>
        </w:tc>
        <w:tc>
          <w:tcPr>
            <w:tcW w:w="1543"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20.36</w:t>
            </w:r>
          </w:p>
        </w:tc>
        <w:tc>
          <w:tcPr>
            <w:tcW w:w="145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r>
        <w:trPr>
          <w:trHeight w:val="312" w:hRule="auto"/>
          <w:jc w:val="center"/>
        </w:trPr>
        <w:tc>
          <w:tcPr>
            <w:tcW w:w="1643" w:type="dxa"/>
            <w:tcBorders>
              <w:top w:val="single" w:color="000000" w:sz="0"/>
              <w:left w:val="single" w:color="000000" w:sz="4"/>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Not sure </w:t>
            </w:r>
          </w:p>
        </w:tc>
        <w:tc>
          <w:tcPr>
            <w:tcW w:w="167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32</w:t>
            </w:r>
          </w:p>
        </w:tc>
        <w:tc>
          <w:tcPr>
            <w:tcW w:w="1543"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19.16</w:t>
            </w:r>
          </w:p>
        </w:tc>
        <w:tc>
          <w:tcPr>
            <w:tcW w:w="1457" w:type="dxa"/>
            <w:tcBorders>
              <w:top w:val="single" w:color="000000" w:sz="0"/>
              <w:left w:val="single" w:color="000000" w:sz="0"/>
              <w:bottom w:val="single" w:color="000000" w:sz="4"/>
              <w:right w:val="single" w:color="000000" w:sz="4"/>
            </w:tcBorders>
            <w:shd w:color="auto" w:fill="auto" w:val="clear"/>
            <w:tcMar>
              <w:left w:w="108" w:type="dxa"/>
              <w:right w:w="108" w:type="dxa"/>
            </w:tcMar>
            <w:vAlign w:val="center"/>
          </w:tcPr>
          <w:p>
            <w:pPr>
              <w:spacing w:before="0" w:after="0" w:line="24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167</w:t>
            </w:r>
          </w:p>
        </w:tc>
      </w:tr>
    </w:tbl>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4.2 Discussion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tables, it can be understood that 46.11% of the respondents have experienced an improvement in their educational experience after involving in the virtual learning environment, Moodle in particular, while several students are not sure about the efficiency of Moodle in enhancing their educational experience. The results showed that 44.31% of respondents strongly agreed that their communication with the lecturers has been facilitated in the virtual learning environment, and another 33% of the respondents also agreed with this statement. Moreover, 47.31% of the respondents have the view that the virtual learning environment has effectively helped the educational institutions to continue teaching during the Covid-19 pandemic. However, the majority of the respondents do not think that VLE will entirely replace traditional learning in near future, only 25% of the respondents believe that VLE will replace traditional learning in physical classrooms. The results also revealed the issues faced by students on Moodle, where 34.13% of the respondents have faced problems as they think Moodle is tech-heavy, 24.55% of respondents perceive Moodle to be lacking flexibility, 16.17% perceive Moodle to have a raw user interface, 14.37% has faced insufficiency of interactivity on Moodle, and the remaining respondents have faced some other kind of issues on Moodle. And it is also found that 60.48% of the respondents believe that further improvement in UWTSD Moodle will provide a more facilitating learning experience for them. </w:t>
      </w:r>
    </w:p>
    <w:p>
      <w:pPr>
        <w:keepNext w:val="true"/>
        <w:keepLines w:val="true"/>
        <w:spacing w:before="240" w:after="0" w:line="259"/>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5.0 SECONDARY RESEARCH</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VLE have a significant impact on the learning experience of the students, especially during the Covid pandemic. However, several challenges can be faced during implementing VLE, which have been discussed through several themes of the secondary data. </w:t>
      </w:r>
    </w:p>
    <w:p>
      <w:pPr>
        <w:spacing w:before="0" w:after="16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1: Importance of VLE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virtual learning environment (VLE) is a platform for delivering learning materials through the web (</w:t>
      </w:r>
      <w:r>
        <w:rPr>
          <w:rFonts w:ascii="Times New Roman" w:hAnsi="Times New Roman" w:cs="Times New Roman" w:eastAsia="Times New Roman"/>
          <w:color w:val="000000"/>
          <w:spacing w:val="0"/>
          <w:position w:val="0"/>
          <w:sz w:val="24"/>
          <w:shd w:fill="FFFFFF" w:val="clear"/>
        </w:rPr>
        <w:t xml:space="preserve">Phungsuk et al., 2017</w:t>
      </w:r>
      <w:r>
        <w:rPr>
          <w:rFonts w:ascii="Times New Roman" w:hAnsi="Times New Roman" w:cs="Times New Roman" w:eastAsia="Times New Roman"/>
          <w:color w:val="000000"/>
          <w:spacing w:val="0"/>
          <w:position w:val="0"/>
          <w:sz w:val="24"/>
          <w:shd w:fill="auto" w:val="clear"/>
        </w:rPr>
        <w:t xml:space="preserve">). It includes assessment and student tracking features. Moreover, it also involves communication tools as well as collaboration. VLE provides the students with access to an online course. They also can interact with their teachers as well as students. According to </w:t>
      </w:r>
      <w:r>
        <w:rPr>
          <w:rFonts w:ascii="Times New Roman" w:hAnsi="Times New Roman" w:cs="Times New Roman" w:eastAsia="Times New Roman"/>
          <w:color w:val="000000"/>
          <w:spacing w:val="0"/>
          <w:position w:val="0"/>
          <w:sz w:val="24"/>
          <w:shd w:fill="FFFFFF" w:val="clear"/>
        </w:rPr>
        <w:t xml:space="preserve">Gorgônio</w:t>
      </w:r>
      <w:r>
        <w:rPr>
          <w:rFonts w:ascii="Times New Roman" w:hAnsi="Times New Roman" w:cs="Times New Roman" w:eastAsia="Times New Roman"/>
          <w:color w:val="000000"/>
          <w:spacing w:val="0"/>
          <w:position w:val="0"/>
          <w:sz w:val="24"/>
          <w:shd w:fill="auto" w:val="clear"/>
        </w:rPr>
        <w:t xml:space="preserve"> et al. (2017), corporate and collaborative learning is one of the main focuses of VLE. This learning environment facilitates collaborative and cooperative learning through the exchange of knowledge and promoting teamwork. It also enables the opportunity of the student for distance learning by developing IT support. Virtual education is broadly accepted by the students as well as teachers because it provides flexibility and it is also more cost-efficient than traditional face-to-face learning (</w:t>
      </w:r>
      <w:r>
        <w:rPr>
          <w:rFonts w:ascii="Times New Roman" w:hAnsi="Times New Roman" w:cs="Times New Roman" w:eastAsia="Times New Roman"/>
          <w:color w:val="000000"/>
          <w:spacing w:val="0"/>
          <w:position w:val="0"/>
          <w:sz w:val="24"/>
          <w:shd w:fill="FFFFFF" w:val="clear"/>
        </w:rPr>
        <w:t xml:space="preserve">Dung, 2020</w:t>
      </w:r>
      <w:r>
        <w:rPr>
          <w:rFonts w:ascii="Times New Roman" w:hAnsi="Times New Roman" w:cs="Times New Roman" w:eastAsia="Times New Roman"/>
          <w:color w:val="000000"/>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2: VLE during Covid-19 pandemic</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Covid-19 pandemic has affected various aspects of people's life. It has facilitated virtual learning more than before. More or less every institution has adopted the VLE sooner or later during the pandemic (</w:t>
      </w:r>
      <w:r>
        <w:rPr>
          <w:rFonts w:ascii="Times New Roman" w:hAnsi="Times New Roman" w:cs="Times New Roman" w:eastAsia="Times New Roman"/>
          <w:color w:val="000000"/>
          <w:spacing w:val="0"/>
          <w:position w:val="0"/>
          <w:sz w:val="24"/>
          <w:shd w:fill="FFFFFF" w:val="clear"/>
        </w:rPr>
        <w:t xml:space="preserve">Prodanovi</w:t>
      </w:r>
      <w:r>
        <w:rPr>
          <w:rFonts w:ascii="Times New Roman" w:hAnsi="Times New Roman" w:cs="Times New Roman" w:eastAsia="Times New Roman"/>
          <w:color w:val="000000"/>
          <w:spacing w:val="0"/>
          <w:position w:val="0"/>
          <w:sz w:val="24"/>
          <w:shd w:fill="FFFFFF" w:val="clear"/>
        </w:rPr>
        <w:t xml:space="preserve">ć and Gavranović, 2021</w:t>
      </w:r>
      <w:r>
        <w:rPr>
          <w:rFonts w:ascii="Times New Roman" w:hAnsi="Times New Roman" w:cs="Times New Roman" w:eastAsia="Times New Roman"/>
          <w:color w:val="000000"/>
          <w:spacing w:val="0"/>
          <w:position w:val="0"/>
          <w:sz w:val="24"/>
          <w:shd w:fill="auto" w:val="clear"/>
        </w:rPr>
        <w:t xml:space="preserve">) to maintain the Covid protocols. The uses of ICT have increased in the educational sector. It has enhanced the implementations of VLE so that the learning and development of the students can be maintained.</w:t>
      </w:r>
    </w:p>
    <w:p>
      <w:pPr>
        <w:spacing w:before="0" w:after="160" w:line="360"/>
        <w:ind w:right="0" w:left="0" w:firstLine="0"/>
        <w:jc w:val="both"/>
        <w:rPr>
          <w:rFonts w:ascii="Times New Roman" w:hAnsi="Times New Roman" w:cs="Times New Roman" w:eastAsia="Times New Roman"/>
          <w:b/>
          <w:i/>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Theme 3: Challenges of VLE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Several challenges can be faced by an institution during the implementation of VLE. One of the major challenges is the engagement of the student. In the bricks-and-mortar institute or where the traditional face-to-face mode of teaching and learning is taking place the engagement of students is high. However, the students' engagement varies from student to student in VLE (</w:t>
      </w:r>
      <w:r>
        <w:rPr>
          <w:rFonts w:ascii="Times New Roman" w:hAnsi="Times New Roman" w:cs="Times New Roman" w:eastAsia="Times New Roman"/>
          <w:color w:val="000000"/>
          <w:spacing w:val="0"/>
          <w:position w:val="0"/>
          <w:sz w:val="24"/>
          <w:shd w:fill="FFFFFF" w:val="clear"/>
        </w:rPr>
        <w:t xml:space="preserve">Boulton eta l., 2018</w:t>
      </w:r>
      <w:r>
        <w:rPr>
          <w:rFonts w:ascii="Times New Roman" w:hAnsi="Times New Roman" w:cs="Times New Roman" w:eastAsia="Times New Roman"/>
          <w:color w:val="000000"/>
          <w:spacing w:val="0"/>
          <w:position w:val="0"/>
          <w:sz w:val="24"/>
          <w:shd w:fill="auto" w:val="clear"/>
        </w:rPr>
        <w:t xml:space="preserve">). Another problem faced by the teachers and the students in VLE is the issues related to IT (</w:t>
      </w:r>
      <w:r>
        <w:rPr>
          <w:rFonts w:ascii="Times New Roman" w:hAnsi="Times New Roman" w:cs="Times New Roman" w:eastAsia="Times New Roman"/>
          <w:color w:val="000000"/>
          <w:spacing w:val="0"/>
          <w:position w:val="0"/>
          <w:sz w:val="24"/>
          <w:shd w:fill="FFFFFF" w:val="clear"/>
        </w:rPr>
        <w:t xml:space="preserve">Vertesi et al., 2020</w:t>
      </w:r>
      <w:r>
        <w:rPr>
          <w:rFonts w:ascii="Times New Roman" w:hAnsi="Times New Roman" w:cs="Times New Roman" w:eastAsia="Times New Roman"/>
          <w:color w:val="000000"/>
          <w:spacing w:val="0"/>
          <w:position w:val="0"/>
          <w:sz w:val="24"/>
          <w:shd w:fill="auto" w:val="clear"/>
        </w:rPr>
        <w:t xml:space="preserve">). It creates a state of dissatisfaction among the students while using VLE. Moreover, the teachers are not always habituated to the use of technology during teaching. It reduces the quality of education, which decreases the learning experiences of the students.</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6.0 RESEARCH FINDINGS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Findings of primary research: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primary research has found that VLE has helped many students to get a better educational experience on Moodle. The pandemic situation has influenced the use of VLE to continue teaching in online mode, and several students have found it beneficial for their academics. Moreover, the VLE has helped students to communicate with their instructors effectively even without having face-to-face interaction. It is also found that VLE does not possess much scope for replacing traditional learning entirely, though it has the efficiency to improve the learning experience. Students face problems related to flexibility, interface, interactivity, and using Moodle effectively as students might lack the knowledge of using technological applications. It is interpreted that more improvement in UWTSD Moodle is required for students and teachers as well.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Findings of secondary research:</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secondary research finds that VLE has provided the students with a platform for learning from a distance while getting the facilities of traditional learning. It is more cost-efficient than traditional learning and provides the students with flexibility. VLE also promotes team-working using IT. It is especially effective during the pandemic. However, several challenges can be faced if not implemented properly. </w:t>
      </w:r>
    </w:p>
    <w:p>
      <w:pPr>
        <w:keepNext w:val="true"/>
        <w:keepLines w:val="true"/>
        <w:spacing w:before="2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7.0 CONCLUSION AND RECOMMENDATIONS</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7.1 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can be concluded that technological advancement has provided a privilege to the educational institutes to prepare students with technical skills and knowledge and also provide them with a platform where all the learning tools will be available. However, the transformation from a traditional learning environment to a virtual learning environment gives rise to certain challenges for both students and instructors which can be mitigated with proper technological solutions.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keepNext w:val="true"/>
        <w:keepLines w:val="true"/>
        <w:spacing w:before="40" w:after="0" w:line="259"/>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7.2 Recommendations: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There are several recommendations for implementing VLE in UWTSD, which are as follows:</w:t>
      </w:r>
    </w:p>
    <w:p>
      <w:pPr>
        <w:numPr>
          <w:ilvl w:val="0"/>
          <w:numId w:val="164"/>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teachers should be trained properly to use the technical tools to enhance the teaching quality</w:t>
      </w:r>
    </w:p>
    <w:p>
      <w:pPr>
        <w:numPr>
          <w:ilvl w:val="0"/>
          <w:numId w:val="164"/>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infrastructure should be developed properly.</w:t>
      </w:r>
    </w:p>
    <w:p>
      <w:pPr>
        <w:numPr>
          <w:ilvl w:val="0"/>
          <w:numId w:val="164"/>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user interface of UWTSD Moodle should be made flexible for students.</w:t>
      </w:r>
    </w:p>
    <w:p>
      <w:pPr>
        <w:numPr>
          <w:ilvl w:val="0"/>
          <w:numId w:val="164"/>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Students should be provided with proper instructions to engage properly on Moodle.</w:t>
      </w:r>
    </w:p>
    <w:p>
      <w:pPr>
        <w:numPr>
          <w:ilvl w:val="0"/>
          <w:numId w:val="164"/>
        </w:numPr>
        <w:spacing w:before="0" w:after="20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Students should get technical support if they require it while using Moodle. </w:t>
      </w:r>
    </w:p>
    <w:p>
      <w:pPr>
        <w:keepNext w:val="true"/>
        <w:keepLines w:val="true"/>
        <w:spacing w:before="40" w:after="0" w:line="360"/>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7.3 Research limitations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are some limitations of the present study due to lack of resources and some other issues. The survey has been conducted in online mode due to the Covid-19 pandemic which made it difficult to get an honest response from all the participants. Moreover, many articles do not provide free access which restricted the collection of secondary data properly.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2F5496"/>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2F5496"/>
          <w:spacing w:val="0"/>
          <w:position w:val="0"/>
          <w:sz w:val="24"/>
          <w:shd w:fill="auto" w:val="clear"/>
        </w:rPr>
      </w:pPr>
      <w:r>
        <w:rPr>
          <w:rFonts w:ascii="Times New Roman" w:hAnsi="Times New Roman" w:cs="Times New Roman" w:eastAsia="Times New Roman"/>
          <w:b/>
          <w:color w:val="2F5496"/>
          <w:spacing w:val="0"/>
          <w:position w:val="0"/>
          <w:sz w:val="24"/>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Acharya, A.S., Prakash, A., Saxena, P. and Nigam, A., 2013. Sampling: Why and how of it. </w:t>
      </w:r>
      <w:r>
        <w:rPr>
          <w:rFonts w:ascii="Times New Roman" w:hAnsi="Times New Roman" w:cs="Times New Roman" w:eastAsia="Times New Roman"/>
          <w:i/>
          <w:color w:val="auto"/>
          <w:spacing w:val="0"/>
          <w:position w:val="0"/>
          <w:sz w:val="24"/>
          <w:shd w:fill="FFFFFF" w:val="clear"/>
        </w:rPr>
        <w:t xml:space="preserve">Indian Journal of Medical Specialties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w:t>
      </w:r>
      <w:r>
        <w:rPr>
          <w:rFonts w:ascii="Times New Roman" w:hAnsi="Times New Roman" w:cs="Times New Roman" w:eastAsia="Times New Roman"/>
          <w:color w:val="auto"/>
          <w:spacing w:val="0"/>
          <w:position w:val="0"/>
          <w:sz w:val="24"/>
          <w:shd w:fill="FFFFFF" w:val="clear"/>
        </w:rPr>
        <w:t xml:space="preserve">(2), pp.330-333.</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Borba, M.C., Chiari, A.S.D.S. and de Almeida, H.R.F.L., 2018. Interactions in virtual learning environments: new roles for digital technology. </w:t>
      </w:r>
      <w:r>
        <w:rPr>
          <w:rFonts w:ascii="Times New Roman" w:hAnsi="Times New Roman" w:cs="Times New Roman" w:eastAsia="Times New Roman"/>
          <w:i/>
          <w:color w:val="auto"/>
          <w:spacing w:val="0"/>
          <w:position w:val="0"/>
          <w:sz w:val="24"/>
          <w:shd w:fill="FFFFFF" w:val="clear"/>
        </w:rPr>
        <w:t xml:space="preserve">Educational Studies in Mathematics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98</w:t>
      </w:r>
      <w:r>
        <w:rPr>
          <w:rFonts w:ascii="Times New Roman" w:hAnsi="Times New Roman" w:cs="Times New Roman" w:eastAsia="Times New Roman"/>
          <w:color w:val="auto"/>
          <w:spacing w:val="0"/>
          <w:position w:val="0"/>
          <w:sz w:val="24"/>
          <w:shd w:fill="FFFFFF" w:val="clear"/>
        </w:rPr>
        <w:t xml:space="preserve">(3), pp.269-286.</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Boulton, C.A., Kent, C. and Williams, H.T., 2018. Virtual learning environment engagement and learning outcomes at a ‘bricks-and-mortar’university. </w:t>
      </w:r>
      <w:r>
        <w:rPr>
          <w:rFonts w:ascii="Times New Roman" w:hAnsi="Times New Roman" w:cs="Times New Roman" w:eastAsia="Times New Roman"/>
          <w:i/>
          <w:color w:val="auto"/>
          <w:spacing w:val="0"/>
          <w:position w:val="0"/>
          <w:sz w:val="24"/>
          <w:shd w:fill="FFFFFF" w:val="clear"/>
        </w:rPr>
        <w:t xml:space="preserve">Computers &amp;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126</w:t>
      </w:r>
      <w:r>
        <w:rPr>
          <w:rFonts w:ascii="Times New Roman" w:hAnsi="Times New Roman" w:cs="Times New Roman" w:eastAsia="Times New Roman"/>
          <w:color w:val="auto"/>
          <w:spacing w:val="0"/>
          <w:position w:val="0"/>
          <w:sz w:val="24"/>
          <w:shd w:fill="FFFFFF" w:val="clear"/>
        </w:rPr>
        <w:t xml:space="preserve">, pp.129-142.</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Dung, D.T.H., 2020. The advantages and disadvantages of virtual learning. </w:t>
      </w:r>
      <w:r>
        <w:rPr>
          <w:rFonts w:ascii="Times New Roman" w:hAnsi="Times New Roman" w:cs="Times New Roman" w:eastAsia="Times New Roman"/>
          <w:i/>
          <w:color w:val="auto"/>
          <w:spacing w:val="0"/>
          <w:position w:val="0"/>
          <w:sz w:val="24"/>
          <w:shd w:fill="FFFFFF" w:val="clear"/>
        </w:rPr>
        <w:t xml:space="preserve">IOSR Journal of Research &amp; Method in Education</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(3), pp.45-48.</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Gorgônio, F.L., Vale, K.M., Silva, Y.K.N. and Silva, H.M., 2017, March. Grouping students for cooperative and collaborative learning: Challenges and trends in virtual learning environments. In </w:t>
      </w:r>
      <w:r>
        <w:rPr>
          <w:rFonts w:ascii="Times New Roman" w:hAnsi="Times New Roman" w:cs="Times New Roman" w:eastAsia="Times New Roman"/>
          <w:i/>
          <w:color w:val="auto"/>
          <w:spacing w:val="0"/>
          <w:position w:val="0"/>
          <w:sz w:val="24"/>
          <w:shd w:fill="FFFFFF" w:val="clear"/>
        </w:rPr>
        <w:t xml:space="preserve">Proceedings of the IEEE World Engineering Education Conference, Santos, Brazil</w:t>
      </w:r>
      <w:r>
        <w:rPr>
          <w:rFonts w:ascii="Times New Roman" w:hAnsi="Times New Roman" w:cs="Times New Roman" w:eastAsia="Times New Roman"/>
          <w:color w:val="auto"/>
          <w:spacing w:val="0"/>
          <w:position w:val="0"/>
          <w:sz w:val="24"/>
          <w:shd w:fill="FFFFFF" w:val="clear"/>
        </w:rPr>
        <w:t xml:space="preserve"> (pp. 19-22).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Martins, F.S., da Cunha, J.A.C. and Serra, F.A.R., 2018. Secondary data in research</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uses and opportunities.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PODIUM sport, leisure and tourism review</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7</w:t>
      </w:r>
      <w:r>
        <w:rPr>
          <w:rFonts w:ascii="Times New Roman" w:hAnsi="Times New Roman" w:cs="Times New Roman" w:eastAsia="Times New Roman"/>
          <w:color w:val="auto"/>
          <w:spacing w:val="0"/>
          <w:position w:val="0"/>
          <w:sz w:val="24"/>
          <w:shd w:fill="FFFFFF" w:val="clear"/>
        </w:rPr>
        <w:t xml:space="preserve">(3).</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Pandey, P. and Pandey, M.M., 2021. </w:t>
      </w:r>
      <w:r>
        <w:rPr>
          <w:rFonts w:ascii="Times New Roman" w:hAnsi="Times New Roman" w:cs="Times New Roman" w:eastAsia="Times New Roman"/>
          <w:i/>
          <w:color w:val="auto"/>
          <w:spacing w:val="0"/>
          <w:position w:val="0"/>
          <w:sz w:val="24"/>
          <w:shd w:fill="FFFFFF" w:val="clear"/>
        </w:rPr>
        <w:t xml:space="preserve">Research methodology tools and techniques</w:t>
      </w:r>
      <w:r>
        <w:rPr>
          <w:rFonts w:ascii="Times New Roman" w:hAnsi="Times New Roman" w:cs="Times New Roman" w:eastAsia="Times New Roman"/>
          <w:color w:val="auto"/>
          <w:spacing w:val="0"/>
          <w:position w:val="0"/>
          <w:sz w:val="24"/>
          <w:shd w:fill="FFFFFF" w:val="clear"/>
        </w:rPr>
        <w:t xml:space="preserve">. Bridge Center.</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Phungsuk, R., Viriyavejakul, C. and Ratanaolarn, T., 2017. Development of a problem-based learning model via a virtual learning environment. </w:t>
      </w:r>
      <w:r>
        <w:rPr>
          <w:rFonts w:ascii="Times New Roman" w:hAnsi="Times New Roman" w:cs="Times New Roman" w:eastAsia="Times New Roman"/>
          <w:i/>
          <w:color w:val="auto"/>
          <w:spacing w:val="0"/>
          <w:position w:val="0"/>
          <w:sz w:val="24"/>
          <w:shd w:fill="FFFFFF" w:val="clear"/>
        </w:rPr>
        <w:t xml:space="preserve">Kasetsart Journal of Social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38</w:t>
      </w:r>
      <w:r>
        <w:rPr>
          <w:rFonts w:ascii="Times New Roman" w:hAnsi="Times New Roman" w:cs="Times New Roman" w:eastAsia="Times New Roman"/>
          <w:color w:val="auto"/>
          <w:spacing w:val="0"/>
          <w:position w:val="0"/>
          <w:sz w:val="24"/>
          <w:shd w:fill="FFFFFF" w:val="clear"/>
        </w:rPr>
        <w:t xml:space="preserve">(3), pp.297-306.</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Prodanovi</w:t>
      </w:r>
      <w:r>
        <w:rPr>
          <w:rFonts w:ascii="Times New Roman" w:hAnsi="Times New Roman" w:cs="Times New Roman" w:eastAsia="Times New Roman"/>
          <w:color w:val="auto"/>
          <w:spacing w:val="0"/>
          <w:position w:val="0"/>
          <w:sz w:val="24"/>
          <w:shd w:fill="FFFFFF" w:val="clear"/>
        </w:rPr>
        <w:t xml:space="preserve">ć, M. and Gavranović, V., 2021. Students’ satisfaction with learning experience in Covid-19 imposed virtual learning environment. </w:t>
      </w:r>
      <w:r>
        <w:rPr>
          <w:rFonts w:ascii="Times New Roman" w:hAnsi="Times New Roman" w:cs="Times New Roman" w:eastAsia="Times New Roman"/>
          <w:i/>
          <w:color w:val="auto"/>
          <w:spacing w:val="0"/>
          <w:position w:val="0"/>
          <w:sz w:val="24"/>
          <w:shd w:fill="FFFFFF" w:val="clear"/>
        </w:rPr>
        <w:t xml:space="preserve">Revista Publicando</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(29), pp.124-131.</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Rienties, B., Giesbers, B., Lygo-Baker, S., Ma, H.W.S. and Rees, R., 2016. Why some teachers easily learn to use a new virtual learning environment: A technology acceptance perspective. </w:t>
      </w:r>
      <w:r>
        <w:rPr>
          <w:rFonts w:ascii="Times New Roman" w:hAnsi="Times New Roman" w:cs="Times New Roman" w:eastAsia="Times New Roman"/>
          <w:i/>
          <w:color w:val="auto"/>
          <w:spacing w:val="0"/>
          <w:position w:val="0"/>
          <w:sz w:val="24"/>
          <w:shd w:fill="FFFFFF" w:val="clear"/>
        </w:rPr>
        <w:t xml:space="preserve">Interactive Learning Environments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24</w:t>
      </w:r>
      <w:r>
        <w:rPr>
          <w:rFonts w:ascii="Times New Roman" w:hAnsi="Times New Roman" w:cs="Times New Roman" w:eastAsia="Times New Roman"/>
          <w:color w:val="auto"/>
          <w:spacing w:val="0"/>
          <w:position w:val="0"/>
          <w:sz w:val="24"/>
          <w:shd w:fill="FFFFFF" w:val="clear"/>
        </w:rPr>
        <w:t xml:space="preserve">(3), pp.539-552.</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Thamarana, S., 2016. Role of E-learning and Virtual Learning Environment in English language learning. </w:t>
      </w:r>
      <w:r>
        <w:rPr>
          <w:rFonts w:ascii="Times New Roman" w:hAnsi="Times New Roman" w:cs="Times New Roman" w:eastAsia="Times New Roman"/>
          <w:i/>
          <w:color w:val="auto"/>
          <w:spacing w:val="0"/>
          <w:position w:val="0"/>
          <w:sz w:val="24"/>
          <w:shd w:fill="FFFFFF" w:val="clear"/>
        </w:rPr>
        <w:t xml:space="preserve">Teaching English Language and Literature: Innovative Methods and Practices, ELTAI Tirupati</w:t>
      </w:r>
      <w:r>
        <w:rPr>
          <w:rFonts w:ascii="Times New Roman" w:hAnsi="Times New Roman" w:cs="Times New Roman" w:eastAsia="Times New Roman"/>
          <w:color w:val="auto"/>
          <w:spacing w:val="0"/>
          <w:position w:val="0"/>
          <w:sz w:val="24"/>
          <w:shd w:fill="FFFFFF" w:val="clear"/>
        </w:rPr>
        <w:t xml:space="preserve">, pp.61-62.</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Torres Martín, C., Acal, C., El Honrani, M. and Mingorance Estrada, Á.C., 2021. Impact on the virtual learning environment due to COVID-19. </w:t>
      </w:r>
      <w:r>
        <w:rPr>
          <w:rFonts w:ascii="Times New Roman" w:hAnsi="Times New Roman" w:cs="Times New Roman" w:eastAsia="Times New Roman"/>
          <w:i/>
          <w:color w:val="auto"/>
          <w:spacing w:val="0"/>
          <w:position w:val="0"/>
          <w:sz w:val="24"/>
          <w:shd w:fill="FFFFFF" w:val="clear"/>
        </w:rPr>
        <w:t xml:space="preserve">Sustainability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(2), p.582.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Vertesi, A., Dogan, H. and Stefanidis, A., 2020. Usability evaluation of virtual learning environments: a university case study. In </w:t>
      </w:r>
      <w:r>
        <w:rPr>
          <w:rFonts w:ascii="Times New Roman" w:hAnsi="Times New Roman" w:cs="Times New Roman" w:eastAsia="Times New Roman"/>
          <w:i/>
          <w:color w:val="auto"/>
          <w:spacing w:val="0"/>
          <w:position w:val="0"/>
          <w:sz w:val="24"/>
          <w:shd w:fill="FFFFFF" w:val="clear"/>
        </w:rPr>
        <w:t xml:space="preserve">Online Teaching and Learning in Higher Education</w:t>
      </w:r>
      <w:r>
        <w:rPr>
          <w:rFonts w:ascii="Times New Roman" w:hAnsi="Times New Roman" w:cs="Times New Roman" w:eastAsia="Times New Roman"/>
          <w:color w:val="auto"/>
          <w:spacing w:val="0"/>
          <w:position w:val="0"/>
          <w:sz w:val="24"/>
          <w:shd w:fill="FFFFFF" w:val="clear"/>
        </w:rPr>
        <w:t xml:space="preserve"> (pp. 161-183). Springer, Cham.</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2">
    <w:abstractNumId w:val="6"/>
  </w:num>
  <w:num w:numId="16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