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1AA96C" w14:textId="77777777" w:rsidR="00041E80" w:rsidRPr="00A95A7D" w:rsidRDefault="00041E80" w:rsidP="00C819DF">
      <w:pPr>
        <w:pStyle w:val="Heading1"/>
      </w:pPr>
    </w:p>
    <w:p w14:paraId="22ECFAE3" w14:textId="5F52070E" w:rsidR="00041E80" w:rsidRPr="00A95A7D" w:rsidRDefault="00907D9C" w:rsidP="008F7C75">
      <w:pPr>
        <w:spacing w:line="360" w:lineRule="auto"/>
        <w:jc w:val="center"/>
        <w:rPr>
          <w:rFonts w:ascii="Arial" w:hAnsi="Arial" w:cs="Arial"/>
          <w:b/>
          <w:color w:val="4472C4" w:themeColor="accent1"/>
          <w:sz w:val="40"/>
          <w:szCs w:val="40"/>
        </w:rPr>
      </w:pPr>
      <w:r w:rsidRPr="00A95A7D">
        <w:rPr>
          <w:rFonts w:ascii="Arial" w:hAnsi="Arial" w:cs="Arial"/>
          <w:b/>
          <w:color w:val="4472C4" w:themeColor="accent1"/>
          <w:sz w:val="40"/>
          <w:szCs w:val="40"/>
        </w:rPr>
        <w:t>MODULE TITLE AND CODE: BMIH 5007 – FINANCIAL MANAGEMENT FOR THE HOTEL INDUSTRY</w:t>
      </w:r>
    </w:p>
    <w:p w14:paraId="760284B7" w14:textId="77777777" w:rsidR="00D9043B" w:rsidRPr="00A95A7D" w:rsidRDefault="00D9043B" w:rsidP="008F7C75">
      <w:pPr>
        <w:spacing w:line="360" w:lineRule="auto"/>
        <w:jc w:val="center"/>
        <w:rPr>
          <w:rFonts w:ascii="Arial" w:hAnsi="Arial" w:cs="Arial"/>
          <w:b/>
          <w:color w:val="4472C4" w:themeColor="accent1"/>
          <w:sz w:val="40"/>
          <w:szCs w:val="40"/>
        </w:rPr>
      </w:pPr>
    </w:p>
    <w:p w14:paraId="7671A0BB" w14:textId="77777777" w:rsidR="00D9043B" w:rsidRPr="00A95A7D" w:rsidRDefault="00D9043B" w:rsidP="008F7C75">
      <w:pPr>
        <w:spacing w:line="360" w:lineRule="auto"/>
        <w:jc w:val="center"/>
        <w:rPr>
          <w:rFonts w:ascii="Arial" w:hAnsi="Arial" w:cs="Arial"/>
          <w:b/>
          <w:color w:val="4472C4" w:themeColor="accent1"/>
          <w:sz w:val="40"/>
          <w:szCs w:val="40"/>
        </w:rPr>
      </w:pPr>
    </w:p>
    <w:p w14:paraId="7F1315EA" w14:textId="23EDD663" w:rsidR="004A4A0F" w:rsidRPr="00A95A7D" w:rsidRDefault="004A4A0F" w:rsidP="008F7C75">
      <w:pPr>
        <w:spacing w:line="360" w:lineRule="auto"/>
        <w:jc w:val="center"/>
        <w:rPr>
          <w:rFonts w:ascii="Arial" w:hAnsi="Arial" w:cs="Arial"/>
          <w:b/>
          <w:color w:val="4472C4" w:themeColor="accent1"/>
          <w:sz w:val="40"/>
          <w:szCs w:val="40"/>
        </w:rPr>
      </w:pPr>
    </w:p>
    <w:p w14:paraId="4C34AF64" w14:textId="1C395EAE" w:rsidR="009F061B" w:rsidRPr="00A95A7D" w:rsidRDefault="009F061B" w:rsidP="008F7C75">
      <w:pPr>
        <w:spacing w:line="360" w:lineRule="auto"/>
        <w:jc w:val="both"/>
        <w:rPr>
          <w:rFonts w:ascii="Arial" w:hAnsi="Arial" w:cs="Arial"/>
          <w:b/>
          <w:color w:val="4472C4" w:themeColor="accent1"/>
          <w:sz w:val="40"/>
          <w:szCs w:val="40"/>
        </w:rPr>
      </w:pPr>
    </w:p>
    <w:p w14:paraId="20348F95" w14:textId="77777777" w:rsidR="00600C89" w:rsidRPr="00A95A7D" w:rsidRDefault="00600C89" w:rsidP="008F7C75">
      <w:pPr>
        <w:spacing w:line="360" w:lineRule="auto"/>
        <w:jc w:val="both"/>
        <w:rPr>
          <w:rFonts w:ascii="Arial" w:hAnsi="Arial" w:cs="Arial"/>
          <w:b/>
          <w:color w:val="4472C4" w:themeColor="accent1"/>
          <w:sz w:val="40"/>
          <w:szCs w:val="40"/>
        </w:rPr>
      </w:pPr>
    </w:p>
    <w:p w14:paraId="52A3F97E" w14:textId="77777777" w:rsidR="00D9043B" w:rsidRPr="00A95A7D" w:rsidRDefault="00D9043B" w:rsidP="008F7C75">
      <w:pPr>
        <w:spacing w:line="360" w:lineRule="auto"/>
        <w:jc w:val="both"/>
        <w:rPr>
          <w:rFonts w:ascii="Arial" w:hAnsi="Arial" w:cs="Arial"/>
          <w:b/>
          <w:color w:val="4472C4" w:themeColor="accent1"/>
          <w:sz w:val="40"/>
          <w:szCs w:val="40"/>
        </w:rPr>
      </w:pPr>
    </w:p>
    <w:p w14:paraId="64EF6C5B" w14:textId="77777777" w:rsidR="00D9043B" w:rsidRPr="00A95A7D" w:rsidRDefault="00D9043B" w:rsidP="008F7C75">
      <w:pPr>
        <w:spacing w:line="360" w:lineRule="auto"/>
        <w:jc w:val="both"/>
        <w:rPr>
          <w:rFonts w:ascii="Arial" w:hAnsi="Arial" w:cs="Arial"/>
          <w:b/>
          <w:color w:val="4472C4" w:themeColor="accent1"/>
          <w:sz w:val="40"/>
          <w:szCs w:val="40"/>
        </w:rPr>
      </w:pPr>
    </w:p>
    <w:p w14:paraId="7E63225F" w14:textId="77777777" w:rsidR="00D9043B" w:rsidRPr="00A95A7D" w:rsidRDefault="00D9043B" w:rsidP="008F7C75">
      <w:pPr>
        <w:spacing w:line="360" w:lineRule="auto"/>
        <w:jc w:val="both"/>
        <w:rPr>
          <w:rFonts w:ascii="Arial" w:hAnsi="Arial" w:cs="Arial"/>
          <w:b/>
          <w:color w:val="4472C4" w:themeColor="accent1"/>
          <w:sz w:val="40"/>
          <w:szCs w:val="40"/>
        </w:rPr>
      </w:pPr>
    </w:p>
    <w:p w14:paraId="47A2CAB6" w14:textId="77777777" w:rsidR="00D9043B" w:rsidRPr="00A95A7D" w:rsidRDefault="00D9043B" w:rsidP="008F7C75">
      <w:pPr>
        <w:spacing w:line="360" w:lineRule="auto"/>
        <w:jc w:val="both"/>
        <w:rPr>
          <w:rFonts w:ascii="Arial" w:hAnsi="Arial" w:cs="Arial"/>
          <w:b/>
          <w:color w:val="4472C4" w:themeColor="accent1"/>
          <w:sz w:val="40"/>
          <w:szCs w:val="40"/>
        </w:rPr>
      </w:pPr>
    </w:p>
    <w:p w14:paraId="6CCFC9FA" w14:textId="77777777" w:rsidR="00150437" w:rsidRPr="00150437" w:rsidRDefault="00150437" w:rsidP="00150437">
      <w:pPr>
        <w:spacing w:line="360" w:lineRule="auto"/>
        <w:jc w:val="both"/>
        <w:rPr>
          <w:rFonts w:ascii="Arial" w:hAnsi="Arial" w:cs="Arial"/>
          <w:b/>
          <w:color w:val="4472C4" w:themeColor="accent1"/>
          <w:sz w:val="40"/>
          <w:szCs w:val="40"/>
        </w:rPr>
      </w:pPr>
    </w:p>
    <w:p w14:paraId="7A846B03" w14:textId="77777777" w:rsidR="00150437" w:rsidRPr="00150437" w:rsidRDefault="00150437" w:rsidP="00150437">
      <w:pPr>
        <w:spacing w:line="360" w:lineRule="auto"/>
        <w:jc w:val="both"/>
        <w:rPr>
          <w:rFonts w:ascii="Arial" w:hAnsi="Arial" w:cs="Arial"/>
          <w:b/>
          <w:color w:val="4472C4" w:themeColor="accent1"/>
          <w:sz w:val="40"/>
          <w:szCs w:val="40"/>
        </w:rPr>
      </w:pPr>
      <w:r w:rsidRPr="00150437">
        <w:rPr>
          <w:rFonts w:ascii="Arial" w:hAnsi="Arial" w:cs="Arial"/>
          <w:b/>
          <w:color w:val="4472C4" w:themeColor="accent1"/>
          <w:sz w:val="40"/>
          <w:szCs w:val="40"/>
        </w:rPr>
        <w:t>STUDENT NAME: SHABANA BEGUM</w:t>
      </w:r>
    </w:p>
    <w:p w14:paraId="450A4135" w14:textId="77777777" w:rsidR="00150437" w:rsidRPr="00150437" w:rsidRDefault="00150437" w:rsidP="00150437">
      <w:pPr>
        <w:spacing w:line="360" w:lineRule="auto"/>
        <w:jc w:val="both"/>
        <w:rPr>
          <w:rFonts w:ascii="Arial" w:hAnsi="Arial" w:cs="Arial"/>
          <w:b/>
          <w:color w:val="4472C4" w:themeColor="accent1"/>
          <w:sz w:val="40"/>
          <w:szCs w:val="40"/>
        </w:rPr>
      </w:pPr>
      <w:r w:rsidRPr="00150437">
        <w:rPr>
          <w:rFonts w:ascii="Arial" w:hAnsi="Arial" w:cs="Arial"/>
          <w:b/>
          <w:color w:val="4472C4" w:themeColor="accent1"/>
          <w:sz w:val="40"/>
          <w:szCs w:val="40"/>
        </w:rPr>
        <w:t>STUDENT ID: 2223853</w:t>
      </w:r>
    </w:p>
    <w:p w14:paraId="18BD7246" w14:textId="585DD0AF" w:rsidR="00D9043B" w:rsidRPr="00A95A7D" w:rsidRDefault="00150437" w:rsidP="008F7C75">
      <w:pPr>
        <w:spacing w:line="360" w:lineRule="auto"/>
        <w:jc w:val="both"/>
        <w:rPr>
          <w:rFonts w:ascii="Arial" w:hAnsi="Arial" w:cs="Arial"/>
          <w:sz w:val="24"/>
          <w:szCs w:val="24"/>
        </w:rPr>
      </w:pPr>
      <w:r w:rsidRPr="00150437">
        <w:rPr>
          <w:rFonts w:ascii="Arial" w:hAnsi="Arial" w:cs="Arial"/>
          <w:b/>
          <w:color w:val="4472C4" w:themeColor="accent1"/>
          <w:sz w:val="40"/>
          <w:szCs w:val="40"/>
        </w:rPr>
        <w:t>Word Count: 2</w:t>
      </w:r>
      <w:r>
        <w:rPr>
          <w:rFonts w:ascii="Arial" w:hAnsi="Arial" w:cs="Arial"/>
          <w:b/>
          <w:color w:val="4472C4" w:themeColor="accent1"/>
          <w:sz w:val="40"/>
          <w:szCs w:val="40"/>
        </w:rPr>
        <w:t>139</w:t>
      </w:r>
      <w:r w:rsidR="00D9043B" w:rsidRPr="00A95A7D">
        <w:rPr>
          <w:rFonts w:ascii="Arial" w:hAnsi="Arial" w:cs="Arial"/>
          <w:sz w:val="24"/>
          <w:szCs w:val="24"/>
        </w:rPr>
        <w:br w:type="page"/>
      </w:r>
    </w:p>
    <w:sdt>
      <w:sdtPr>
        <w:rPr>
          <w:rFonts w:ascii="Arial" w:eastAsiaTheme="minorHAnsi" w:hAnsi="Arial" w:cs="Arial"/>
          <w:b w:val="0"/>
          <w:color w:val="auto"/>
          <w:sz w:val="22"/>
          <w:szCs w:val="22"/>
          <w:lang w:val="en-GB"/>
        </w:rPr>
        <w:id w:val="1443344214"/>
        <w:docPartObj>
          <w:docPartGallery w:val="Table of Contents"/>
          <w:docPartUnique/>
        </w:docPartObj>
      </w:sdtPr>
      <w:sdtEndPr>
        <w:rPr>
          <w:bCs/>
          <w:noProof/>
          <w:sz w:val="24"/>
          <w:szCs w:val="24"/>
        </w:rPr>
      </w:sdtEndPr>
      <w:sdtContent>
        <w:p w14:paraId="6A116E6A" w14:textId="543FB4B3" w:rsidR="00D9043B" w:rsidRPr="00A95A7D" w:rsidRDefault="00D9043B" w:rsidP="001A4CF9">
          <w:pPr>
            <w:pStyle w:val="TOCHeading"/>
            <w:spacing w:line="360" w:lineRule="auto"/>
            <w:rPr>
              <w:rFonts w:ascii="Arial" w:hAnsi="Arial" w:cs="Arial"/>
              <w:sz w:val="24"/>
              <w:szCs w:val="24"/>
            </w:rPr>
          </w:pPr>
          <w:r w:rsidRPr="00A95A7D">
            <w:rPr>
              <w:rFonts w:ascii="Arial" w:hAnsi="Arial" w:cs="Arial"/>
              <w:sz w:val="24"/>
              <w:szCs w:val="24"/>
            </w:rPr>
            <w:t>Contents</w:t>
          </w:r>
        </w:p>
        <w:p w14:paraId="5638590B" w14:textId="25030759" w:rsidR="001A4CF9" w:rsidRDefault="00D9043B" w:rsidP="001A4CF9">
          <w:pPr>
            <w:pStyle w:val="TOC1"/>
            <w:tabs>
              <w:tab w:val="right" w:leader="dot" w:pos="9016"/>
            </w:tabs>
            <w:spacing w:line="360" w:lineRule="auto"/>
            <w:rPr>
              <w:rFonts w:eastAsiaTheme="minorEastAsia"/>
              <w:noProof/>
              <w:lang w:eastAsia="en-GB"/>
            </w:rPr>
          </w:pPr>
          <w:r w:rsidRPr="00A95A7D">
            <w:rPr>
              <w:rFonts w:ascii="Arial" w:hAnsi="Arial" w:cs="Arial"/>
              <w:sz w:val="24"/>
              <w:szCs w:val="24"/>
            </w:rPr>
            <w:fldChar w:fldCharType="begin"/>
          </w:r>
          <w:r w:rsidRPr="00A95A7D">
            <w:rPr>
              <w:rFonts w:ascii="Arial" w:hAnsi="Arial" w:cs="Arial"/>
              <w:sz w:val="24"/>
              <w:szCs w:val="24"/>
            </w:rPr>
            <w:instrText xml:space="preserve"> TOC \o "1-3" \h \z \u </w:instrText>
          </w:r>
          <w:r w:rsidRPr="00A95A7D">
            <w:rPr>
              <w:rFonts w:ascii="Arial" w:hAnsi="Arial" w:cs="Arial"/>
              <w:sz w:val="24"/>
              <w:szCs w:val="24"/>
            </w:rPr>
            <w:fldChar w:fldCharType="separate"/>
          </w:r>
          <w:hyperlink w:anchor="_Toc168189131" w:history="1">
            <w:r w:rsidR="001A4CF9" w:rsidRPr="002A3659">
              <w:rPr>
                <w:rStyle w:val="Hyperlink"/>
                <w:rFonts w:ascii="Arial" w:hAnsi="Arial"/>
                <w:noProof/>
              </w:rPr>
              <w:t>Introduction</w:t>
            </w:r>
            <w:r w:rsidR="001A4CF9">
              <w:rPr>
                <w:noProof/>
                <w:webHidden/>
              </w:rPr>
              <w:tab/>
            </w:r>
            <w:r w:rsidR="001A4CF9">
              <w:rPr>
                <w:noProof/>
                <w:webHidden/>
              </w:rPr>
              <w:fldChar w:fldCharType="begin"/>
            </w:r>
            <w:r w:rsidR="001A4CF9">
              <w:rPr>
                <w:noProof/>
                <w:webHidden/>
              </w:rPr>
              <w:instrText xml:space="preserve"> PAGEREF _Toc168189131 \h </w:instrText>
            </w:r>
            <w:r w:rsidR="001A4CF9">
              <w:rPr>
                <w:noProof/>
                <w:webHidden/>
              </w:rPr>
            </w:r>
            <w:r w:rsidR="001A4CF9">
              <w:rPr>
                <w:noProof/>
                <w:webHidden/>
              </w:rPr>
              <w:fldChar w:fldCharType="separate"/>
            </w:r>
            <w:r w:rsidR="001A4CF9">
              <w:rPr>
                <w:noProof/>
                <w:webHidden/>
              </w:rPr>
              <w:t>3</w:t>
            </w:r>
            <w:r w:rsidR="001A4CF9">
              <w:rPr>
                <w:noProof/>
                <w:webHidden/>
              </w:rPr>
              <w:fldChar w:fldCharType="end"/>
            </w:r>
          </w:hyperlink>
        </w:p>
        <w:p w14:paraId="4ABCE2EC" w14:textId="73536EC3" w:rsidR="001A4CF9" w:rsidRDefault="00000000" w:rsidP="001A4CF9">
          <w:pPr>
            <w:pStyle w:val="TOC1"/>
            <w:tabs>
              <w:tab w:val="right" w:leader="dot" w:pos="9016"/>
            </w:tabs>
            <w:spacing w:line="360" w:lineRule="auto"/>
            <w:rPr>
              <w:rFonts w:eastAsiaTheme="minorEastAsia"/>
              <w:noProof/>
              <w:lang w:eastAsia="en-GB"/>
            </w:rPr>
          </w:pPr>
          <w:hyperlink w:anchor="_Toc168189132" w:history="1">
            <w:r w:rsidR="001A4CF9" w:rsidRPr="002A3659">
              <w:rPr>
                <w:rStyle w:val="Hyperlink"/>
                <w:rFonts w:ascii="Arial" w:hAnsi="Arial"/>
                <w:noProof/>
              </w:rPr>
              <w:t>Evaluation of Trend and Pattern</w:t>
            </w:r>
            <w:r w:rsidR="001A4CF9">
              <w:rPr>
                <w:noProof/>
                <w:webHidden/>
              </w:rPr>
              <w:tab/>
            </w:r>
            <w:r w:rsidR="001A4CF9">
              <w:rPr>
                <w:noProof/>
                <w:webHidden/>
              </w:rPr>
              <w:fldChar w:fldCharType="begin"/>
            </w:r>
            <w:r w:rsidR="001A4CF9">
              <w:rPr>
                <w:noProof/>
                <w:webHidden/>
              </w:rPr>
              <w:instrText xml:space="preserve"> PAGEREF _Toc168189132 \h </w:instrText>
            </w:r>
            <w:r w:rsidR="001A4CF9">
              <w:rPr>
                <w:noProof/>
                <w:webHidden/>
              </w:rPr>
            </w:r>
            <w:r w:rsidR="001A4CF9">
              <w:rPr>
                <w:noProof/>
                <w:webHidden/>
              </w:rPr>
              <w:fldChar w:fldCharType="separate"/>
            </w:r>
            <w:r w:rsidR="001A4CF9">
              <w:rPr>
                <w:noProof/>
                <w:webHidden/>
              </w:rPr>
              <w:t>4</w:t>
            </w:r>
            <w:r w:rsidR="001A4CF9">
              <w:rPr>
                <w:noProof/>
                <w:webHidden/>
              </w:rPr>
              <w:fldChar w:fldCharType="end"/>
            </w:r>
          </w:hyperlink>
        </w:p>
        <w:p w14:paraId="4B5A4F1A" w14:textId="75E48F04" w:rsidR="001A4CF9" w:rsidRDefault="00000000" w:rsidP="001A4CF9">
          <w:pPr>
            <w:pStyle w:val="TOC2"/>
            <w:tabs>
              <w:tab w:val="right" w:leader="dot" w:pos="9016"/>
            </w:tabs>
            <w:spacing w:line="360" w:lineRule="auto"/>
            <w:rPr>
              <w:rFonts w:eastAsiaTheme="minorEastAsia"/>
              <w:noProof/>
              <w:lang w:eastAsia="en-GB"/>
            </w:rPr>
          </w:pPr>
          <w:hyperlink w:anchor="_Toc168189133" w:history="1">
            <w:r w:rsidR="001A4CF9" w:rsidRPr="002A3659">
              <w:rPr>
                <w:rStyle w:val="Hyperlink"/>
                <w:rFonts w:ascii="Arial" w:hAnsi="Arial" w:cs="Arial"/>
                <w:noProof/>
              </w:rPr>
              <w:t>Revenue Analysis</w:t>
            </w:r>
            <w:r w:rsidR="001A4CF9">
              <w:rPr>
                <w:noProof/>
                <w:webHidden/>
              </w:rPr>
              <w:tab/>
            </w:r>
            <w:r w:rsidR="001A4CF9">
              <w:rPr>
                <w:noProof/>
                <w:webHidden/>
              </w:rPr>
              <w:fldChar w:fldCharType="begin"/>
            </w:r>
            <w:r w:rsidR="001A4CF9">
              <w:rPr>
                <w:noProof/>
                <w:webHidden/>
              </w:rPr>
              <w:instrText xml:space="preserve"> PAGEREF _Toc168189133 \h </w:instrText>
            </w:r>
            <w:r w:rsidR="001A4CF9">
              <w:rPr>
                <w:noProof/>
                <w:webHidden/>
              </w:rPr>
            </w:r>
            <w:r w:rsidR="001A4CF9">
              <w:rPr>
                <w:noProof/>
                <w:webHidden/>
              </w:rPr>
              <w:fldChar w:fldCharType="separate"/>
            </w:r>
            <w:r w:rsidR="001A4CF9">
              <w:rPr>
                <w:noProof/>
                <w:webHidden/>
              </w:rPr>
              <w:t>4</w:t>
            </w:r>
            <w:r w:rsidR="001A4CF9">
              <w:rPr>
                <w:noProof/>
                <w:webHidden/>
              </w:rPr>
              <w:fldChar w:fldCharType="end"/>
            </w:r>
          </w:hyperlink>
        </w:p>
        <w:p w14:paraId="62996A57" w14:textId="6C90DEF1" w:rsidR="001A4CF9" w:rsidRDefault="00000000" w:rsidP="001A4CF9">
          <w:pPr>
            <w:pStyle w:val="TOC2"/>
            <w:tabs>
              <w:tab w:val="right" w:leader="dot" w:pos="9016"/>
            </w:tabs>
            <w:spacing w:line="360" w:lineRule="auto"/>
            <w:rPr>
              <w:rFonts w:eastAsiaTheme="minorEastAsia"/>
              <w:noProof/>
              <w:lang w:eastAsia="en-GB"/>
            </w:rPr>
          </w:pPr>
          <w:hyperlink w:anchor="_Toc168189134" w:history="1">
            <w:r w:rsidR="001A4CF9" w:rsidRPr="002A3659">
              <w:rPr>
                <w:rStyle w:val="Hyperlink"/>
                <w:rFonts w:ascii="Arial" w:hAnsi="Arial" w:cs="Arial"/>
                <w:noProof/>
              </w:rPr>
              <w:t>Operating Expense Analysis and Its impact on Profit</w:t>
            </w:r>
            <w:r w:rsidR="001A4CF9">
              <w:rPr>
                <w:noProof/>
                <w:webHidden/>
              </w:rPr>
              <w:tab/>
            </w:r>
            <w:r w:rsidR="001A4CF9">
              <w:rPr>
                <w:noProof/>
                <w:webHidden/>
              </w:rPr>
              <w:fldChar w:fldCharType="begin"/>
            </w:r>
            <w:r w:rsidR="001A4CF9">
              <w:rPr>
                <w:noProof/>
                <w:webHidden/>
              </w:rPr>
              <w:instrText xml:space="preserve"> PAGEREF _Toc168189134 \h </w:instrText>
            </w:r>
            <w:r w:rsidR="001A4CF9">
              <w:rPr>
                <w:noProof/>
                <w:webHidden/>
              </w:rPr>
            </w:r>
            <w:r w:rsidR="001A4CF9">
              <w:rPr>
                <w:noProof/>
                <w:webHidden/>
              </w:rPr>
              <w:fldChar w:fldCharType="separate"/>
            </w:r>
            <w:r w:rsidR="001A4CF9">
              <w:rPr>
                <w:noProof/>
                <w:webHidden/>
              </w:rPr>
              <w:t>5</w:t>
            </w:r>
            <w:r w:rsidR="001A4CF9">
              <w:rPr>
                <w:noProof/>
                <w:webHidden/>
              </w:rPr>
              <w:fldChar w:fldCharType="end"/>
            </w:r>
          </w:hyperlink>
        </w:p>
        <w:p w14:paraId="329179E7" w14:textId="30584E51" w:rsidR="001A4CF9" w:rsidRDefault="00000000" w:rsidP="001A4CF9">
          <w:pPr>
            <w:pStyle w:val="TOC2"/>
            <w:tabs>
              <w:tab w:val="right" w:leader="dot" w:pos="9016"/>
            </w:tabs>
            <w:spacing w:line="360" w:lineRule="auto"/>
            <w:rPr>
              <w:rFonts w:eastAsiaTheme="minorEastAsia"/>
              <w:noProof/>
              <w:lang w:eastAsia="en-GB"/>
            </w:rPr>
          </w:pPr>
          <w:hyperlink w:anchor="_Toc168189135" w:history="1">
            <w:r w:rsidR="001A4CF9" w:rsidRPr="002A3659">
              <w:rPr>
                <w:rStyle w:val="Hyperlink"/>
                <w:rFonts w:ascii="Arial" w:hAnsi="Arial" w:cs="Arial"/>
                <w:noProof/>
              </w:rPr>
              <w:t>Balance Sheet Analysis</w:t>
            </w:r>
            <w:r w:rsidR="001A4CF9">
              <w:rPr>
                <w:noProof/>
                <w:webHidden/>
              </w:rPr>
              <w:tab/>
            </w:r>
            <w:r w:rsidR="001A4CF9">
              <w:rPr>
                <w:noProof/>
                <w:webHidden/>
              </w:rPr>
              <w:fldChar w:fldCharType="begin"/>
            </w:r>
            <w:r w:rsidR="001A4CF9">
              <w:rPr>
                <w:noProof/>
                <w:webHidden/>
              </w:rPr>
              <w:instrText xml:space="preserve"> PAGEREF _Toc168189135 \h </w:instrText>
            </w:r>
            <w:r w:rsidR="001A4CF9">
              <w:rPr>
                <w:noProof/>
                <w:webHidden/>
              </w:rPr>
            </w:r>
            <w:r w:rsidR="001A4CF9">
              <w:rPr>
                <w:noProof/>
                <w:webHidden/>
              </w:rPr>
              <w:fldChar w:fldCharType="separate"/>
            </w:r>
            <w:r w:rsidR="001A4CF9">
              <w:rPr>
                <w:noProof/>
                <w:webHidden/>
              </w:rPr>
              <w:t>5</w:t>
            </w:r>
            <w:r w:rsidR="001A4CF9">
              <w:rPr>
                <w:noProof/>
                <w:webHidden/>
              </w:rPr>
              <w:fldChar w:fldCharType="end"/>
            </w:r>
          </w:hyperlink>
        </w:p>
        <w:p w14:paraId="11FE54C8" w14:textId="6D337FDC" w:rsidR="001A4CF9" w:rsidRDefault="00000000" w:rsidP="001A4CF9">
          <w:pPr>
            <w:pStyle w:val="TOC1"/>
            <w:tabs>
              <w:tab w:val="right" w:leader="dot" w:pos="9016"/>
            </w:tabs>
            <w:spacing w:line="360" w:lineRule="auto"/>
            <w:rPr>
              <w:rFonts w:eastAsiaTheme="minorEastAsia"/>
              <w:noProof/>
              <w:lang w:eastAsia="en-GB"/>
            </w:rPr>
          </w:pPr>
          <w:hyperlink w:anchor="_Toc168189136" w:history="1">
            <w:r w:rsidR="001A4CF9" w:rsidRPr="002A3659">
              <w:rPr>
                <w:rStyle w:val="Hyperlink"/>
                <w:noProof/>
              </w:rPr>
              <w:t>Risk Analysis of Urban Heights</w:t>
            </w:r>
            <w:r w:rsidR="001A4CF9">
              <w:rPr>
                <w:noProof/>
                <w:webHidden/>
              </w:rPr>
              <w:tab/>
            </w:r>
            <w:r w:rsidR="001A4CF9">
              <w:rPr>
                <w:noProof/>
                <w:webHidden/>
              </w:rPr>
              <w:fldChar w:fldCharType="begin"/>
            </w:r>
            <w:r w:rsidR="001A4CF9">
              <w:rPr>
                <w:noProof/>
                <w:webHidden/>
              </w:rPr>
              <w:instrText xml:space="preserve"> PAGEREF _Toc168189136 \h </w:instrText>
            </w:r>
            <w:r w:rsidR="001A4CF9">
              <w:rPr>
                <w:noProof/>
                <w:webHidden/>
              </w:rPr>
            </w:r>
            <w:r w:rsidR="001A4CF9">
              <w:rPr>
                <w:noProof/>
                <w:webHidden/>
              </w:rPr>
              <w:fldChar w:fldCharType="separate"/>
            </w:r>
            <w:r w:rsidR="001A4CF9">
              <w:rPr>
                <w:noProof/>
                <w:webHidden/>
              </w:rPr>
              <w:t>6</w:t>
            </w:r>
            <w:r w:rsidR="001A4CF9">
              <w:rPr>
                <w:noProof/>
                <w:webHidden/>
              </w:rPr>
              <w:fldChar w:fldCharType="end"/>
            </w:r>
          </w:hyperlink>
        </w:p>
        <w:p w14:paraId="65074988" w14:textId="25636A68" w:rsidR="001A4CF9" w:rsidRDefault="00000000" w:rsidP="001A4CF9">
          <w:pPr>
            <w:pStyle w:val="TOC1"/>
            <w:tabs>
              <w:tab w:val="right" w:leader="dot" w:pos="9016"/>
            </w:tabs>
            <w:spacing w:line="360" w:lineRule="auto"/>
            <w:rPr>
              <w:rFonts w:eastAsiaTheme="minorEastAsia"/>
              <w:noProof/>
              <w:lang w:eastAsia="en-GB"/>
            </w:rPr>
          </w:pPr>
          <w:hyperlink w:anchor="_Toc168189137" w:history="1">
            <w:r w:rsidR="001A4CF9" w:rsidRPr="002A3659">
              <w:rPr>
                <w:rStyle w:val="Hyperlink"/>
                <w:rFonts w:ascii="Arial" w:hAnsi="Arial"/>
                <w:noProof/>
              </w:rPr>
              <w:t>Urban Heights Real Reason Behind the Current Scenario</w:t>
            </w:r>
            <w:r w:rsidR="001A4CF9">
              <w:rPr>
                <w:noProof/>
                <w:webHidden/>
              </w:rPr>
              <w:tab/>
            </w:r>
            <w:r w:rsidR="001A4CF9">
              <w:rPr>
                <w:noProof/>
                <w:webHidden/>
              </w:rPr>
              <w:fldChar w:fldCharType="begin"/>
            </w:r>
            <w:r w:rsidR="001A4CF9">
              <w:rPr>
                <w:noProof/>
                <w:webHidden/>
              </w:rPr>
              <w:instrText xml:space="preserve"> PAGEREF _Toc168189137 \h </w:instrText>
            </w:r>
            <w:r w:rsidR="001A4CF9">
              <w:rPr>
                <w:noProof/>
                <w:webHidden/>
              </w:rPr>
            </w:r>
            <w:r w:rsidR="001A4CF9">
              <w:rPr>
                <w:noProof/>
                <w:webHidden/>
              </w:rPr>
              <w:fldChar w:fldCharType="separate"/>
            </w:r>
            <w:r w:rsidR="001A4CF9">
              <w:rPr>
                <w:noProof/>
                <w:webHidden/>
              </w:rPr>
              <w:t>7</w:t>
            </w:r>
            <w:r w:rsidR="001A4CF9">
              <w:rPr>
                <w:noProof/>
                <w:webHidden/>
              </w:rPr>
              <w:fldChar w:fldCharType="end"/>
            </w:r>
          </w:hyperlink>
        </w:p>
        <w:p w14:paraId="639CCE2E" w14:textId="48B49103" w:rsidR="001A4CF9" w:rsidRDefault="00000000" w:rsidP="001A4CF9">
          <w:pPr>
            <w:pStyle w:val="TOC1"/>
            <w:tabs>
              <w:tab w:val="right" w:leader="dot" w:pos="9016"/>
            </w:tabs>
            <w:spacing w:line="360" w:lineRule="auto"/>
            <w:rPr>
              <w:rFonts w:eastAsiaTheme="minorEastAsia"/>
              <w:noProof/>
              <w:lang w:eastAsia="en-GB"/>
            </w:rPr>
          </w:pPr>
          <w:hyperlink w:anchor="_Toc168189138" w:history="1">
            <w:r w:rsidR="001A4CF9" w:rsidRPr="002A3659">
              <w:rPr>
                <w:rStyle w:val="Hyperlink"/>
                <w:rFonts w:ascii="Arial" w:hAnsi="Arial"/>
                <w:noProof/>
              </w:rPr>
              <w:t>Turnaround Plan for Urban Heights</w:t>
            </w:r>
            <w:r w:rsidR="001A4CF9">
              <w:rPr>
                <w:noProof/>
                <w:webHidden/>
              </w:rPr>
              <w:tab/>
            </w:r>
            <w:r w:rsidR="001A4CF9">
              <w:rPr>
                <w:noProof/>
                <w:webHidden/>
              </w:rPr>
              <w:fldChar w:fldCharType="begin"/>
            </w:r>
            <w:r w:rsidR="001A4CF9">
              <w:rPr>
                <w:noProof/>
                <w:webHidden/>
              </w:rPr>
              <w:instrText xml:space="preserve"> PAGEREF _Toc168189138 \h </w:instrText>
            </w:r>
            <w:r w:rsidR="001A4CF9">
              <w:rPr>
                <w:noProof/>
                <w:webHidden/>
              </w:rPr>
            </w:r>
            <w:r w:rsidR="001A4CF9">
              <w:rPr>
                <w:noProof/>
                <w:webHidden/>
              </w:rPr>
              <w:fldChar w:fldCharType="separate"/>
            </w:r>
            <w:r w:rsidR="001A4CF9">
              <w:rPr>
                <w:noProof/>
                <w:webHidden/>
              </w:rPr>
              <w:t>9</w:t>
            </w:r>
            <w:r w:rsidR="001A4CF9">
              <w:rPr>
                <w:noProof/>
                <w:webHidden/>
              </w:rPr>
              <w:fldChar w:fldCharType="end"/>
            </w:r>
          </w:hyperlink>
        </w:p>
        <w:p w14:paraId="119EAA82" w14:textId="3DDA41E9" w:rsidR="001A4CF9" w:rsidRDefault="00000000" w:rsidP="001A4CF9">
          <w:pPr>
            <w:pStyle w:val="TOC1"/>
            <w:tabs>
              <w:tab w:val="right" w:leader="dot" w:pos="9016"/>
            </w:tabs>
            <w:spacing w:line="360" w:lineRule="auto"/>
            <w:rPr>
              <w:rFonts w:eastAsiaTheme="minorEastAsia"/>
              <w:noProof/>
              <w:lang w:eastAsia="en-GB"/>
            </w:rPr>
          </w:pPr>
          <w:hyperlink w:anchor="_Toc168189139" w:history="1">
            <w:r w:rsidR="001A4CF9" w:rsidRPr="002A3659">
              <w:rPr>
                <w:rStyle w:val="Hyperlink"/>
                <w:rFonts w:ascii="Arial" w:hAnsi="Arial"/>
                <w:noProof/>
              </w:rPr>
              <w:t>Conclusion</w:t>
            </w:r>
            <w:r w:rsidR="001A4CF9">
              <w:rPr>
                <w:noProof/>
                <w:webHidden/>
              </w:rPr>
              <w:tab/>
            </w:r>
            <w:r w:rsidR="001A4CF9">
              <w:rPr>
                <w:noProof/>
                <w:webHidden/>
              </w:rPr>
              <w:fldChar w:fldCharType="begin"/>
            </w:r>
            <w:r w:rsidR="001A4CF9">
              <w:rPr>
                <w:noProof/>
                <w:webHidden/>
              </w:rPr>
              <w:instrText xml:space="preserve"> PAGEREF _Toc168189139 \h </w:instrText>
            </w:r>
            <w:r w:rsidR="001A4CF9">
              <w:rPr>
                <w:noProof/>
                <w:webHidden/>
              </w:rPr>
            </w:r>
            <w:r w:rsidR="001A4CF9">
              <w:rPr>
                <w:noProof/>
                <w:webHidden/>
              </w:rPr>
              <w:fldChar w:fldCharType="separate"/>
            </w:r>
            <w:r w:rsidR="001A4CF9">
              <w:rPr>
                <w:noProof/>
                <w:webHidden/>
              </w:rPr>
              <w:t>11</w:t>
            </w:r>
            <w:r w:rsidR="001A4CF9">
              <w:rPr>
                <w:noProof/>
                <w:webHidden/>
              </w:rPr>
              <w:fldChar w:fldCharType="end"/>
            </w:r>
          </w:hyperlink>
        </w:p>
        <w:p w14:paraId="0EFFF101" w14:textId="1CD725D3" w:rsidR="001A4CF9" w:rsidRDefault="00000000" w:rsidP="001A4CF9">
          <w:pPr>
            <w:pStyle w:val="TOC1"/>
            <w:tabs>
              <w:tab w:val="right" w:leader="dot" w:pos="9016"/>
            </w:tabs>
            <w:spacing w:line="360" w:lineRule="auto"/>
            <w:rPr>
              <w:rFonts w:eastAsiaTheme="minorEastAsia"/>
              <w:noProof/>
              <w:lang w:eastAsia="en-GB"/>
            </w:rPr>
          </w:pPr>
          <w:hyperlink w:anchor="_Toc168189140" w:history="1">
            <w:r w:rsidR="001A4CF9" w:rsidRPr="002A3659">
              <w:rPr>
                <w:rStyle w:val="Hyperlink"/>
                <w:rFonts w:ascii="Arial" w:hAnsi="Arial"/>
                <w:noProof/>
              </w:rPr>
              <w:t>References</w:t>
            </w:r>
            <w:r w:rsidR="001A4CF9">
              <w:rPr>
                <w:noProof/>
                <w:webHidden/>
              </w:rPr>
              <w:tab/>
            </w:r>
            <w:r w:rsidR="001A4CF9">
              <w:rPr>
                <w:noProof/>
                <w:webHidden/>
              </w:rPr>
              <w:fldChar w:fldCharType="begin"/>
            </w:r>
            <w:r w:rsidR="001A4CF9">
              <w:rPr>
                <w:noProof/>
                <w:webHidden/>
              </w:rPr>
              <w:instrText xml:space="preserve"> PAGEREF _Toc168189140 \h </w:instrText>
            </w:r>
            <w:r w:rsidR="001A4CF9">
              <w:rPr>
                <w:noProof/>
                <w:webHidden/>
              </w:rPr>
            </w:r>
            <w:r w:rsidR="001A4CF9">
              <w:rPr>
                <w:noProof/>
                <w:webHidden/>
              </w:rPr>
              <w:fldChar w:fldCharType="separate"/>
            </w:r>
            <w:r w:rsidR="001A4CF9">
              <w:rPr>
                <w:noProof/>
                <w:webHidden/>
              </w:rPr>
              <w:t>12</w:t>
            </w:r>
            <w:r w:rsidR="001A4CF9">
              <w:rPr>
                <w:noProof/>
                <w:webHidden/>
              </w:rPr>
              <w:fldChar w:fldCharType="end"/>
            </w:r>
          </w:hyperlink>
        </w:p>
        <w:p w14:paraId="39C5C887" w14:textId="21CD2605" w:rsidR="00D9043B" w:rsidRPr="00A95A7D" w:rsidRDefault="00D9043B" w:rsidP="001A4CF9">
          <w:pPr>
            <w:spacing w:line="360" w:lineRule="auto"/>
            <w:jc w:val="both"/>
            <w:rPr>
              <w:rFonts w:ascii="Arial" w:hAnsi="Arial" w:cs="Arial"/>
              <w:sz w:val="24"/>
              <w:szCs w:val="24"/>
            </w:rPr>
          </w:pPr>
          <w:r w:rsidRPr="00A95A7D">
            <w:rPr>
              <w:rFonts w:ascii="Arial" w:hAnsi="Arial" w:cs="Arial"/>
              <w:b/>
              <w:bCs/>
              <w:noProof/>
              <w:sz w:val="24"/>
              <w:szCs w:val="24"/>
            </w:rPr>
            <w:fldChar w:fldCharType="end"/>
          </w:r>
        </w:p>
      </w:sdtContent>
    </w:sdt>
    <w:p w14:paraId="3CAA1C2F" w14:textId="77777777" w:rsidR="00D9043B" w:rsidRPr="00A95A7D" w:rsidRDefault="00D9043B" w:rsidP="008F7C75">
      <w:pPr>
        <w:spacing w:line="360" w:lineRule="auto"/>
        <w:jc w:val="both"/>
        <w:rPr>
          <w:rFonts w:ascii="Arial" w:hAnsi="Arial" w:cs="Arial"/>
          <w:sz w:val="24"/>
          <w:szCs w:val="24"/>
        </w:rPr>
      </w:pPr>
    </w:p>
    <w:p w14:paraId="02B70496" w14:textId="77777777" w:rsidR="00D9043B" w:rsidRPr="00A95A7D" w:rsidRDefault="00D9043B" w:rsidP="008F7C75">
      <w:pPr>
        <w:spacing w:line="360" w:lineRule="auto"/>
        <w:jc w:val="both"/>
        <w:rPr>
          <w:rFonts w:ascii="Arial" w:hAnsi="Arial" w:cs="Arial"/>
          <w:sz w:val="24"/>
          <w:szCs w:val="24"/>
        </w:rPr>
      </w:pPr>
      <w:r w:rsidRPr="00A95A7D">
        <w:rPr>
          <w:rFonts w:ascii="Arial" w:hAnsi="Arial" w:cs="Arial"/>
          <w:sz w:val="24"/>
          <w:szCs w:val="24"/>
        </w:rPr>
        <w:br w:type="page"/>
      </w:r>
    </w:p>
    <w:p w14:paraId="43437278" w14:textId="65081914" w:rsidR="00763FC3" w:rsidRPr="00A95A7D" w:rsidRDefault="00A371AE" w:rsidP="008F7C75">
      <w:pPr>
        <w:pStyle w:val="Heading1"/>
        <w:spacing w:line="360" w:lineRule="auto"/>
        <w:rPr>
          <w:rFonts w:ascii="Arial" w:hAnsi="Arial"/>
        </w:rPr>
      </w:pPr>
      <w:bookmarkStart w:id="0" w:name="_Toc168189131"/>
      <w:r w:rsidRPr="00A95A7D">
        <w:rPr>
          <w:rFonts w:ascii="Arial" w:hAnsi="Arial"/>
        </w:rPr>
        <w:lastRenderedPageBreak/>
        <w:t>Introduction</w:t>
      </w:r>
      <w:bookmarkEnd w:id="0"/>
    </w:p>
    <w:p w14:paraId="5782569B" w14:textId="0D83017B" w:rsidR="00163222" w:rsidRPr="00A95A7D" w:rsidRDefault="00D248A1" w:rsidP="008F7C75">
      <w:pPr>
        <w:spacing w:line="360" w:lineRule="auto"/>
        <w:jc w:val="both"/>
        <w:rPr>
          <w:rFonts w:ascii="Arial" w:hAnsi="Arial" w:cs="Arial"/>
          <w:sz w:val="24"/>
          <w:szCs w:val="24"/>
        </w:rPr>
      </w:pPr>
      <w:r w:rsidRPr="00A95A7D">
        <w:rPr>
          <w:rFonts w:ascii="Arial" w:hAnsi="Arial" w:cs="Arial"/>
          <w:sz w:val="24"/>
          <w:szCs w:val="24"/>
        </w:rPr>
        <w:t xml:space="preserve">The modern world has lots </w:t>
      </w:r>
      <w:r w:rsidR="00D3530B" w:rsidRPr="00A95A7D">
        <w:rPr>
          <w:rFonts w:ascii="Arial" w:hAnsi="Arial" w:cs="Arial"/>
          <w:sz w:val="24"/>
          <w:szCs w:val="24"/>
        </w:rPr>
        <w:t xml:space="preserve">of unique scenario where one business can thrive. The main target of these scenarios should be identification of the current condition and focusing the prospect of effective solution which will foster future revenue stream that will enhance the overall development of the business. For this business report, the case study that has been given to us Urban Heights. The problem with urban heights was in last 3 years there are drop in </w:t>
      </w:r>
      <w:r w:rsidR="0000070A" w:rsidRPr="00A95A7D">
        <w:rPr>
          <w:rFonts w:ascii="Arial" w:hAnsi="Arial" w:cs="Arial"/>
          <w:sz w:val="24"/>
          <w:szCs w:val="24"/>
        </w:rPr>
        <w:t>revenue which will be analysed here. The overall profitability of the company also went downhill due to increase of high operating expense</w:t>
      </w:r>
      <w:r w:rsidR="00D014EB">
        <w:rPr>
          <w:rFonts w:ascii="Arial" w:hAnsi="Arial" w:cs="Arial"/>
          <w:sz w:val="24"/>
          <w:szCs w:val="24"/>
        </w:rPr>
        <w:t xml:space="preserve"> (</w:t>
      </w:r>
      <w:proofErr w:type="spellStart"/>
      <w:r w:rsidR="00D014EB">
        <w:rPr>
          <w:rFonts w:ascii="Arial" w:hAnsi="Arial" w:cs="Arial"/>
          <w:color w:val="222222"/>
          <w:sz w:val="24"/>
          <w:szCs w:val="24"/>
          <w:shd w:val="clear" w:color="auto" w:fill="FFFFFF"/>
        </w:rPr>
        <w:t>Trahms</w:t>
      </w:r>
      <w:proofErr w:type="spellEnd"/>
      <w:r w:rsidR="00D014EB">
        <w:rPr>
          <w:rFonts w:ascii="Arial" w:hAnsi="Arial" w:cs="Arial"/>
          <w:color w:val="222222"/>
          <w:sz w:val="24"/>
          <w:szCs w:val="24"/>
          <w:shd w:val="clear" w:color="auto" w:fill="FFFFFF"/>
        </w:rPr>
        <w:t xml:space="preserve"> et al, 2013</w:t>
      </w:r>
      <w:r w:rsidR="00D014EB">
        <w:rPr>
          <w:rFonts w:ascii="Arial" w:hAnsi="Arial" w:cs="Arial"/>
          <w:sz w:val="24"/>
          <w:szCs w:val="24"/>
        </w:rPr>
        <w:t>)</w:t>
      </w:r>
      <w:r w:rsidR="0000070A" w:rsidRPr="00A95A7D">
        <w:rPr>
          <w:rFonts w:ascii="Arial" w:hAnsi="Arial" w:cs="Arial"/>
          <w:sz w:val="24"/>
          <w:szCs w:val="24"/>
        </w:rPr>
        <w:t>. The balance sheet shows the crucial information about current ration, liquidity ratio and others. This report will focus on the prospect of the necessary details on how it can identify the problems and will work on those particulars</w:t>
      </w:r>
      <w:r w:rsidR="00AC3583" w:rsidRPr="00A95A7D">
        <w:rPr>
          <w:rFonts w:ascii="Arial" w:hAnsi="Arial" w:cs="Arial"/>
          <w:sz w:val="24"/>
          <w:szCs w:val="24"/>
        </w:rPr>
        <w:t xml:space="preserve">. </w:t>
      </w:r>
      <w:r w:rsidR="00512ABA" w:rsidRPr="00A95A7D">
        <w:rPr>
          <w:rFonts w:ascii="Arial" w:hAnsi="Arial" w:cs="Arial"/>
          <w:sz w:val="24"/>
          <w:szCs w:val="24"/>
        </w:rPr>
        <w:t xml:space="preserve">The more correlation with this </w:t>
      </w:r>
      <w:r w:rsidR="00A46D13" w:rsidRPr="00A95A7D">
        <w:rPr>
          <w:rFonts w:ascii="Arial" w:hAnsi="Arial" w:cs="Arial"/>
          <w:sz w:val="24"/>
          <w:szCs w:val="24"/>
        </w:rPr>
        <w:t>will help th</w:t>
      </w:r>
      <w:r w:rsidR="00340D1A" w:rsidRPr="00A95A7D">
        <w:rPr>
          <w:rFonts w:ascii="Arial" w:hAnsi="Arial" w:cs="Arial"/>
          <w:sz w:val="24"/>
          <w:szCs w:val="24"/>
        </w:rPr>
        <w:t xml:space="preserve">e company to recommend </w:t>
      </w:r>
      <w:r w:rsidR="00161271" w:rsidRPr="00A95A7D">
        <w:rPr>
          <w:rFonts w:ascii="Arial" w:hAnsi="Arial" w:cs="Arial"/>
          <w:sz w:val="24"/>
          <w:szCs w:val="24"/>
        </w:rPr>
        <w:t xml:space="preserve">on how the work </w:t>
      </w:r>
      <w:r w:rsidR="004B7950" w:rsidRPr="00A95A7D">
        <w:rPr>
          <w:rFonts w:ascii="Arial" w:hAnsi="Arial" w:cs="Arial"/>
          <w:sz w:val="24"/>
          <w:szCs w:val="24"/>
        </w:rPr>
        <w:t xml:space="preserve">will focus on the recommendation of the future prospect of the company. This will help to turnaround plan for the Urban Heights which will ensure </w:t>
      </w:r>
      <w:r w:rsidR="00470EC7" w:rsidRPr="00A95A7D">
        <w:rPr>
          <w:rFonts w:ascii="Arial" w:hAnsi="Arial" w:cs="Arial"/>
          <w:sz w:val="24"/>
          <w:szCs w:val="24"/>
        </w:rPr>
        <w:t xml:space="preserve">the profitability and revenue </w:t>
      </w:r>
      <w:r w:rsidR="005F5DA2" w:rsidRPr="00A95A7D">
        <w:rPr>
          <w:rFonts w:ascii="Arial" w:hAnsi="Arial" w:cs="Arial"/>
          <w:sz w:val="24"/>
          <w:szCs w:val="24"/>
        </w:rPr>
        <w:t xml:space="preserve">improvement of the company. </w:t>
      </w:r>
    </w:p>
    <w:p w14:paraId="4DF983B8" w14:textId="5E46ABAD" w:rsidR="00163222" w:rsidRPr="00A95A7D" w:rsidRDefault="00163222" w:rsidP="008F7C75">
      <w:pPr>
        <w:spacing w:line="360" w:lineRule="auto"/>
        <w:rPr>
          <w:rFonts w:ascii="Arial" w:hAnsi="Arial" w:cs="Arial"/>
          <w:sz w:val="24"/>
          <w:szCs w:val="24"/>
        </w:rPr>
      </w:pPr>
    </w:p>
    <w:p w14:paraId="77EDFAB2" w14:textId="583506F4" w:rsidR="00DC3EB9" w:rsidRPr="00A95A7D" w:rsidRDefault="00163222" w:rsidP="008F7C75">
      <w:pPr>
        <w:spacing w:line="360" w:lineRule="auto"/>
        <w:rPr>
          <w:rFonts w:ascii="Arial" w:hAnsi="Arial" w:cs="Arial"/>
          <w:sz w:val="24"/>
          <w:szCs w:val="24"/>
        </w:rPr>
      </w:pPr>
      <w:r w:rsidRPr="00A95A7D">
        <w:rPr>
          <w:rFonts w:ascii="Arial" w:hAnsi="Arial" w:cs="Arial"/>
          <w:sz w:val="24"/>
          <w:szCs w:val="24"/>
        </w:rPr>
        <w:br w:type="page"/>
      </w:r>
    </w:p>
    <w:p w14:paraId="41EA8C6A" w14:textId="5FC85F87" w:rsidR="0048103D" w:rsidRPr="00A95A7D" w:rsidRDefault="00BD51F8" w:rsidP="008F7C75">
      <w:pPr>
        <w:pStyle w:val="Heading1"/>
        <w:spacing w:line="360" w:lineRule="auto"/>
        <w:rPr>
          <w:rFonts w:ascii="Arial" w:hAnsi="Arial"/>
        </w:rPr>
      </w:pPr>
      <w:bookmarkStart w:id="1" w:name="_Toc168189132"/>
      <w:r w:rsidRPr="00A95A7D">
        <w:rPr>
          <w:rFonts w:ascii="Arial" w:hAnsi="Arial"/>
        </w:rPr>
        <w:lastRenderedPageBreak/>
        <w:t>Evaluation of Trend and Pattern</w:t>
      </w:r>
      <w:bookmarkEnd w:id="1"/>
      <w:r w:rsidRPr="00A95A7D">
        <w:rPr>
          <w:rFonts w:ascii="Arial" w:hAnsi="Arial"/>
        </w:rPr>
        <w:t xml:space="preserve"> </w:t>
      </w:r>
    </w:p>
    <w:p w14:paraId="7D40E41F" w14:textId="7DD510AB" w:rsidR="00F74EE1" w:rsidRPr="00A95A7D" w:rsidRDefault="00461599" w:rsidP="00554B6A">
      <w:pPr>
        <w:spacing w:line="360" w:lineRule="auto"/>
        <w:jc w:val="both"/>
        <w:rPr>
          <w:rFonts w:ascii="Arial" w:hAnsi="Arial" w:cs="Arial"/>
          <w:sz w:val="24"/>
          <w:szCs w:val="24"/>
        </w:rPr>
      </w:pPr>
      <w:r w:rsidRPr="00A95A7D">
        <w:rPr>
          <w:rFonts w:ascii="Arial" w:hAnsi="Arial" w:cs="Arial"/>
          <w:sz w:val="24"/>
          <w:szCs w:val="24"/>
        </w:rPr>
        <w:t xml:space="preserve">The </w:t>
      </w:r>
      <w:r w:rsidR="00411018" w:rsidRPr="00A95A7D">
        <w:rPr>
          <w:rFonts w:ascii="Arial" w:hAnsi="Arial" w:cs="Arial"/>
          <w:sz w:val="24"/>
          <w:szCs w:val="24"/>
        </w:rPr>
        <w:t xml:space="preserve">financial condition </w:t>
      </w:r>
      <w:r w:rsidR="008F7C75" w:rsidRPr="00A95A7D">
        <w:rPr>
          <w:rFonts w:ascii="Arial" w:hAnsi="Arial" w:cs="Arial"/>
          <w:sz w:val="24"/>
          <w:szCs w:val="24"/>
        </w:rPr>
        <w:t>of the current company Urban Heights can be described into many scenarios</w:t>
      </w:r>
      <w:r w:rsidR="007B761B" w:rsidRPr="00A95A7D">
        <w:rPr>
          <w:rFonts w:ascii="Arial" w:hAnsi="Arial" w:cs="Arial"/>
          <w:sz w:val="24"/>
          <w:szCs w:val="24"/>
        </w:rPr>
        <w:t>. But a sol</w:t>
      </w:r>
      <w:r w:rsidR="00F74EE1" w:rsidRPr="00A95A7D">
        <w:rPr>
          <w:rFonts w:ascii="Arial" w:hAnsi="Arial" w:cs="Arial"/>
          <w:sz w:val="24"/>
          <w:szCs w:val="24"/>
        </w:rPr>
        <w:t>id</w:t>
      </w:r>
      <w:r w:rsidR="007B761B" w:rsidRPr="00A95A7D">
        <w:rPr>
          <w:rFonts w:ascii="Arial" w:hAnsi="Arial" w:cs="Arial"/>
          <w:sz w:val="24"/>
          <w:szCs w:val="24"/>
        </w:rPr>
        <w:t xml:space="preserve"> analysis will always help the overall outcome of the business in longer term</w:t>
      </w:r>
      <w:r w:rsidR="00DA6204">
        <w:rPr>
          <w:rFonts w:ascii="Arial" w:hAnsi="Arial" w:cs="Arial"/>
          <w:sz w:val="24"/>
          <w:szCs w:val="24"/>
        </w:rPr>
        <w:t xml:space="preserve"> (</w:t>
      </w:r>
      <w:proofErr w:type="spellStart"/>
      <w:r w:rsidR="00DA6204">
        <w:rPr>
          <w:rFonts w:ascii="Arial" w:hAnsi="Arial" w:cs="Arial"/>
          <w:color w:val="222222"/>
          <w:sz w:val="24"/>
          <w:szCs w:val="24"/>
          <w:shd w:val="clear" w:color="auto" w:fill="FFFFFF"/>
        </w:rPr>
        <w:t>Terdpaopong</w:t>
      </w:r>
      <w:proofErr w:type="spellEnd"/>
      <w:r w:rsidR="00DA6204">
        <w:rPr>
          <w:rFonts w:ascii="Arial" w:hAnsi="Arial" w:cs="Arial"/>
          <w:color w:val="222222"/>
          <w:sz w:val="24"/>
          <w:szCs w:val="24"/>
          <w:shd w:val="clear" w:color="auto" w:fill="FFFFFF"/>
        </w:rPr>
        <w:t xml:space="preserve"> et al, 2012</w:t>
      </w:r>
      <w:r w:rsidR="00DA6204">
        <w:rPr>
          <w:rFonts w:ascii="Arial" w:hAnsi="Arial" w:cs="Arial"/>
          <w:sz w:val="24"/>
          <w:szCs w:val="24"/>
        </w:rPr>
        <w:t>)</w:t>
      </w:r>
      <w:r w:rsidR="007B761B" w:rsidRPr="00A95A7D">
        <w:rPr>
          <w:rFonts w:ascii="Arial" w:hAnsi="Arial" w:cs="Arial"/>
          <w:sz w:val="24"/>
          <w:szCs w:val="24"/>
        </w:rPr>
        <w:t xml:space="preserve">. </w:t>
      </w:r>
      <w:r w:rsidR="00F74EE1" w:rsidRPr="00A95A7D">
        <w:rPr>
          <w:rFonts w:ascii="Arial" w:hAnsi="Arial" w:cs="Arial"/>
          <w:sz w:val="24"/>
          <w:szCs w:val="24"/>
        </w:rPr>
        <w:t>For this reason, the following analysis will be done according to the data that has been collected.</w:t>
      </w:r>
    </w:p>
    <w:p w14:paraId="6CCCB62A" w14:textId="2D661EE7" w:rsidR="00F74EE1" w:rsidRPr="00A95A7D" w:rsidRDefault="00F74EE1" w:rsidP="00DC547C">
      <w:pPr>
        <w:pStyle w:val="Heading2"/>
        <w:rPr>
          <w:rFonts w:ascii="Arial" w:hAnsi="Arial" w:cs="Arial"/>
        </w:rPr>
      </w:pPr>
      <w:bookmarkStart w:id="2" w:name="_Toc168189133"/>
      <w:r w:rsidRPr="00A95A7D">
        <w:rPr>
          <w:rFonts w:ascii="Arial" w:hAnsi="Arial" w:cs="Arial"/>
        </w:rPr>
        <w:t>Revenue Analysis</w:t>
      </w:r>
      <w:bookmarkEnd w:id="2"/>
    </w:p>
    <w:p w14:paraId="29710ED5" w14:textId="683D26DB" w:rsidR="00CD4B64" w:rsidRPr="00A95A7D" w:rsidRDefault="00A73C16" w:rsidP="00554B6A">
      <w:pPr>
        <w:spacing w:line="360" w:lineRule="auto"/>
        <w:jc w:val="both"/>
        <w:rPr>
          <w:rFonts w:ascii="Arial" w:hAnsi="Arial" w:cs="Arial"/>
          <w:sz w:val="24"/>
          <w:szCs w:val="24"/>
        </w:rPr>
      </w:pPr>
      <w:r w:rsidRPr="00A95A7D">
        <w:rPr>
          <w:rFonts w:ascii="Arial" w:hAnsi="Arial" w:cs="Arial"/>
          <w:sz w:val="24"/>
          <w:szCs w:val="24"/>
        </w:rPr>
        <w:t>The first thing for a company to survive is revenue. If a company does not make revenue in longer term. It is not possible for one</w:t>
      </w:r>
      <w:r w:rsidR="00CD4B64" w:rsidRPr="00A95A7D">
        <w:rPr>
          <w:rFonts w:ascii="Arial" w:hAnsi="Arial" w:cs="Arial"/>
          <w:sz w:val="24"/>
          <w:szCs w:val="24"/>
        </w:rPr>
        <w:t xml:space="preserve"> company to grow if the revenue drops down to certain level. For this report, the 3 year of revenue of Urban Heights has been calculated. </w:t>
      </w:r>
    </w:p>
    <w:tbl>
      <w:tblPr>
        <w:tblStyle w:val="GridTable4-Accent6"/>
        <w:tblW w:w="6560" w:type="dxa"/>
        <w:jc w:val="center"/>
        <w:tblLook w:val="04A0" w:firstRow="1" w:lastRow="0" w:firstColumn="1" w:lastColumn="0" w:noHBand="0" w:noVBand="1"/>
      </w:tblPr>
      <w:tblGrid>
        <w:gridCol w:w="2380"/>
        <w:gridCol w:w="1420"/>
        <w:gridCol w:w="1420"/>
        <w:gridCol w:w="1418"/>
      </w:tblGrid>
      <w:tr w:rsidR="00CD4B64" w:rsidRPr="00CD4B64" w14:paraId="08ECC703" w14:textId="77777777" w:rsidTr="0003457F">
        <w:trPr>
          <w:cnfStyle w:val="100000000000" w:firstRow="1" w:lastRow="0" w:firstColumn="0" w:lastColumn="0" w:oddVBand="0" w:evenVBand="0" w:oddHBand="0"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79DC8E1E" w14:textId="77777777" w:rsidR="00CD4B64" w:rsidRPr="00CD4B64" w:rsidRDefault="00CD4B64" w:rsidP="00CD4B64">
            <w:pPr>
              <w:jc w:val="center"/>
              <w:rPr>
                <w:rFonts w:ascii="Arial" w:eastAsia="Times New Roman" w:hAnsi="Arial" w:cs="Arial"/>
                <w:color w:val="000000"/>
                <w:sz w:val="24"/>
                <w:szCs w:val="24"/>
                <w:lang w:eastAsia="en-GB"/>
              </w:rPr>
            </w:pPr>
            <w:r w:rsidRPr="00CD4B64">
              <w:rPr>
                <w:rFonts w:ascii="Arial" w:eastAsia="Times New Roman" w:hAnsi="Arial" w:cs="Arial"/>
                <w:color w:val="000000"/>
                <w:sz w:val="24"/>
                <w:szCs w:val="24"/>
                <w:lang w:eastAsia="en-GB"/>
              </w:rPr>
              <w:t xml:space="preserve">Year </w:t>
            </w:r>
          </w:p>
        </w:tc>
        <w:tc>
          <w:tcPr>
            <w:tcW w:w="1420" w:type="dxa"/>
            <w:noWrap/>
            <w:hideMark/>
          </w:tcPr>
          <w:p w14:paraId="1D44FE1A" w14:textId="77777777" w:rsidR="00CD4B64" w:rsidRPr="00CD4B64" w:rsidRDefault="00CD4B64" w:rsidP="00CD4B6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D4B64">
              <w:rPr>
                <w:rFonts w:ascii="Arial" w:eastAsia="Times New Roman" w:hAnsi="Arial" w:cs="Arial"/>
                <w:color w:val="000000"/>
                <w:sz w:val="24"/>
                <w:szCs w:val="24"/>
                <w:lang w:eastAsia="en-GB"/>
              </w:rPr>
              <w:t>2021</w:t>
            </w:r>
          </w:p>
        </w:tc>
        <w:tc>
          <w:tcPr>
            <w:tcW w:w="1420" w:type="dxa"/>
            <w:noWrap/>
            <w:hideMark/>
          </w:tcPr>
          <w:p w14:paraId="7AD4DFD1" w14:textId="77777777" w:rsidR="00CD4B64" w:rsidRPr="00CD4B64" w:rsidRDefault="00CD4B64" w:rsidP="00CD4B6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D4B64">
              <w:rPr>
                <w:rFonts w:ascii="Arial" w:eastAsia="Times New Roman" w:hAnsi="Arial" w:cs="Arial"/>
                <w:color w:val="000000"/>
                <w:sz w:val="24"/>
                <w:szCs w:val="24"/>
                <w:lang w:eastAsia="en-GB"/>
              </w:rPr>
              <w:t>2022</w:t>
            </w:r>
          </w:p>
        </w:tc>
        <w:tc>
          <w:tcPr>
            <w:tcW w:w="1340" w:type="dxa"/>
            <w:noWrap/>
            <w:hideMark/>
          </w:tcPr>
          <w:p w14:paraId="539B53DA" w14:textId="77777777" w:rsidR="00CD4B64" w:rsidRPr="00CD4B64" w:rsidRDefault="00CD4B64" w:rsidP="00CD4B6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D4B64">
              <w:rPr>
                <w:rFonts w:ascii="Arial" w:eastAsia="Times New Roman" w:hAnsi="Arial" w:cs="Arial"/>
                <w:color w:val="000000"/>
                <w:sz w:val="24"/>
                <w:szCs w:val="24"/>
                <w:lang w:eastAsia="en-GB"/>
              </w:rPr>
              <w:t>2023</w:t>
            </w:r>
          </w:p>
        </w:tc>
      </w:tr>
      <w:tr w:rsidR="00CD4B64" w:rsidRPr="00CD4B64" w14:paraId="6400558B" w14:textId="77777777" w:rsidTr="0003457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7E9B7861" w14:textId="77777777" w:rsidR="00CD4B64" w:rsidRPr="00CD4B64" w:rsidRDefault="00CD4B64" w:rsidP="00CD4B64">
            <w:pPr>
              <w:rPr>
                <w:rFonts w:ascii="Arial" w:eastAsia="Times New Roman" w:hAnsi="Arial" w:cs="Arial"/>
                <w:color w:val="000000"/>
                <w:sz w:val="24"/>
                <w:szCs w:val="24"/>
                <w:lang w:eastAsia="en-GB"/>
              </w:rPr>
            </w:pPr>
            <w:r w:rsidRPr="00CD4B64">
              <w:rPr>
                <w:rFonts w:ascii="Arial" w:eastAsia="Times New Roman" w:hAnsi="Arial" w:cs="Arial"/>
                <w:color w:val="000000"/>
                <w:sz w:val="24"/>
                <w:szCs w:val="24"/>
                <w:lang w:eastAsia="en-GB"/>
              </w:rPr>
              <w:t xml:space="preserve">Revenue </w:t>
            </w:r>
          </w:p>
        </w:tc>
        <w:tc>
          <w:tcPr>
            <w:tcW w:w="1420" w:type="dxa"/>
            <w:noWrap/>
            <w:hideMark/>
          </w:tcPr>
          <w:p w14:paraId="2D662D95" w14:textId="77777777" w:rsidR="00CD4B64" w:rsidRPr="00CD4B64" w:rsidRDefault="00CD4B64" w:rsidP="00CD4B64">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D4B64">
              <w:rPr>
                <w:rFonts w:ascii="Arial" w:eastAsia="Times New Roman" w:hAnsi="Arial" w:cs="Arial"/>
                <w:color w:val="000000"/>
                <w:sz w:val="24"/>
                <w:szCs w:val="24"/>
                <w:lang w:eastAsia="en-GB"/>
              </w:rPr>
              <w:t xml:space="preserve">£2,500,000 </w:t>
            </w:r>
          </w:p>
        </w:tc>
        <w:tc>
          <w:tcPr>
            <w:tcW w:w="1420" w:type="dxa"/>
            <w:noWrap/>
            <w:hideMark/>
          </w:tcPr>
          <w:p w14:paraId="43EF68D9" w14:textId="77777777" w:rsidR="00CD4B64" w:rsidRPr="00CD4B64" w:rsidRDefault="00CD4B64" w:rsidP="00CD4B64">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D4B64">
              <w:rPr>
                <w:rFonts w:ascii="Arial" w:eastAsia="Times New Roman" w:hAnsi="Arial" w:cs="Arial"/>
                <w:color w:val="000000"/>
                <w:sz w:val="24"/>
                <w:szCs w:val="24"/>
                <w:lang w:eastAsia="en-GB"/>
              </w:rPr>
              <w:t xml:space="preserve">£2,200,000 </w:t>
            </w:r>
          </w:p>
        </w:tc>
        <w:tc>
          <w:tcPr>
            <w:tcW w:w="1340" w:type="dxa"/>
            <w:noWrap/>
            <w:hideMark/>
          </w:tcPr>
          <w:p w14:paraId="52961DC1" w14:textId="77777777" w:rsidR="00CD4B64" w:rsidRPr="00CD4B64" w:rsidRDefault="00CD4B64" w:rsidP="00CD4B64">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D4B64">
              <w:rPr>
                <w:rFonts w:ascii="Arial" w:eastAsia="Times New Roman" w:hAnsi="Arial" w:cs="Arial"/>
                <w:color w:val="000000"/>
                <w:sz w:val="24"/>
                <w:szCs w:val="24"/>
                <w:lang w:eastAsia="en-GB"/>
              </w:rPr>
              <w:t>£1,800,000</w:t>
            </w:r>
          </w:p>
        </w:tc>
      </w:tr>
    </w:tbl>
    <w:p w14:paraId="0D088C82" w14:textId="08583C07" w:rsidR="00CD4B64" w:rsidRPr="00A95A7D" w:rsidRDefault="00CD4B64" w:rsidP="008F7C75">
      <w:pPr>
        <w:spacing w:line="360" w:lineRule="auto"/>
        <w:rPr>
          <w:rFonts w:ascii="Arial" w:hAnsi="Arial" w:cs="Arial"/>
          <w:sz w:val="24"/>
          <w:szCs w:val="24"/>
        </w:rPr>
      </w:pPr>
    </w:p>
    <w:p w14:paraId="3C038D11" w14:textId="61437A9E" w:rsidR="00CD4B64" w:rsidRPr="00A95A7D" w:rsidRDefault="00CD4B64" w:rsidP="00A95A7D">
      <w:pPr>
        <w:spacing w:line="360" w:lineRule="auto"/>
        <w:jc w:val="both"/>
        <w:rPr>
          <w:rFonts w:ascii="Arial" w:hAnsi="Arial" w:cs="Arial"/>
          <w:sz w:val="24"/>
          <w:szCs w:val="24"/>
        </w:rPr>
      </w:pPr>
      <w:r w:rsidRPr="00A95A7D">
        <w:rPr>
          <w:rFonts w:ascii="Arial" w:hAnsi="Arial" w:cs="Arial"/>
          <w:sz w:val="24"/>
          <w:szCs w:val="24"/>
        </w:rPr>
        <w:t>As we are seeing here in the first year the revenue was 2,500,000 GBP and it has a declining curve</w:t>
      </w:r>
      <w:r w:rsidR="00965350">
        <w:rPr>
          <w:rFonts w:ascii="Arial" w:hAnsi="Arial" w:cs="Arial"/>
          <w:sz w:val="24"/>
          <w:szCs w:val="24"/>
        </w:rPr>
        <w:t xml:space="preserve"> (</w:t>
      </w:r>
      <w:proofErr w:type="spellStart"/>
      <w:r w:rsidR="00965350">
        <w:rPr>
          <w:rFonts w:ascii="Arial" w:hAnsi="Arial" w:cs="Arial"/>
          <w:color w:val="222222"/>
          <w:sz w:val="24"/>
          <w:szCs w:val="24"/>
          <w:shd w:val="clear" w:color="auto" w:fill="FFFFFF"/>
        </w:rPr>
        <w:t>Tangpong</w:t>
      </w:r>
      <w:proofErr w:type="spellEnd"/>
      <w:r w:rsidR="00965350">
        <w:rPr>
          <w:rFonts w:ascii="Arial" w:hAnsi="Arial" w:cs="Arial"/>
          <w:color w:val="222222"/>
          <w:sz w:val="24"/>
          <w:szCs w:val="24"/>
          <w:shd w:val="clear" w:color="auto" w:fill="FFFFFF"/>
        </w:rPr>
        <w:t xml:space="preserve"> et al, 2015</w:t>
      </w:r>
      <w:r w:rsidR="00965350">
        <w:rPr>
          <w:rFonts w:ascii="Arial" w:hAnsi="Arial" w:cs="Arial"/>
          <w:sz w:val="24"/>
          <w:szCs w:val="24"/>
        </w:rPr>
        <w:t>)</w:t>
      </w:r>
      <w:r w:rsidRPr="00A95A7D">
        <w:rPr>
          <w:rFonts w:ascii="Arial" w:hAnsi="Arial" w:cs="Arial"/>
          <w:sz w:val="24"/>
          <w:szCs w:val="24"/>
        </w:rPr>
        <w:t xml:space="preserve">. In the next year it lost 300,000 GBP in </w:t>
      </w:r>
      <w:r w:rsidR="000D2B1B" w:rsidRPr="00A95A7D">
        <w:rPr>
          <w:rFonts w:ascii="Arial" w:hAnsi="Arial" w:cs="Arial"/>
          <w:sz w:val="24"/>
          <w:szCs w:val="24"/>
        </w:rPr>
        <w:t>revenue as</w:t>
      </w:r>
      <w:r w:rsidR="00F34AD1" w:rsidRPr="00A95A7D">
        <w:rPr>
          <w:rFonts w:ascii="Arial" w:hAnsi="Arial" w:cs="Arial"/>
          <w:sz w:val="24"/>
          <w:szCs w:val="24"/>
        </w:rPr>
        <w:t xml:space="preserve"> in 2021 the </w:t>
      </w:r>
      <w:r w:rsidR="00EE282B" w:rsidRPr="00A95A7D">
        <w:rPr>
          <w:rFonts w:ascii="Arial" w:hAnsi="Arial" w:cs="Arial"/>
          <w:sz w:val="24"/>
          <w:szCs w:val="24"/>
        </w:rPr>
        <w:t>Covid-19</w:t>
      </w:r>
      <w:r w:rsidR="00F34AD1" w:rsidRPr="00A95A7D">
        <w:rPr>
          <w:rFonts w:ascii="Arial" w:hAnsi="Arial" w:cs="Arial"/>
          <w:sz w:val="24"/>
          <w:szCs w:val="24"/>
        </w:rPr>
        <w:t xml:space="preserve"> 19 was in full swing, this might be the reason behind this. The next year </w:t>
      </w:r>
      <w:r w:rsidR="002846D1" w:rsidRPr="00A95A7D">
        <w:rPr>
          <w:rFonts w:ascii="Arial" w:hAnsi="Arial" w:cs="Arial"/>
          <w:sz w:val="24"/>
          <w:szCs w:val="24"/>
        </w:rPr>
        <w:t xml:space="preserve">2022, still could not take the backlash of falling economy </w:t>
      </w:r>
      <w:r w:rsidR="00886210" w:rsidRPr="00A95A7D">
        <w:rPr>
          <w:rFonts w:ascii="Arial" w:hAnsi="Arial" w:cs="Arial"/>
          <w:sz w:val="24"/>
          <w:szCs w:val="24"/>
        </w:rPr>
        <w:t xml:space="preserve">and also lost 400,000 GBP in revenue. If we plot the graph in the excel we will be seeing a downward trend which says the next year the </w:t>
      </w:r>
      <w:r w:rsidR="00347967" w:rsidRPr="00A95A7D">
        <w:rPr>
          <w:rFonts w:ascii="Arial" w:hAnsi="Arial" w:cs="Arial"/>
          <w:sz w:val="24"/>
          <w:szCs w:val="24"/>
        </w:rPr>
        <w:t xml:space="preserve">revenue will be much less. </w:t>
      </w:r>
    </w:p>
    <w:p w14:paraId="430CC9A7" w14:textId="07CB19EB" w:rsidR="00BF4C04" w:rsidRPr="00A95A7D" w:rsidRDefault="00BF4C04" w:rsidP="0003457F">
      <w:pPr>
        <w:spacing w:line="360" w:lineRule="auto"/>
        <w:jc w:val="center"/>
        <w:rPr>
          <w:rFonts w:ascii="Arial" w:hAnsi="Arial" w:cs="Arial"/>
          <w:sz w:val="24"/>
          <w:szCs w:val="24"/>
        </w:rPr>
      </w:pPr>
      <w:r w:rsidRPr="00A95A7D">
        <w:rPr>
          <w:rFonts w:ascii="Arial" w:hAnsi="Arial" w:cs="Arial"/>
          <w:noProof/>
        </w:rPr>
        <w:drawing>
          <wp:inline distT="0" distB="0" distL="0" distR="0" wp14:anchorId="0ABA58D6" wp14:editId="29EEB521">
            <wp:extent cx="4562475" cy="2695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62475" cy="2695575"/>
                    </a:xfrm>
                    <a:prstGeom prst="rect">
                      <a:avLst/>
                    </a:prstGeom>
                  </pic:spPr>
                </pic:pic>
              </a:graphicData>
            </a:graphic>
          </wp:inline>
        </w:drawing>
      </w:r>
    </w:p>
    <w:p w14:paraId="15AE03E5" w14:textId="3783F91C" w:rsidR="00D72CCA" w:rsidRPr="00A95A7D" w:rsidRDefault="00D72CCA" w:rsidP="0003457F">
      <w:pPr>
        <w:spacing w:line="360" w:lineRule="auto"/>
        <w:jc w:val="center"/>
        <w:rPr>
          <w:rFonts w:ascii="Arial" w:hAnsi="Arial" w:cs="Arial"/>
          <w:sz w:val="24"/>
          <w:szCs w:val="24"/>
        </w:rPr>
      </w:pPr>
      <w:r w:rsidRPr="00A95A7D">
        <w:rPr>
          <w:rFonts w:ascii="Arial" w:hAnsi="Arial" w:cs="Arial"/>
          <w:sz w:val="24"/>
          <w:szCs w:val="24"/>
        </w:rPr>
        <w:t xml:space="preserve">Figure 1: The revenue analysis graph of </w:t>
      </w:r>
      <w:r w:rsidR="000F47E3">
        <w:rPr>
          <w:rFonts w:ascii="Arial" w:hAnsi="Arial" w:cs="Arial"/>
          <w:sz w:val="24"/>
          <w:szCs w:val="24"/>
        </w:rPr>
        <w:t>Urban Heights</w:t>
      </w:r>
    </w:p>
    <w:p w14:paraId="0820877A" w14:textId="0D8244E8" w:rsidR="00340F78" w:rsidRPr="00A95A7D" w:rsidRDefault="009452D7" w:rsidP="00DC547C">
      <w:pPr>
        <w:pStyle w:val="Heading2"/>
        <w:rPr>
          <w:rFonts w:ascii="Arial" w:hAnsi="Arial" w:cs="Arial"/>
        </w:rPr>
      </w:pPr>
      <w:bookmarkStart w:id="3" w:name="_Toc168189134"/>
      <w:r w:rsidRPr="00A95A7D">
        <w:rPr>
          <w:rFonts w:ascii="Arial" w:hAnsi="Arial" w:cs="Arial"/>
        </w:rPr>
        <w:lastRenderedPageBreak/>
        <w:t xml:space="preserve">Operating Expense Analysis </w:t>
      </w:r>
      <w:r w:rsidR="00032F81">
        <w:rPr>
          <w:rFonts w:ascii="Arial" w:hAnsi="Arial" w:cs="Arial"/>
        </w:rPr>
        <w:t>and Its impact on Profit</w:t>
      </w:r>
      <w:bookmarkEnd w:id="3"/>
    </w:p>
    <w:p w14:paraId="37500475" w14:textId="5E54F6E1" w:rsidR="009452D7" w:rsidRPr="00A95A7D" w:rsidRDefault="0000622D" w:rsidP="008F7C75">
      <w:pPr>
        <w:spacing w:line="360" w:lineRule="auto"/>
        <w:rPr>
          <w:rFonts w:ascii="Arial" w:hAnsi="Arial" w:cs="Arial"/>
          <w:sz w:val="24"/>
          <w:szCs w:val="24"/>
        </w:rPr>
      </w:pPr>
      <w:r w:rsidRPr="00A95A7D">
        <w:rPr>
          <w:rFonts w:ascii="Arial" w:hAnsi="Arial" w:cs="Arial"/>
          <w:sz w:val="24"/>
          <w:szCs w:val="24"/>
        </w:rPr>
        <w:t xml:space="preserve">As we </w:t>
      </w:r>
      <w:r w:rsidR="00030829" w:rsidRPr="00A95A7D">
        <w:rPr>
          <w:rFonts w:ascii="Arial" w:hAnsi="Arial" w:cs="Arial"/>
          <w:sz w:val="24"/>
          <w:szCs w:val="24"/>
        </w:rPr>
        <w:t xml:space="preserve">are looking for </w:t>
      </w:r>
      <w:r w:rsidR="009C64FD" w:rsidRPr="00A95A7D">
        <w:rPr>
          <w:rFonts w:ascii="Arial" w:hAnsi="Arial" w:cs="Arial"/>
          <w:sz w:val="24"/>
          <w:szCs w:val="24"/>
        </w:rPr>
        <w:t>the operating expense, there is also a problem there. The operating expense is also rising</w:t>
      </w:r>
      <w:r w:rsidR="00DB1E91" w:rsidRPr="00A95A7D">
        <w:rPr>
          <w:rFonts w:ascii="Arial" w:hAnsi="Arial" w:cs="Arial"/>
          <w:sz w:val="24"/>
          <w:szCs w:val="24"/>
        </w:rPr>
        <w:t xml:space="preserve"> on the basis of 200,000 GBP is first year and 300,000 GBP which </w:t>
      </w:r>
      <w:r w:rsidR="00BA071D" w:rsidRPr="00A95A7D">
        <w:rPr>
          <w:rFonts w:ascii="Arial" w:hAnsi="Arial" w:cs="Arial"/>
          <w:sz w:val="24"/>
          <w:szCs w:val="24"/>
        </w:rPr>
        <w:t xml:space="preserve">is problematic in future. </w:t>
      </w:r>
    </w:p>
    <w:tbl>
      <w:tblPr>
        <w:tblStyle w:val="GridTable4-Accent6"/>
        <w:tblW w:w="6560" w:type="dxa"/>
        <w:jc w:val="center"/>
        <w:tblLook w:val="04A0" w:firstRow="1" w:lastRow="0" w:firstColumn="1" w:lastColumn="0" w:noHBand="0" w:noVBand="1"/>
      </w:tblPr>
      <w:tblGrid>
        <w:gridCol w:w="2380"/>
        <w:gridCol w:w="1420"/>
        <w:gridCol w:w="1420"/>
        <w:gridCol w:w="1418"/>
      </w:tblGrid>
      <w:tr w:rsidR="00BA071D" w:rsidRPr="00BA071D" w14:paraId="3A3D4181" w14:textId="77777777" w:rsidTr="0003457F">
        <w:trPr>
          <w:cnfStyle w:val="100000000000" w:firstRow="1" w:lastRow="0" w:firstColumn="0" w:lastColumn="0" w:oddVBand="0" w:evenVBand="0" w:oddHBand="0"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7A25B41D" w14:textId="77777777" w:rsidR="00BA071D" w:rsidRPr="00BA071D" w:rsidRDefault="00BA071D" w:rsidP="00BA071D">
            <w:pPr>
              <w:jc w:val="center"/>
              <w:rPr>
                <w:rFonts w:ascii="Arial" w:eastAsia="Times New Roman" w:hAnsi="Arial" w:cs="Arial"/>
                <w:color w:val="000000"/>
                <w:sz w:val="24"/>
                <w:szCs w:val="24"/>
                <w:lang w:eastAsia="en-GB"/>
              </w:rPr>
            </w:pPr>
            <w:r w:rsidRPr="00BA071D">
              <w:rPr>
                <w:rFonts w:ascii="Arial" w:eastAsia="Times New Roman" w:hAnsi="Arial" w:cs="Arial"/>
                <w:color w:val="000000"/>
                <w:sz w:val="24"/>
                <w:szCs w:val="24"/>
                <w:lang w:eastAsia="en-GB"/>
              </w:rPr>
              <w:t xml:space="preserve">Item </w:t>
            </w:r>
          </w:p>
        </w:tc>
        <w:tc>
          <w:tcPr>
            <w:tcW w:w="1420" w:type="dxa"/>
            <w:noWrap/>
            <w:hideMark/>
          </w:tcPr>
          <w:p w14:paraId="137BC7E8" w14:textId="77777777" w:rsidR="00BA071D" w:rsidRPr="00BA071D" w:rsidRDefault="00BA071D" w:rsidP="00BA071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A071D">
              <w:rPr>
                <w:rFonts w:ascii="Arial" w:eastAsia="Times New Roman" w:hAnsi="Arial" w:cs="Arial"/>
                <w:color w:val="000000"/>
                <w:sz w:val="24"/>
                <w:szCs w:val="24"/>
                <w:lang w:eastAsia="en-GB"/>
              </w:rPr>
              <w:t>2021</w:t>
            </w:r>
          </w:p>
        </w:tc>
        <w:tc>
          <w:tcPr>
            <w:tcW w:w="1420" w:type="dxa"/>
            <w:noWrap/>
            <w:hideMark/>
          </w:tcPr>
          <w:p w14:paraId="0EB0BD11" w14:textId="77777777" w:rsidR="00BA071D" w:rsidRPr="00BA071D" w:rsidRDefault="00BA071D" w:rsidP="00BA071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A071D">
              <w:rPr>
                <w:rFonts w:ascii="Arial" w:eastAsia="Times New Roman" w:hAnsi="Arial" w:cs="Arial"/>
                <w:color w:val="000000"/>
                <w:sz w:val="24"/>
                <w:szCs w:val="24"/>
                <w:lang w:eastAsia="en-GB"/>
              </w:rPr>
              <w:t>2022</w:t>
            </w:r>
          </w:p>
        </w:tc>
        <w:tc>
          <w:tcPr>
            <w:tcW w:w="1340" w:type="dxa"/>
            <w:noWrap/>
            <w:hideMark/>
          </w:tcPr>
          <w:p w14:paraId="2D51E7FB" w14:textId="77777777" w:rsidR="00BA071D" w:rsidRPr="00BA071D" w:rsidRDefault="00BA071D" w:rsidP="00BA071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A071D">
              <w:rPr>
                <w:rFonts w:ascii="Arial" w:eastAsia="Times New Roman" w:hAnsi="Arial" w:cs="Arial"/>
                <w:color w:val="000000"/>
                <w:sz w:val="24"/>
                <w:szCs w:val="24"/>
                <w:lang w:eastAsia="en-GB"/>
              </w:rPr>
              <w:t>2023</w:t>
            </w:r>
          </w:p>
        </w:tc>
      </w:tr>
      <w:tr w:rsidR="00BA071D" w:rsidRPr="00BA071D" w14:paraId="44E2AF2A" w14:textId="77777777" w:rsidTr="0003457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5B06C9FA" w14:textId="77777777" w:rsidR="00BA071D" w:rsidRPr="00BA071D" w:rsidRDefault="00BA071D" w:rsidP="00BA071D">
            <w:pPr>
              <w:rPr>
                <w:rFonts w:ascii="Arial" w:eastAsia="Times New Roman" w:hAnsi="Arial" w:cs="Arial"/>
                <w:color w:val="000000"/>
                <w:sz w:val="24"/>
                <w:szCs w:val="24"/>
                <w:lang w:eastAsia="en-GB"/>
              </w:rPr>
            </w:pPr>
            <w:r w:rsidRPr="00BA071D">
              <w:rPr>
                <w:rFonts w:ascii="Arial" w:eastAsia="Times New Roman" w:hAnsi="Arial" w:cs="Arial"/>
                <w:color w:val="000000"/>
                <w:sz w:val="24"/>
                <w:szCs w:val="24"/>
                <w:lang w:eastAsia="en-GB"/>
              </w:rPr>
              <w:t xml:space="preserve">Operating Expenses </w:t>
            </w:r>
          </w:p>
        </w:tc>
        <w:tc>
          <w:tcPr>
            <w:tcW w:w="1420" w:type="dxa"/>
            <w:noWrap/>
            <w:hideMark/>
          </w:tcPr>
          <w:p w14:paraId="2E7F6D0A" w14:textId="77777777" w:rsidR="00BA071D" w:rsidRPr="00BA071D" w:rsidRDefault="00BA071D" w:rsidP="00BA071D">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A071D">
              <w:rPr>
                <w:rFonts w:ascii="Arial" w:eastAsia="Times New Roman" w:hAnsi="Arial" w:cs="Arial"/>
                <w:color w:val="000000"/>
                <w:sz w:val="24"/>
                <w:szCs w:val="24"/>
                <w:lang w:eastAsia="en-GB"/>
              </w:rPr>
              <w:t xml:space="preserve">£1,800,000 </w:t>
            </w:r>
          </w:p>
        </w:tc>
        <w:tc>
          <w:tcPr>
            <w:tcW w:w="1420" w:type="dxa"/>
            <w:noWrap/>
            <w:hideMark/>
          </w:tcPr>
          <w:p w14:paraId="6986DDB7" w14:textId="77777777" w:rsidR="00BA071D" w:rsidRPr="00BA071D" w:rsidRDefault="00BA071D" w:rsidP="00BA071D">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A071D">
              <w:rPr>
                <w:rFonts w:ascii="Arial" w:eastAsia="Times New Roman" w:hAnsi="Arial" w:cs="Arial"/>
                <w:color w:val="000000"/>
                <w:sz w:val="24"/>
                <w:szCs w:val="24"/>
                <w:lang w:eastAsia="en-GB"/>
              </w:rPr>
              <w:t xml:space="preserve">£2,000,000 </w:t>
            </w:r>
          </w:p>
        </w:tc>
        <w:tc>
          <w:tcPr>
            <w:tcW w:w="1340" w:type="dxa"/>
            <w:noWrap/>
            <w:hideMark/>
          </w:tcPr>
          <w:p w14:paraId="75F4A173" w14:textId="77777777" w:rsidR="00BA071D" w:rsidRPr="00BA071D" w:rsidRDefault="00BA071D" w:rsidP="00BA071D">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A071D">
              <w:rPr>
                <w:rFonts w:ascii="Arial" w:eastAsia="Times New Roman" w:hAnsi="Arial" w:cs="Arial"/>
                <w:color w:val="000000"/>
                <w:sz w:val="24"/>
                <w:szCs w:val="24"/>
                <w:lang w:eastAsia="en-GB"/>
              </w:rPr>
              <w:t>£2,300,000</w:t>
            </w:r>
          </w:p>
        </w:tc>
      </w:tr>
    </w:tbl>
    <w:p w14:paraId="7C90115E" w14:textId="77777777" w:rsidR="00BA071D" w:rsidRPr="00A95A7D" w:rsidRDefault="00BA071D" w:rsidP="008F7C75">
      <w:pPr>
        <w:spacing w:line="360" w:lineRule="auto"/>
        <w:rPr>
          <w:rFonts w:ascii="Arial" w:hAnsi="Arial" w:cs="Arial"/>
          <w:sz w:val="24"/>
          <w:szCs w:val="24"/>
        </w:rPr>
      </w:pPr>
    </w:p>
    <w:p w14:paraId="5A0BA61D" w14:textId="2C09FF2B" w:rsidR="00CF0FAA" w:rsidRPr="00A95A7D" w:rsidRDefault="00BA071D" w:rsidP="008F7C75">
      <w:pPr>
        <w:spacing w:line="360" w:lineRule="auto"/>
        <w:rPr>
          <w:rFonts w:ascii="Arial" w:hAnsi="Arial" w:cs="Arial"/>
          <w:sz w:val="24"/>
          <w:szCs w:val="24"/>
        </w:rPr>
      </w:pPr>
      <w:r w:rsidRPr="00A95A7D">
        <w:rPr>
          <w:rFonts w:ascii="Arial" w:hAnsi="Arial" w:cs="Arial"/>
          <w:sz w:val="24"/>
          <w:szCs w:val="24"/>
        </w:rPr>
        <w:t>The trend curve is given below. It also shows that the curve is moving upwards.</w:t>
      </w:r>
      <w:r w:rsidR="00C5449F" w:rsidRPr="00A95A7D">
        <w:rPr>
          <w:rFonts w:ascii="Arial" w:hAnsi="Arial" w:cs="Arial"/>
          <w:sz w:val="24"/>
          <w:szCs w:val="24"/>
        </w:rPr>
        <w:t xml:space="preserve"> The next year is possibly getting higher operating expense. </w:t>
      </w:r>
      <w:r w:rsidRPr="00A95A7D">
        <w:rPr>
          <w:rFonts w:ascii="Arial" w:hAnsi="Arial" w:cs="Arial"/>
          <w:sz w:val="24"/>
          <w:szCs w:val="24"/>
        </w:rPr>
        <w:t xml:space="preserve"> </w:t>
      </w:r>
    </w:p>
    <w:p w14:paraId="0F1A11C1" w14:textId="490D6839" w:rsidR="00CF0FAA" w:rsidRPr="00A95A7D" w:rsidRDefault="00CF0FAA" w:rsidP="0003457F">
      <w:pPr>
        <w:spacing w:line="360" w:lineRule="auto"/>
        <w:jc w:val="center"/>
        <w:rPr>
          <w:rFonts w:ascii="Arial" w:hAnsi="Arial" w:cs="Arial"/>
          <w:sz w:val="24"/>
          <w:szCs w:val="24"/>
        </w:rPr>
      </w:pPr>
      <w:r w:rsidRPr="00A95A7D">
        <w:rPr>
          <w:rFonts w:ascii="Arial" w:hAnsi="Arial" w:cs="Arial"/>
          <w:noProof/>
        </w:rPr>
        <w:drawing>
          <wp:inline distT="0" distB="0" distL="0" distR="0" wp14:anchorId="21DD591A" wp14:editId="43B00C31">
            <wp:extent cx="4581525" cy="2714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81525" cy="2714625"/>
                    </a:xfrm>
                    <a:prstGeom prst="rect">
                      <a:avLst/>
                    </a:prstGeom>
                  </pic:spPr>
                </pic:pic>
              </a:graphicData>
            </a:graphic>
          </wp:inline>
        </w:drawing>
      </w:r>
    </w:p>
    <w:p w14:paraId="1CD07C7A" w14:textId="22A6598B" w:rsidR="0076099A" w:rsidRPr="00A95A7D" w:rsidRDefault="0080120C" w:rsidP="00E264F1">
      <w:pPr>
        <w:spacing w:line="360" w:lineRule="auto"/>
        <w:jc w:val="center"/>
        <w:rPr>
          <w:rFonts w:ascii="Arial" w:hAnsi="Arial" w:cs="Arial"/>
          <w:sz w:val="24"/>
          <w:szCs w:val="24"/>
        </w:rPr>
      </w:pPr>
      <w:r w:rsidRPr="00A95A7D">
        <w:rPr>
          <w:rFonts w:ascii="Arial" w:hAnsi="Arial" w:cs="Arial"/>
          <w:sz w:val="24"/>
          <w:szCs w:val="24"/>
        </w:rPr>
        <w:t>Figure</w:t>
      </w:r>
      <w:r w:rsidR="008479F1">
        <w:rPr>
          <w:rFonts w:ascii="Arial" w:hAnsi="Arial" w:cs="Arial"/>
          <w:sz w:val="24"/>
          <w:szCs w:val="24"/>
        </w:rPr>
        <w:t xml:space="preserve"> 2: </w:t>
      </w:r>
      <w:r w:rsidR="008479F1" w:rsidRPr="00A95A7D">
        <w:rPr>
          <w:rFonts w:ascii="Arial" w:hAnsi="Arial" w:cs="Arial"/>
          <w:sz w:val="24"/>
          <w:szCs w:val="24"/>
        </w:rPr>
        <w:t xml:space="preserve">The </w:t>
      </w:r>
      <w:r w:rsidR="008479F1">
        <w:rPr>
          <w:rFonts w:ascii="Arial" w:hAnsi="Arial" w:cs="Arial"/>
          <w:sz w:val="24"/>
          <w:szCs w:val="24"/>
        </w:rPr>
        <w:t xml:space="preserve">operating expense </w:t>
      </w:r>
      <w:r w:rsidR="008479F1" w:rsidRPr="00A95A7D">
        <w:rPr>
          <w:rFonts w:ascii="Arial" w:hAnsi="Arial" w:cs="Arial"/>
          <w:sz w:val="24"/>
          <w:szCs w:val="24"/>
        </w:rPr>
        <w:t xml:space="preserve">analysis graph of </w:t>
      </w:r>
      <w:r w:rsidR="008479F1">
        <w:rPr>
          <w:rFonts w:ascii="Arial" w:hAnsi="Arial" w:cs="Arial"/>
          <w:sz w:val="24"/>
          <w:szCs w:val="24"/>
        </w:rPr>
        <w:t>Urban Heights</w:t>
      </w:r>
    </w:p>
    <w:p w14:paraId="0CA4A687" w14:textId="403B76F0" w:rsidR="003327E6" w:rsidRPr="00A95A7D" w:rsidRDefault="00444A27" w:rsidP="00DC547C">
      <w:pPr>
        <w:pStyle w:val="Heading2"/>
        <w:rPr>
          <w:rFonts w:ascii="Arial" w:hAnsi="Arial" w:cs="Arial"/>
        </w:rPr>
      </w:pPr>
      <w:bookmarkStart w:id="4" w:name="_Toc168189135"/>
      <w:r w:rsidRPr="00A95A7D">
        <w:rPr>
          <w:rFonts w:ascii="Arial" w:hAnsi="Arial" w:cs="Arial"/>
        </w:rPr>
        <w:t>Balance Sheet Analysis</w:t>
      </w:r>
      <w:bookmarkEnd w:id="4"/>
    </w:p>
    <w:p w14:paraId="607542F4" w14:textId="79450C88" w:rsidR="0076099A"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The company's obligations remain unchanged from 2021 to 2023, however there is a concerning trend in the company's asset base and equity. During these three years, the research will analy</w:t>
      </w:r>
      <w:r w:rsidR="00EC0FA4">
        <w:rPr>
          <w:rFonts w:ascii="Arial" w:hAnsi="Arial" w:cs="Arial"/>
          <w:sz w:val="24"/>
          <w:szCs w:val="24"/>
        </w:rPr>
        <w:t>s</w:t>
      </w:r>
      <w:r w:rsidRPr="00A95A7D">
        <w:rPr>
          <w:rFonts w:ascii="Arial" w:hAnsi="Arial" w:cs="Arial"/>
          <w:sz w:val="24"/>
          <w:szCs w:val="24"/>
        </w:rPr>
        <w:t>e the company's assets, liabilities, and equity, focusing on significant changes and the financial impact they had</w:t>
      </w:r>
      <w:r w:rsidR="00EF6544">
        <w:rPr>
          <w:rFonts w:ascii="Arial" w:hAnsi="Arial" w:cs="Arial"/>
          <w:sz w:val="24"/>
          <w:szCs w:val="24"/>
        </w:rPr>
        <w:t xml:space="preserve"> (</w:t>
      </w:r>
      <w:r w:rsidR="00EF6544">
        <w:rPr>
          <w:rFonts w:ascii="Arial" w:hAnsi="Arial" w:cs="Arial"/>
          <w:color w:val="222222"/>
          <w:sz w:val="24"/>
          <w:szCs w:val="24"/>
          <w:shd w:val="clear" w:color="auto" w:fill="FFFFFF"/>
        </w:rPr>
        <w:t>Slatter, 2006</w:t>
      </w:r>
      <w:r w:rsidR="00EF6544">
        <w:rPr>
          <w:rFonts w:ascii="Arial" w:hAnsi="Arial" w:cs="Arial"/>
          <w:sz w:val="24"/>
          <w:szCs w:val="24"/>
        </w:rPr>
        <w:t>)</w:t>
      </w:r>
      <w:r w:rsidRPr="00A95A7D">
        <w:rPr>
          <w:rFonts w:ascii="Arial" w:hAnsi="Arial" w:cs="Arial"/>
          <w:sz w:val="24"/>
          <w:szCs w:val="24"/>
        </w:rPr>
        <w:t>.</w:t>
      </w:r>
    </w:p>
    <w:p w14:paraId="621480C1" w14:textId="4C27CD19" w:rsidR="0076099A"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 xml:space="preserve">A more thorough examination of the business's assets reveals a significant decline. A liquidity issue or large unrecouped withdrawals might explain the precipitous decline in cash and equivalents from £300,000 in 2021 to £100,000 in 2023. This precipitous </w:t>
      </w:r>
      <w:r w:rsidRPr="00A95A7D">
        <w:rPr>
          <w:rFonts w:ascii="Arial" w:hAnsi="Arial" w:cs="Arial"/>
          <w:sz w:val="24"/>
          <w:szCs w:val="24"/>
        </w:rPr>
        <w:lastRenderedPageBreak/>
        <w:t>decline can indicate that the company is spending too much money without seeing any immediate benefits or is having trouble keeping its funds in reserve.</w:t>
      </w:r>
    </w:p>
    <w:p w14:paraId="51EF4AE8" w14:textId="4DD19E51" w:rsidR="0076099A"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In 2023, the amount of money owed by customers decreased from £150,000 in 2021 to £80,000. A decrease in sales, leading to a reduction in outstanding receivables, or an improvement in the efficiency of receivables collection could explain this dip. The impact on business operations and cash flow of either scenario requires more investigation.</w:t>
      </w:r>
    </w:p>
    <w:tbl>
      <w:tblPr>
        <w:tblStyle w:val="GridTable5Dark-Accent6"/>
        <w:tblW w:w="4946" w:type="pct"/>
        <w:tblLook w:val="04A0" w:firstRow="1" w:lastRow="0" w:firstColumn="1" w:lastColumn="0" w:noHBand="0" w:noVBand="1"/>
      </w:tblPr>
      <w:tblGrid>
        <w:gridCol w:w="3546"/>
        <w:gridCol w:w="1791"/>
        <w:gridCol w:w="1791"/>
        <w:gridCol w:w="1791"/>
      </w:tblGrid>
      <w:tr w:rsidR="009B3A72" w:rsidRPr="009B3A72" w14:paraId="51B2C18D" w14:textId="77777777" w:rsidTr="001B6374">
        <w:trPr>
          <w:cnfStyle w:val="100000000000" w:firstRow="1" w:lastRow="0" w:firstColumn="0" w:lastColumn="0" w:oddVBand="0" w:evenVBand="0" w:oddHBand="0"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1988" w:type="pct"/>
            <w:noWrap/>
            <w:hideMark/>
          </w:tcPr>
          <w:p w14:paraId="5FAA3A3A" w14:textId="39592790" w:rsidR="009B3A72" w:rsidRPr="009B3A72" w:rsidRDefault="009B3A72" w:rsidP="00311EFE">
            <w:pPr>
              <w:jc w:val="center"/>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Asset/Liability</w:t>
            </w:r>
          </w:p>
        </w:tc>
        <w:tc>
          <w:tcPr>
            <w:tcW w:w="1004" w:type="pct"/>
            <w:noWrap/>
            <w:hideMark/>
          </w:tcPr>
          <w:p w14:paraId="2088A7C7" w14:textId="77777777" w:rsidR="009B3A72" w:rsidRPr="009B3A72" w:rsidRDefault="009B3A72" w:rsidP="00311EF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2021</w:t>
            </w:r>
          </w:p>
        </w:tc>
        <w:tc>
          <w:tcPr>
            <w:tcW w:w="1004" w:type="pct"/>
            <w:noWrap/>
            <w:hideMark/>
          </w:tcPr>
          <w:p w14:paraId="35993591" w14:textId="77777777" w:rsidR="009B3A72" w:rsidRPr="009B3A72" w:rsidRDefault="009B3A72" w:rsidP="00311EF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2022</w:t>
            </w:r>
          </w:p>
        </w:tc>
        <w:tc>
          <w:tcPr>
            <w:tcW w:w="1004" w:type="pct"/>
            <w:noWrap/>
            <w:hideMark/>
          </w:tcPr>
          <w:p w14:paraId="51A8BEF6" w14:textId="77777777" w:rsidR="009B3A72" w:rsidRPr="009B3A72" w:rsidRDefault="009B3A72" w:rsidP="00311EF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2023</w:t>
            </w:r>
          </w:p>
        </w:tc>
      </w:tr>
      <w:tr w:rsidR="009B3A72" w:rsidRPr="009B3A72" w14:paraId="38F933A5" w14:textId="77777777" w:rsidTr="001B6374">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1988" w:type="pct"/>
            <w:noWrap/>
            <w:hideMark/>
          </w:tcPr>
          <w:p w14:paraId="51B8246D" w14:textId="2C4FA07F" w:rsidR="009B3A72" w:rsidRPr="009B3A72" w:rsidRDefault="009B3A72" w:rsidP="00311EFE">
            <w:pPr>
              <w:jc w:val="center"/>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Cash and Equivalents</w:t>
            </w:r>
          </w:p>
        </w:tc>
        <w:tc>
          <w:tcPr>
            <w:tcW w:w="1004" w:type="pct"/>
            <w:noWrap/>
            <w:hideMark/>
          </w:tcPr>
          <w:p w14:paraId="205A3A26" w14:textId="05CCF22B"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£300,000</w:t>
            </w:r>
          </w:p>
        </w:tc>
        <w:tc>
          <w:tcPr>
            <w:tcW w:w="1004" w:type="pct"/>
            <w:noWrap/>
            <w:hideMark/>
          </w:tcPr>
          <w:p w14:paraId="40758165" w14:textId="227320C8"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£200,000</w:t>
            </w:r>
          </w:p>
        </w:tc>
        <w:tc>
          <w:tcPr>
            <w:tcW w:w="1004" w:type="pct"/>
            <w:noWrap/>
            <w:hideMark/>
          </w:tcPr>
          <w:p w14:paraId="76F1E55E" w14:textId="77777777"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£100,000</w:t>
            </w:r>
          </w:p>
        </w:tc>
      </w:tr>
      <w:tr w:rsidR="009B3A72" w:rsidRPr="009B3A72" w14:paraId="24A65EEF" w14:textId="77777777" w:rsidTr="001B6374">
        <w:trPr>
          <w:trHeight w:val="403"/>
        </w:trPr>
        <w:tc>
          <w:tcPr>
            <w:cnfStyle w:val="001000000000" w:firstRow="0" w:lastRow="0" w:firstColumn="1" w:lastColumn="0" w:oddVBand="0" w:evenVBand="0" w:oddHBand="0" w:evenHBand="0" w:firstRowFirstColumn="0" w:firstRowLastColumn="0" w:lastRowFirstColumn="0" w:lastRowLastColumn="0"/>
            <w:tcW w:w="1988" w:type="pct"/>
            <w:noWrap/>
            <w:hideMark/>
          </w:tcPr>
          <w:p w14:paraId="4B3F1B61" w14:textId="35BD653C" w:rsidR="009B3A72" w:rsidRPr="009B3A72" w:rsidRDefault="009B3A72" w:rsidP="00311EFE">
            <w:pPr>
              <w:jc w:val="center"/>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Accounts Receivable</w:t>
            </w:r>
          </w:p>
        </w:tc>
        <w:tc>
          <w:tcPr>
            <w:tcW w:w="1004" w:type="pct"/>
            <w:noWrap/>
            <w:hideMark/>
          </w:tcPr>
          <w:p w14:paraId="4F0A3B4B" w14:textId="3DE17AB3"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£150,000</w:t>
            </w:r>
          </w:p>
        </w:tc>
        <w:tc>
          <w:tcPr>
            <w:tcW w:w="1004" w:type="pct"/>
            <w:noWrap/>
            <w:hideMark/>
          </w:tcPr>
          <w:p w14:paraId="56918B08" w14:textId="0E2CFEF2"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£100,000</w:t>
            </w:r>
          </w:p>
        </w:tc>
        <w:tc>
          <w:tcPr>
            <w:tcW w:w="1004" w:type="pct"/>
            <w:noWrap/>
            <w:hideMark/>
          </w:tcPr>
          <w:p w14:paraId="288F8321" w14:textId="77777777"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£80,000</w:t>
            </w:r>
          </w:p>
        </w:tc>
      </w:tr>
      <w:tr w:rsidR="009B3A72" w:rsidRPr="009B3A72" w14:paraId="474B8C23" w14:textId="77777777" w:rsidTr="001B6374">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1988" w:type="pct"/>
            <w:noWrap/>
            <w:hideMark/>
          </w:tcPr>
          <w:p w14:paraId="1D94B76A" w14:textId="5075C1E0" w:rsidR="009B3A72" w:rsidRPr="009B3A72" w:rsidRDefault="009B3A72" w:rsidP="00311EFE">
            <w:pPr>
              <w:jc w:val="center"/>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Property and Equipment</w:t>
            </w:r>
          </w:p>
        </w:tc>
        <w:tc>
          <w:tcPr>
            <w:tcW w:w="1004" w:type="pct"/>
            <w:noWrap/>
            <w:hideMark/>
          </w:tcPr>
          <w:p w14:paraId="6D4D2703" w14:textId="509B7D0D"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£5,000,000</w:t>
            </w:r>
          </w:p>
        </w:tc>
        <w:tc>
          <w:tcPr>
            <w:tcW w:w="1004" w:type="pct"/>
            <w:noWrap/>
            <w:hideMark/>
          </w:tcPr>
          <w:p w14:paraId="43DE7F32" w14:textId="78192AEB"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£4,800,000</w:t>
            </w:r>
          </w:p>
        </w:tc>
        <w:tc>
          <w:tcPr>
            <w:tcW w:w="1004" w:type="pct"/>
            <w:noWrap/>
            <w:hideMark/>
          </w:tcPr>
          <w:p w14:paraId="49C28A97" w14:textId="77777777"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£4,500,000</w:t>
            </w:r>
          </w:p>
        </w:tc>
      </w:tr>
      <w:tr w:rsidR="009B3A72" w:rsidRPr="009B3A72" w14:paraId="1822FB9F" w14:textId="77777777" w:rsidTr="001B6374">
        <w:trPr>
          <w:trHeight w:val="403"/>
        </w:trPr>
        <w:tc>
          <w:tcPr>
            <w:cnfStyle w:val="001000000000" w:firstRow="0" w:lastRow="0" w:firstColumn="1" w:lastColumn="0" w:oddVBand="0" w:evenVBand="0" w:oddHBand="0" w:evenHBand="0" w:firstRowFirstColumn="0" w:firstRowLastColumn="0" w:lastRowFirstColumn="0" w:lastRowLastColumn="0"/>
            <w:tcW w:w="1988" w:type="pct"/>
            <w:noWrap/>
            <w:hideMark/>
          </w:tcPr>
          <w:p w14:paraId="384BE6EB" w14:textId="78907958" w:rsidR="009B3A72" w:rsidRPr="009B3A72" w:rsidRDefault="009B3A72" w:rsidP="00311EFE">
            <w:pPr>
              <w:jc w:val="center"/>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Total Assets</w:t>
            </w:r>
          </w:p>
        </w:tc>
        <w:tc>
          <w:tcPr>
            <w:tcW w:w="1004" w:type="pct"/>
            <w:noWrap/>
            <w:hideMark/>
          </w:tcPr>
          <w:p w14:paraId="52E694CB" w14:textId="598C2E76"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£5,450,000</w:t>
            </w:r>
          </w:p>
        </w:tc>
        <w:tc>
          <w:tcPr>
            <w:tcW w:w="1004" w:type="pct"/>
            <w:noWrap/>
            <w:hideMark/>
          </w:tcPr>
          <w:p w14:paraId="72E71E43" w14:textId="71DF4AB1"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£5,100,000</w:t>
            </w:r>
          </w:p>
        </w:tc>
        <w:tc>
          <w:tcPr>
            <w:tcW w:w="1004" w:type="pct"/>
            <w:noWrap/>
            <w:hideMark/>
          </w:tcPr>
          <w:p w14:paraId="2780ED79" w14:textId="77777777"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£4,680,000</w:t>
            </w:r>
          </w:p>
        </w:tc>
      </w:tr>
      <w:tr w:rsidR="009B3A72" w:rsidRPr="009B3A72" w14:paraId="618C354C" w14:textId="77777777" w:rsidTr="001B6374">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1988" w:type="pct"/>
            <w:noWrap/>
            <w:hideMark/>
          </w:tcPr>
          <w:p w14:paraId="111BD33D" w14:textId="1E4162BC" w:rsidR="009B3A72" w:rsidRPr="009B3A72" w:rsidRDefault="009B3A72" w:rsidP="00311EFE">
            <w:pPr>
              <w:jc w:val="center"/>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Accounts Payable</w:t>
            </w:r>
          </w:p>
        </w:tc>
        <w:tc>
          <w:tcPr>
            <w:tcW w:w="1004" w:type="pct"/>
            <w:noWrap/>
            <w:hideMark/>
          </w:tcPr>
          <w:p w14:paraId="738381C8" w14:textId="4D7598A4"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£250,000</w:t>
            </w:r>
          </w:p>
        </w:tc>
        <w:tc>
          <w:tcPr>
            <w:tcW w:w="1004" w:type="pct"/>
            <w:noWrap/>
            <w:hideMark/>
          </w:tcPr>
          <w:p w14:paraId="1716BF75" w14:textId="336DBD52"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£270,000</w:t>
            </w:r>
          </w:p>
        </w:tc>
        <w:tc>
          <w:tcPr>
            <w:tcW w:w="1004" w:type="pct"/>
            <w:noWrap/>
            <w:hideMark/>
          </w:tcPr>
          <w:p w14:paraId="5EBBB143" w14:textId="77777777"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£300,000</w:t>
            </w:r>
          </w:p>
        </w:tc>
      </w:tr>
      <w:tr w:rsidR="009B3A72" w:rsidRPr="009B3A72" w14:paraId="497FA472" w14:textId="77777777" w:rsidTr="001B6374">
        <w:trPr>
          <w:trHeight w:val="403"/>
        </w:trPr>
        <w:tc>
          <w:tcPr>
            <w:cnfStyle w:val="001000000000" w:firstRow="0" w:lastRow="0" w:firstColumn="1" w:lastColumn="0" w:oddVBand="0" w:evenVBand="0" w:oddHBand="0" w:evenHBand="0" w:firstRowFirstColumn="0" w:firstRowLastColumn="0" w:lastRowFirstColumn="0" w:lastRowLastColumn="0"/>
            <w:tcW w:w="1988" w:type="pct"/>
            <w:noWrap/>
            <w:hideMark/>
          </w:tcPr>
          <w:p w14:paraId="5AE59C45" w14:textId="1404C24A" w:rsidR="009B3A72" w:rsidRPr="009B3A72" w:rsidRDefault="009B3A72" w:rsidP="00311EFE">
            <w:pPr>
              <w:jc w:val="center"/>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Long-term Debt</w:t>
            </w:r>
          </w:p>
        </w:tc>
        <w:tc>
          <w:tcPr>
            <w:tcW w:w="1004" w:type="pct"/>
            <w:noWrap/>
            <w:hideMark/>
          </w:tcPr>
          <w:p w14:paraId="35A8DFFA" w14:textId="159E6003"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£3,000,000</w:t>
            </w:r>
          </w:p>
        </w:tc>
        <w:tc>
          <w:tcPr>
            <w:tcW w:w="1004" w:type="pct"/>
            <w:noWrap/>
            <w:hideMark/>
          </w:tcPr>
          <w:p w14:paraId="2AA55CA7" w14:textId="77D5FF5F"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£3,000,000</w:t>
            </w:r>
          </w:p>
        </w:tc>
        <w:tc>
          <w:tcPr>
            <w:tcW w:w="1004" w:type="pct"/>
            <w:noWrap/>
            <w:hideMark/>
          </w:tcPr>
          <w:p w14:paraId="24E03C8D" w14:textId="77777777"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£3,000,000</w:t>
            </w:r>
          </w:p>
        </w:tc>
      </w:tr>
      <w:tr w:rsidR="009B3A72" w:rsidRPr="009B3A72" w14:paraId="732A401D" w14:textId="77777777" w:rsidTr="001B6374">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1988" w:type="pct"/>
            <w:noWrap/>
            <w:hideMark/>
          </w:tcPr>
          <w:p w14:paraId="40D47E3C" w14:textId="67B2C6C3" w:rsidR="009B3A72" w:rsidRPr="009B3A72" w:rsidRDefault="009B3A72" w:rsidP="00311EFE">
            <w:pPr>
              <w:jc w:val="center"/>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Total Liabilities</w:t>
            </w:r>
          </w:p>
        </w:tc>
        <w:tc>
          <w:tcPr>
            <w:tcW w:w="1004" w:type="pct"/>
            <w:noWrap/>
            <w:hideMark/>
          </w:tcPr>
          <w:p w14:paraId="32FB8EF3" w14:textId="50800C5E"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£3,250,000</w:t>
            </w:r>
          </w:p>
        </w:tc>
        <w:tc>
          <w:tcPr>
            <w:tcW w:w="1004" w:type="pct"/>
            <w:noWrap/>
            <w:hideMark/>
          </w:tcPr>
          <w:p w14:paraId="77A7E13B" w14:textId="5B6750B5"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£3,270,000</w:t>
            </w:r>
          </w:p>
        </w:tc>
        <w:tc>
          <w:tcPr>
            <w:tcW w:w="1004" w:type="pct"/>
            <w:noWrap/>
            <w:hideMark/>
          </w:tcPr>
          <w:p w14:paraId="7E789648" w14:textId="77777777" w:rsidR="009B3A72" w:rsidRPr="009B3A72" w:rsidRDefault="009B3A72" w:rsidP="00311EFE">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£3,300,000</w:t>
            </w:r>
          </w:p>
        </w:tc>
      </w:tr>
      <w:tr w:rsidR="009B3A72" w:rsidRPr="009B3A72" w14:paraId="0128EA0B" w14:textId="77777777" w:rsidTr="001B6374">
        <w:trPr>
          <w:trHeight w:val="403"/>
        </w:trPr>
        <w:tc>
          <w:tcPr>
            <w:cnfStyle w:val="001000000000" w:firstRow="0" w:lastRow="0" w:firstColumn="1" w:lastColumn="0" w:oddVBand="0" w:evenVBand="0" w:oddHBand="0" w:evenHBand="0" w:firstRowFirstColumn="0" w:firstRowLastColumn="0" w:lastRowFirstColumn="0" w:lastRowLastColumn="0"/>
            <w:tcW w:w="1988" w:type="pct"/>
            <w:noWrap/>
            <w:hideMark/>
          </w:tcPr>
          <w:p w14:paraId="36EA9165" w14:textId="25901270" w:rsidR="009B3A72" w:rsidRPr="009B3A72" w:rsidRDefault="009B3A72" w:rsidP="00311EFE">
            <w:pPr>
              <w:jc w:val="center"/>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Equity</w:t>
            </w:r>
          </w:p>
        </w:tc>
        <w:tc>
          <w:tcPr>
            <w:tcW w:w="1004" w:type="pct"/>
            <w:noWrap/>
            <w:hideMark/>
          </w:tcPr>
          <w:p w14:paraId="5FD8A914" w14:textId="23200EA2"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£2,200,000</w:t>
            </w:r>
          </w:p>
        </w:tc>
        <w:tc>
          <w:tcPr>
            <w:tcW w:w="1004" w:type="pct"/>
            <w:noWrap/>
            <w:hideMark/>
          </w:tcPr>
          <w:p w14:paraId="15DB58DB" w14:textId="1FDE1C51"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£1,830,000</w:t>
            </w:r>
          </w:p>
        </w:tc>
        <w:tc>
          <w:tcPr>
            <w:tcW w:w="1004" w:type="pct"/>
            <w:noWrap/>
            <w:hideMark/>
          </w:tcPr>
          <w:p w14:paraId="1AEC9550" w14:textId="77777777" w:rsidR="009B3A72" w:rsidRPr="009B3A72" w:rsidRDefault="009B3A72" w:rsidP="00311EF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9B3A72">
              <w:rPr>
                <w:rFonts w:ascii="Arial" w:eastAsia="Times New Roman" w:hAnsi="Arial" w:cs="Arial"/>
                <w:color w:val="000000"/>
                <w:sz w:val="24"/>
                <w:szCs w:val="24"/>
                <w:lang w:eastAsia="en-GB"/>
              </w:rPr>
              <w:t>£1,380,000</w:t>
            </w:r>
          </w:p>
        </w:tc>
      </w:tr>
    </w:tbl>
    <w:p w14:paraId="7DB35639" w14:textId="26F1237F" w:rsidR="00C74380" w:rsidRPr="00A95A7D" w:rsidRDefault="00E264F1" w:rsidP="00311EFE">
      <w:pPr>
        <w:spacing w:line="360" w:lineRule="auto"/>
        <w:jc w:val="center"/>
        <w:rPr>
          <w:rFonts w:ascii="Arial" w:hAnsi="Arial" w:cs="Arial"/>
          <w:sz w:val="24"/>
          <w:szCs w:val="24"/>
        </w:rPr>
      </w:pPr>
      <w:r>
        <w:rPr>
          <w:rFonts w:ascii="Arial" w:hAnsi="Arial" w:cs="Arial"/>
          <w:sz w:val="24"/>
          <w:szCs w:val="24"/>
        </w:rPr>
        <w:t xml:space="preserve">Figure 3: The Balance Sheet for </w:t>
      </w:r>
      <w:r w:rsidR="003E57A6">
        <w:rPr>
          <w:rFonts w:ascii="Arial" w:hAnsi="Arial" w:cs="Arial"/>
          <w:sz w:val="24"/>
          <w:szCs w:val="24"/>
        </w:rPr>
        <w:t>Urban Heights</w:t>
      </w:r>
    </w:p>
    <w:p w14:paraId="415D968C" w14:textId="0571F2A7" w:rsidR="0076099A"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By 2023, the value of the company's property and equipment had dropped from £5,000,000 in 2021 to £4,500,000. This drop can be due to depreciation or the sale of assets incurred by the company. But the trend of declining investment suggests the company isn't putting enough money into asset upkeep and improvements, which can impact operational capacity in the long run.</w:t>
      </w:r>
    </w:p>
    <w:p w14:paraId="2AF4E71D" w14:textId="7F76B5F9" w:rsidR="0076099A"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Between 2021 and 2023, total assets dropped from £5,450,000 to £4,680,000, a decrease of 14.1%. The company's ability to grow and stay in business is called into doubt by this ongoing depletion of assets.</w:t>
      </w:r>
    </w:p>
    <w:p w14:paraId="5FC2FBBC" w14:textId="45376B61" w:rsidR="0076099A" w:rsidRDefault="0076099A" w:rsidP="0076099A">
      <w:pPr>
        <w:spacing w:line="360" w:lineRule="auto"/>
        <w:jc w:val="both"/>
        <w:rPr>
          <w:rFonts w:ascii="Arial" w:hAnsi="Arial" w:cs="Arial"/>
          <w:sz w:val="24"/>
          <w:szCs w:val="24"/>
        </w:rPr>
      </w:pPr>
      <w:r w:rsidRPr="00A95A7D">
        <w:rPr>
          <w:rFonts w:ascii="Arial" w:hAnsi="Arial" w:cs="Arial"/>
          <w:sz w:val="24"/>
          <w:szCs w:val="24"/>
        </w:rPr>
        <w:t>A little rise was seen in the firm's liabilities. In 2023, accounts payable, which represent short-term liabilities to suppliers, increased from £250,000 in 2021 to £300,000. This increase might be due to additional purchasing activity or to payment terms that suppliers have negotiated. While this could help with liquidity in the near term, it might cause problems in the road if the company has to postpone payments in order to deal with liquidity.</w:t>
      </w:r>
    </w:p>
    <w:p w14:paraId="7A1F496B" w14:textId="13E72523" w:rsidR="00E44D66" w:rsidRPr="00A95A7D" w:rsidRDefault="00E44D66" w:rsidP="002468A9">
      <w:pPr>
        <w:pStyle w:val="Heading1"/>
      </w:pPr>
      <w:bookmarkStart w:id="5" w:name="_Toc168189136"/>
      <w:r>
        <w:lastRenderedPageBreak/>
        <w:t>Risk Analysis</w:t>
      </w:r>
      <w:r w:rsidR="002468A9">
        <w:t xml:space="preserve"> of Urban Heights</w:t>
      </w:r>
      <w:bookmarkEnd w:id="5"/>
      <w:r w:rsidR="002468A9">
        <w:t xml:space="preserve"> </w:t>
      </w:r>
    </w:p>
    <w:p w14:paraId="7B0C3150" w14:textId="25837D45" w:rsidR="0076099A"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£3,000,000 in long-term debt has never changed. The company has maintained its financial stability by refraining from taking on more long-term debt, which might lower its risk profile. Nonetheless, this indicates that the company has refrained from using debt financing for its development</w:t>
      </w:r>
      <w:r w:rsidR="00A67929">
        <w:rPr>
          <w:rFonts w:ascii="Arial" w:hAnsi="Arial" w:cs="Arial"/>
          <w:sz w:val="24"/>
          <w:szCs w:val="24"/>
        </w:rPr>
        <w:t xml:space="preserve"> (</w:t>
      </w:r>
      <w:r w:rsidR="00A67929">
        <w:rPr>
          <w:rFonts w:ascii="Arial" w:hAnsi="Arial" w:cs="Arial"/>
          <w:color w:val="222222"/>
          <w:sz w:val="24"/>
          <w:szCs w:val="24"/>
          <w:shd w:val="clear" w:color="auto" w:fill="FFFFFF"/>
        </w:rPr>
        <w:t>Singhania et al, 2012</w:t>
      </w:r>
      <w:r w:rsidR="00A67929">
        <w:rPr>
          <w:rFonts w:ascii="Arial" w:hAnsi="Arial" w:cs="Arial"/>
          <w:sz w:val="24"/>
          <w:szCs w:val="24"/>
        </w:rPr>
        <w:t>)</w:t>
      </w:r>
      <w:r w:rsidRPr="00A95A7D">
        <w:rPr>
          <w:rFonts w:ascii="Arial" w:hAnsi="Arial" w:cs="Arial"/>
          <w:sz w:val="24"/>
          <w:szCs w:val="24"/>
        </w:rPr>
        <w:t>.</w:t>
      </w:r>
    </w:p>
    <w:p w14:paraId="6FF41518" w14:textId="344AC49F" w:rsidR="0076099A"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Increases in both 2021 and 2023 brought total liabilities up to £3,300,000. The financial position is made worse when there are consistent commitments and shrinking assets. The remaining interest of the firm's owners, known as equity, has decreased from £2,200,000 in 2021 to £1,380,000 in 2023. There is cause for worry with a retained profit or anticipated loss decline of 37.3%. A falling equity base indicates that the corporation is either losing money or isn't reinvesting its profits. The future of the firm and its worth to shareholders are put into doubt by this.</w:t>
      </w:r>
    </w:p>
    <w:p w14:paraId="27EAB2BA" w14:textId="3365D324" w:rsidR="0076099A"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According to financial measures, the company's situation is becoming worse. A decline from 1.8 in 2021 to 0.6 in 2023 was seen in the current ratio, a measure of short-term liquidity. The company may have trouble meeting its short-term obligations if its cash and accounts receivable ratio is less than 1, which indicates liquidity difficulties.</w:t>
      </w:r>
    </w:p>
    <w:p w14:paraId="100A4E58" w14:textId="6461DB93" w:rsidR="0076099A"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From 2021 to 2023, there was an increase in the debt-to-equity ratio, a measure of financial leverage, from 1.48 to 2.39. The ratio is showing signs of increasing reliance on debt finance rather than equity, which might have negative effects on the firm's creditworthiness and increase financial risk.</w:t>
      </w:r>
    </w:p>
    <w:p w14:paraId="444E9E78" w14:textId="0ECD592E" w:rsidR="00444A27" w:rsidRPr="00A95A7D" w:rsidRDefault="0076099A" w:rsidP="0076099A">
      <w:pPr>
        <w:spacing w:line="360" w:lineRule="auto"/>
        <w:jc w:val="both"/>
        <w:rPr>
          <w:rFonts w:ascii="Arial" w:hAnsi="Arial" w:cs="Arial"/>
          <w:sz w:val="24"/>
          <w:szCs w:val="24"/>
        </w:rPr>
      </w:pPr>
      <w:r w:rsidRPr="00A95A7D">
        <w:rPr>
          <w:rFonts w:ascii="Arial" w:hAnsi="Arial" w:cs="Arial"/>
          <w:sz w:val="24"/>
          <w:szCs w:val="24"/>
        </w:rPr>
        <w:t>A decrease is shown by the financial analysis during a three-year period. Impending problems are indicated by a dwindling asset base, equity, and liabilities ratio, a shrinking liquidity ratio, and rising financial leverage. Management may need to address liquidity issues, stabili</w:t>
      </w:r>
      <w:r w:rsidR="00EC0FA4">
        <w:rPr>
          <w:rFonts w:ascii="Arial" w:hAnsi="Arial" w:cs="Arial"/>
          <w:sz w:val="24"/>
          <w:szCs w:val="24"/>
        </w:rPr>
        <w:t>s</w:t>
      </w:r>
      <w:r w:rsidRPr="00A95A7D">
        <w:rPr>
          <w:rFonts w:ascii="Arial" w:hAnsi="Arial" w:cs="Arial"/>
          <w:sz w:val="24"/>
          <w:szCs w:val="24"/>
        </w:rPr>
        <w:t>e or increase equity, and manage debt if the company wants to be financially stable in the long run. It could be crucial for the company's future performance to strategically enhance debt management, cash flow, and asset management.</w:t>
      </w:r>
    </w:p>
    <w:p w14:paraId="66377ACE" w14:textId="32F59835" w:rsidR="00875CA8" w:rsidRPr="00A95A7D" w:rsidRDefault="001D2F94" w:rsidP="008F7C75">
      <w:pPr>
        <w:pStyle w:val="Heading1"/>
        <w:spacing w:line="360" w:lineRule="auto"/>
        <w:rPr>
          <w:rFonts w:ascii="Arial" w:hAnsi="Arial"/>
        </w:rPr>
      </w:pPr>
      <w:bookmarkStart w:id="6" w:name="_Toc168189137"/>
      <w:r w:rsidRPr="00A95A7D">
        <w:rPr>
          <w:rFonts w:ascii="Arial" w:hAnsi="Arial"/>
        </w:rPr>
        <w:t xml:space="preserve">Urban Heights </w:t>
      </w:r>
      <w:r w:rsidR="00465C29" w:rsidRPr="00A95A7D">
        <w:rPr>
          <w:rFonts w:ascii="Arial" w:hAnsi="Arial"/>
        </w:rPr>
        <w:t xml:space="preserve">Real Reason Behind </w:t>
      </w:r>
      <w:r w:rsidR="0062304E" w:rsidRPr="00A95A7D">
        <w:rPr>
          <w:rFonts w:ascii="Arial" w:hAnsi="Arial"/>
        </w:rPr>
        <w:t>the</w:t>
      </w:r>
      <w:r w:rsidR="00D622C5" w:rsidRPr="00A95A7D">
        <w:rPr>
          <w:rFonts w:ascii="Arial" w:hAnsi="Arial"/>
        </w:rPr>
        <w:t xml:space="preserve"> Current Scenario</w:t>
      </w:r>
      <w:bookmarkEnd w:id="6"/>
    </w:p>
    <w:p w14:paraId="2AF7BCF4" w14:textId="2D4AF60F" w:rsidR="000551ED" w:rsidRPr="00A95A7D" w:rsidRDefault="000551ED" w:rsidP="005C04D6">
      <w:pPr>
        <w:pStyle w:val="ListParagraph"/>
        <w:numPr>
          <w:ilvl w:val="0"/>
          <w:numId w:val="10"/>
        </w:numPr>
        <w:spacing w:line="360" w:lineRule="auto"/>
        <w:jc w:val="both"/>
        <w:rPr>
          <w:rFonts w:ascii="Arial" w:hAnsi="Arial" w:cs="Arial"/>
          <w:sz w:val="24"/>
          <w:szCs w:val="24"/>
        </w:rPr>
      </w:pPr>
      <w:r w:rsidRPr="00A95A7D">
        <w:rPr>
          <w:rFonts w:ascii="Arial" w:hAnsi="Arial" w:cs="Arial"/>
          <w:sz w:val="24"/>
          <w:szCs w:val="24"/>
        </w:rPr>
        <w:t xml:space="preserve">It is concerning that cash and equivalents would suddenly decrease from £300,000 in 2021 to £100,000 in 2023. This drastic cut suggests the company </w:t>
      </w:r>
      <w:r w:rsidRPr="00A95A7D">
        <w:rPr>
          <w:rFonts w:ascii="Arial" w:hAnsi="Arial" w:cs="Arial"/>
          <w:sz w:val="24"/>
          <w:szCs w:val="24"/>
        </w:rPr>
        <w:lastRenderedPageBreak/>
        <w:t>would have trouble meeting its short-term obligations. Reduced cash on hand is the result of careless handling of funds or making too many withdrawals</w:t>
      </w:r>
      <w:r w:rsidR="00E63025">
        <w:rPr>
          <w:rFonts w:ascii="Arial" w:hAnsi="Arial" w:cs="Arial"/>
          <w:sz w:val="24"/>
          <w:szCs w:val="24"/>
        </w:rPr>
        <w:t xml:space="preserve"> (</w:t>
      </w:r>
      <w:r w:rsidR="00E63025">
        <w:rPr>
          <w:rFonts w:ascii="Arial" w:hAnsi="Arial" w:cs="Arial"/>
          <w:color w:val="222222"/>
          <w:sz w:val="24"/>
          <w:szCs w:val="24"/>
          <w:shd w:val="clear" w:color="auto" w:fill="FFFFFF"/>
        </w:rPr>
        <w:t>Schweizer &amp; Nienhaus, 2017</w:t>
      </w:r>
      <w:r w:rsidR="00E63025">
        <w:rPr>
          <w:rFonts w:ascii="Arial" w:hAnsi="Arial" w:cs="Arial"/>
          <w:sz w:val="24"/>
          <w:szCs w:val="24"/>
        </w:rPr>
        <w:t>)</w:t>
      </w:r>
      <w:r w:rsidRPr="00A95A7D">
        <w:rPr>
          <w:rFonts w:ascii="Arial" w:hAnsi="Arial" w:cs="Arial"/>
          <w:sz w:val="24"/>
          <w:szCs w:val="24"/>
        </w:rPr>
        <w:t>. Some possible causes of this include operating losses, excessive capital expenditures, and insufficient working capital management.</w:t>
      </w:r>
    </w:p>
    <w:p w14:paraId="7D18AFBC" w14:textId="58EC2BB7" w:rsidR="000551ED" w:rsidRPr="00A95A7D" w:rsidRDefault="000551ED" w:rsidP="005C04D6">
      <w:pPr>
        <w:pStyle w:val="ListParagraph"/>
        <w:numPr>
          <w:ilvl w:val="0"/>
          <w:numId w:val="10"/>
        </w:numPr>
        <w:spacing w:line="360" w:lineRule="auto"/>
        <w:jc w:val="both"/>
        <w:rPr>
          <w:rFonts w:ascii="Arial" w:hAnsi="Arial" w:cs="Arial"/>
          <w:sz w:val="24"/>
          <w:szCs w:val="24"/>
        </w:rPr>
      </w:pPr>
      <w:r w:rsidRPr="00A95A7D">
        <w:rPr>
          <w:rFonts w:ascii="Arial" w:hAnsi="Arial" w:cs="Arial"/>
          <w:sz w:val="24"/>
          <w:szCs w:val="24"/>
        </w:rPr>
        <w:t>There are two plausible explanations for the fall in accounts receivable from £150,000 in 2021 to £80,000 in 2023. It can be a sign of improved accounts receivable collection</w:t>
      </w:r>
      <w:r w:rsidR="005F5CBB">
        <w:rPr>
          <w:rFonts w:ascii="Arial" w:hAnsi="Arial" w:cs="Arial"/>
          <w:sz w:val="24"/>
          <w:szCs w:val="24"/>
        </w:rPr>
        <w:t xml:space="preserve"> (</w:t>
      </w:r>
      <w:r w:rsidR="005F5CBB">
        <w:rPr>
          <w:rFonts w:ascii="Arial" w:hAnsi="Arial" w:cs="Arial"/>
          <w:color w:val="222222"/>
          <w:sz w:val="24"/>
          <w:szCs w:val="24"/>
          <w:shd w:val="clear" w:color="auto" w:fill="FFFFFF"/>
        </w:rPr>
        <w:t>Schoenberg et al, 2013</w:t>
      </w:r>
      <w:r w:rsidR="005F5CBB">
        <w:rPr>
          <w:rFonts w:ascii="Arial" w:hAnsi="Arial" w:cs="Arial"/>
          <w:sz w:val="24"/>
          <w:szCs w:val="24"/>
        </w:rPr>
        <w:t>)</w:t>
      </w:r>
      <w:r w:rsidRPr="00A95A7D">
        <w:rPr>
          <w:rFonts w:ascii="Arial" w:hAnsi="Arial" w:cs="Arial"/>
          <w:sz w:val="24"/>
          <w:szCs w:val="24"/>
        </w:rPr>
        <w:t>. Nevertheless, it might indicate a decline in sales and a reduction in receivables. The latter scenario foretells a decline in business volume or clientele, which might impact future revenue.</w:t>
      </w:r>
    </w:p>
    <w:p w14:paraId="73410EE7" w14:textId="47F48E65" w:rsidR="000551ED" w:rsidRPr="00A95A7D" w:rsidRDefault="000551ED" w:rsidP="005C04D6">
      <w:pPr>
        <w:pStyle w:val="ListParagraph"/>
        <w:numPr>
          <w:ilvl w:val="0"/>
          <w:numId w:val="10"/>
        </w:numPr>
        <w:spacing w:line="360" w:lineRule="auto"/>
        <w:jc w:val="both"/>
        <w:rPr>
          <w:rFonts w:ascii="Arial" w:hAnsi="Arial" w:cs="Arial"/>
          <w:sz w:val="24"/>
          <w:szCs w:val="24"/>
        </w:rPr>
      </w:pPr>
      <w:r w:rsidRPr="00A95A7D">
        <w:rPr>
          <w:rFonts w:ascii="Arial" w:hAnsi="Arial" w:cs="Arial"/>
          <w:sz w:val="24"/>
          <w:szCs w:val="24"/>
        </w:rPr>
        <w:t>By 2023, the value of the company's property and equipment had dropped from £5,000,000 in 2021 to £4,500,000. Possible causes for this decline include asset sales or depreciation</w:t>
      </w:r>
      <w:r w:rsidR="00761DA1">
        <w:rPr>
          <w:rFonts w:ascii="Arial" w:hAnsi="Arial" w:cs="Arial"/>
          <w:sz w:val="24"/>
          <w:szCs w:val="24"/>
        </w:rPr>
        <w:t xml:space="preserve"> (</w:t>
      </w:r>
      <w:r w:rsidR="00761DA1">
        <w:rPr>
          <w:rFonts w:ascii="Arial" w:hAnsi="Arial" w:cs="Arial"/>
          <w:color w:val="222222"/>
          <w:sz w:val="24"/>
          <w:szCs w:val="24"/>
          <w:shd w:val="clear" w:color="auto" w:fill="FFFFFF"/>
        </w:rPr>
        <w:t>Pretorius, 2009</w:t>
      </w:r>
      <w:r w:rsidR="00761DA1">
        <w:rPr>
          <w:rFonts w:ascii="Arial" w:hAnsi="Arial" w:cs="Arial"/>
          <w:sz w:val="24"/>
          <w:szCs w:val="24"/>
        </w:rPr>
        <w:t>)</w:t>
      </w:r>
      <w:r w:rsidRPr="00A95A7D">
        <w:rPr>
          <w:rFonts w:ascii="Arial" w:hAnsi="Arial" w:cs="Arial"/>
          <w:sz w:val="24"/>
          <w:szCs w:val="24"/>
        </w:rPr>
        <w:t>. In the second case, the company may have to sell off assets to cover expenses, which is clearly not sustainable. Operating capacity and income production might be affected by a drop in the value of property and equipment.</w:t>
      </w:r>
    </w:p>
    <w:p w14:paraId="041C3C5C" w14:textId="2DF4789C" w:rsidR="000551ED" w:rsidRPr="00A95A7D" w:rsidRDefault="000551ED" w:rsidP="005C04D6">
      <w:pPr>
        <w:pStyle w:val="ListParagraph"/>
        <w:numPr>
          <w:ilvl w:val="0"/>
          <w:numId w:val="10"/>
        </w:numPr>
        <w:spacing w:line="360" w:lineRule="auto"/>
        <w:jc w:val="both"/>
        <w:rPr>
          <w:rFonts w:ascii="Arial" w:hAnsi="Arial" w:cs="Arial"/>
          <w:sz w:val="24"/>
          <w:szCs w:val="24"/>
        </w:rPr>
      </w:pPr>
      <w:r w:rsidRPr="00A95A7D">
        <w:rPr>
          <w:rFonts w:ascii="Arial" w:hAnsi="Arial" w:cs="Arial"/>
          <w:sz w:val="24"/>
          <w:szCs w:val="24"/>
        </w:rPr>
        <w:t>Expanded Portfolio Accounts payable increased during 2023, going up from £250,000 in the previous year to £300,000. Perhaps this increase is due to the fact that supplier payment agreements provide short-term financial assistance</w:t>
      </w:r>
      <w:r w:rsidR="00423A5E">
        <w:rPr>
          <w:rFonts w:ascii="Arial" w:hAnsi="Arial" w:cs="Arial"/>
          <w:sz w:val="24"/>
          <w:szCs w:val="24"/>
        </w:rPr>
        <w:t xml:space="preserve"> (</w:t>
      </w:r>
      <w:proofErr w:type="spellStart"/>
      <w:r w:rsidR="00423A5E">
        <w:rPr>
          <w:rFonts w:ascii="Arial" w:hAnsi="Arial" w:cs="Arial"/>
          <w:color w:val="222222"/>
          <w:sz w:val="24"/>
          <w:szCs w:val="24"/>
          <w:shd w:val="clear" w:color="auto" w:fill="FFFFFF"/>
        </w:rPr>
        <w:t>Peurach</w:t>
      </w:r>
      <w:proofErr w:type="spellEnd"/>
      <w:r w:rsidR="00423A5E">
        <w:rPr>
          <w:rFonts w:ascii="Arial" w:hAnsi="Arial" w:cs="Arial"/>
          <w:color w:val="222222"/>
          <w:sz w:val="24"/>
          <w:szCs w:val="24"/>
          <w:shd w:val="clear" w:color="auto" w:fill="FFFFFF"/>
        </w:rPr>
        <w:t xml:space="preserve"> &amp; </w:t>
      </w:r>
      <w:proofErr w:type="spellStart"/>
      <w:r w:rsidR="00423A5E">
        <w:rPr>
          <w:rFonts w:ascii="Arial" w:hAnsi="Arial" w:cs="Arial"/>
          <w:color w:val="222222"/>
          <w:sz w:val="24"/>
          <w:szCs w:val="24"/>
          <w:shd w:val="clear" w:color="auto" w:fill="FFFFFF"/>
        </w:rPr>
        <w:t>Neumerski</w:t>
      </w:r>
      <w:proofErr w:type="spellEnd"/>
      <w:r w:rsidR="00423A5E">
        <w:rPr>
          <w:rFonts w:ascii="Arial" w:hAnsi="Arial" w:cs="Arial"/>
          <w:color w:val="222222"/>
          <w:sz w:val="24"/>
          <w:szCs w:val="24"/>
          <w:shd w:val="clear" w:color="auto" w:fill="FFFFFF"/>
        </w:rPr>
        <w:t>, 2015</w:t>
      </w:r>
      <w:r w:rsidR="00423A5E">
        <w:rPr>
          <w:rFonts w:ascii="Arial" w:hAnsi="Arial" w:cs="Arial"/>
          <w:sz w:val="24"/>
          <w:szCs w:val="24"/>
        </w:rPr>
        <w:t>)</w:t>
      </w:r>
      <w:r w:rsidRPr="00A95A7D">
        <w:rPr>
          <w:rFonts w:ascii="Arial" w:hAnsi="Arial" w:cs="Arial"/>
          <w:sz w:val="24"/>
          <w:szCs w:val="24"/>
        </w:rPr>
        <w:t>. On the other hand, if payments are delayed, it might hurt relationships with suppliers and throw off the supply chain. Financial problems can become worse if this approach raises costs or causes suppliers to lose faith in it.</w:t>
      </w:r>
    </w:p>
    <w:p w14:paraId="39A785FA" w14:textId="18FEEE2F" w:rsidR="000551ED" w:rsidRPr="00A95A7D" w:rsidRDefault="000551ED" w:rsidP="005C04D6">
      <w:pPr>
        <w:pStyle w:val="ListParagraph"/>
        <w:numPr>
          <w:ilvl w:val="0"/>
          <w:numId w:val="10"/>
        </w:numPr>
        <w:spacing w:line="360" w:lineRule="auto"/>
        <w:jc w:val="both"/>
        <w:rPr>
          <w:rFonts w:ascii="Arial" w:hAnsi="Arial" w:cs="Arial"/>
          <w:sz w:val="24"/>
          <w:szCs w:val="24"/>
        </w:rPr>
      </w:pPr>
      <w:r w:rsidRPr="00A95A7D">
        <w:rPr>
          <w:rFonts w:ascii="Arial" w:hAnsi="Arial" w:cs="Arial"/>
          <w:sz w:val="24"/>
          <w:szCs w:val="24"/>
        </w:rPr>
        <w:t>Stable throughout the long run Total long-term debt has remained unchanged at £3,000,000 throughout. A stable amount of debt indicates that the company is not taking out loans to fund its growth, which is a sign of good financial management</w:t>
      </w:r>
      <w:r w:rsidR="00FA4657">
        <w:rPr>
          <w:rFonts w:ascii="Arial" w:hAnsi="Arial" w:cs="Arial"/>
          <w:sz w:val="24"/>
          <w:szCs w:val="24"/>
        </w:rPr>
        <w:t xml:space="preserve"> (</w:t>
      </w:r>
      <w:r w:rsidR="00FA4657">
        <w:rPr>
          <w:rFonts w:ascii="Arial" w:hAnsi="Arial" w:cs="Arial"/>
          <w:color w:val="222222"/>
          <w:sz w:val="24"/>
          <w:szCs w:val="24"/>
          <w:shd w:val="clear" w:color="auto" w:fill="FFFFFF"/>
        </w:rPr>
        <w:t>Panicker &amp; Manimala, 2015</w:t>
      </w:r>
      <w:r w:rsidR="00FA4657">
        <w:rPr>
          <w:rFonts w:ascii="Arial" w:hAnsi="Arial" w:cs="Arial"/>
          <w:sz w:val="24"/>
          <w:szCs w:val="24"/>
        </w:rPr>
        <w:t>)</w:t>
      </w:r>
      <w:r w:rsidRPr="00A95A7D">
        <w:rPr>
          <w:rFonts w:ascii="Arial" w:hAnsi="Arial" w:cs="Arial"/>
          <w:sz w:val="24"/>
          <w:szCs w:val="24"/>
        </w:rPr>
        <w:t>. The interest burden will remain without debt reduction, which might be expensive, especially if the company's revenues are minimal.</w:t>
      </w:r>
    </w:p>
    <w:p w14:paraId="6ACB93F2" w14:textId="77777777" w:rsidR="000551ED" w:rsidRPr="00A95A7D" w:rsidRDefault="000551ED" w:rsidP="005C04D6">
      <w:pPr>
        <w:pStyle w:val="ListParagraph"/>
        <w:numPr>
          <w:ilvl w:val="0"/>
          <w:numId w:val="10"/>
        </w:numPr>
        <w:spacing w:line="360" w:lineRule="auto"/>
        <w:jc w:val="both"/>
        <w:rPr>
          <w:rFonts w:ascii="Arial" w:hAnsi="Arial" w:cs="Arial"/>
          <w:sz w:val="24"/>
          <w:szCs w:val="24"/>
        </w:rPr>
      </w:pPr>
      <w:r w:rsidRPr="00A95A7D">
        <w:rPr>
          <w:rFonts w:ascii="Arial" w:hAnsi="Arial" w:cs="Arial"/>
          <w:sz w:val="24"/>
          <w:szCs w:val="24"/>
        </w:rPr>
        <w:t>A precipitous fall occurred in equity between 2021 and 2023, with £2,200,000 falling to £1,380,000. Losses or insufficient investments by the company are to blame for this decline. Decreased equity makes it harder to raise funds and reduces shareholder value. It suggests the company's long-term sustainability is in jeopardy since its net worth is falling.</w:t>
      </w:r>
    </w:p>
    <w:p w14:paraId="5133F6AA" w14:textId="77777777" w:rsidR="000551ED" w:rsidRPr="00A95A7D" w:rsidRDefault="000551ED" w:rsidP="005C04D6">
      <w:pPr>
        <w:pStyle w:val="ListParagraph"/>
        <w:numPr>
          <w:ilvl w:val="0"/>
          <w:numId w:val="10"/>
        </w:numPr>
        <w:spacing w:line="360" w:lineRule="auto"/>
        <w:jc w:val="both"/>
        <w:rPr>
          <w:rFonts w:ascii="Arial" w:hAnsi="Arial" w:cs="Arial"/>
          <w:sz w:val="24"/>
          <w:szCs w:val="24"/>
        </w:rPr>
      </w:pPr>
      <w:r w:rsidRPr="00A95A7D">
        <w:rPr>
          <w:rFonts w:ascii="Arial" w:hAnsi="Arial" w:cs="Arial"/>
          <w:sz w:val="24"/>
          <w:szCs w:val="24"/>
        </w:rPr>
        <w:lastRenderedPageBreak/>
        <w:t>Going from 1.8 in 2021 to 0.6 in 2023, the current ratio shows that the firm is having trouble with liquidity as its current obligations are higher than its current assets. Leverage and financial risk were increased when the debt-to-equity ratio increased from 1.48 in 2021 to 2.39 in 2023. A company's creditworthiness and access to capital can take a hit if its leverage levels are too high and its revenues fall short of interest payments.</w:t>
      </w:r>
    </w:p>
    <w:p w14:paraId="4E674CEF" w14:textId="0F867014" w:rsidR="004342FD" w:rsidRPr="00A95A7D" w:rsidRDefault="004342FD" w:rsidP="008F7C75">
      <w:pPr>
        <w:pStyle w:val="Heading1"/>
        <w:spacing w:line="360" w:lineRule="auto"/>
        <w:rPr>
          <w:rFonts w:ascii="Arial" w:hAnsi="Arial"/>
        </w:rPr>
      </w:pPr>
      <w:bookmarkStart w:id="7" w:name="_Toc168189138"/>
      <w:r w:rsidRPr="00A95A7D">
        <w:rPr>
          <w:rFonts w:ascii="Arial" w:hAnsi="Arial"/>
        </w:rPr>
        <w:t>Turnaround Plan</w:t>
      </w:r>
      <w:r w:rsidR="00973C9B" w:rsidRPr="00A95A7D">
        <w:rPr>
          <w:rFonts w:ascii="Arial" w:hAnsi="Arial"/>
        </w:rPr>
        <w:t xml:space="preserve"> for Urban Heights</w:t>
      </w:r>
      <w:bookmarkEnd w:id="7"/>
    </w:p>
    <w:p w14:paraId="7B4253F0" w14:textId="73BD1C43" w:rsidR="008409CB" w:rsidRPr="00A95A7D" w:rsidRDefault="008409CB" w:rsidP="008409CB">
      <w:pPr>
        <w:pStyle w:val="ListParagraph"/>
        <w:numPr>
          <w:ilvl w:val="0"/>
          <w:numId w:val="11"/>
        </w:numPr>
        <w:spacing w:line="360" w:lineRule="auto"/>
        <w:jc w:val="both"/>
        <w:rPr>
          <w:rFonts w:ascii="Arial" w:hAnsi="Arial" w:cs="Arial"/>
          <w:sz w:val="24"/>
          <w:szCs w:val="24"/>
        </w:rPr>
      </w:pPr>
      <w:r w:rsidRPr="00A95A7D">
        <w:rPr>
          <w:rFonts w:ascii="Arial" w:hAnsi="Arial" w:cs="Arial"/>
          <w:sz w:val="24"/>
          <w:szCs w:val="24"/>
        </w:rPr>
        <w:t>The company is in a precarious financial position as a result of falling financial ratios, equity, liabilities, and assets</w:t>
      </w:r>
      <w:r w:rsidR="00027975">
        <w:rPr>
          <w:rFonts w:ascii="Arial" w:hAnsi="Arial" w:cs="Arial"/>
          <w:sz w:val="24"/>
          <w:szCs w:val="24"/>
        </w:rPr>
        <w:t xml:space="preserve"> (</w:t>
      </w:r>
      <w:r w:rsidR="00027975">
        <w:rPr>
          <w:rFonts w:ascii="Arial" w:hAnsi="Arial" w:cs="Arial"/>
          <w:color w:val="222222"/>
          <w:sz w:val="24"/>
          <w:szCs w:val="24"/>
          <w:shd w:val="clear" w:color="auto" w:fill="FFFFFF"/>
        </w:rPr>
        <w:t>Hill, 2017</w:t>
      </w:r>
      <w:r w:rsidR="00027975">
        <w:rPr>
          <w:rFonts w:ascii="Arial" w:hAnsi="Arial" w:cs="Arial"/>
          <w:sz w:val="24"/>
          <w:szCs w:val="24"/>
        </w:rPr>
        <w:t>)</w:t>
      </w:r>
      <w:r w:rsidRPr="00A95A7D">
        <w:rPr>
          <w:rFonts w:ascii="Arial" w:hAnsi="Arial" w:cs="Arial"/>
          <w:sz w:val="24"/>
          <w:szCs w:val="24"/>
        </w:rPr>
        <w:t>. If the company wants to overcome these obstacles and get its finances in order, it requires a detailed plan to boost operations, revenue, liquidity, and debt management.</w:t>
      </w:r>
    </w:p>
    <w:p w14:paraId="6BDE3497" w14:textId="77D5A219" w:rsidR="008409CB" w:rsidRPr="00A95A7D" w:rsidRDefault="008409CB" w:rsidP="008409CB">
      <w:pPr>
        <w:pStyle w:val="ListParagraph"/>
        <w:numPr>
          <w:ilvl w:val="0"/>
          <w:numId w:val="11"/>
        </w:numPr>
        <w:spacing w:line="360" w:lineRule="auto"/>
        <w:jc w:val="both"/>
        <w:rPr>
          <w:rFonts w:ascii="Arial" w:hAnsi="Arial" w:cs="Arial"/>
          <w:sz w:val="24"/>
          <w:szCs w:val="24"/>
        </w:rPr>
      </w:pPr>
      <w:r w:rsidRPr="00A95A7D">
        <w:rPr>
          <w:rFonts w:ascii="Arial" w:hAnsi="Arial" w:cs="Arial"/>
          <w:sz w:val="24"/>
          <w:szCs w:val="24"/>
        </w:rPr>
        <w:t>To begin, there has to be better management of cash flow. The company has to do a better job of predicting and tracking its cash flow. Faster receivables collection and more liquidity may be achieved by tightening consumer credit standards and offering incentives for early payments. Less excess inventory means more cash in the bank thanks to just-in-time inventories and better demand forecasts. When looking for ways to cut costs without compromising service or quality, a thorough analysis of operational expenses is required.</w:t>
      </w:r>
    </w:p>
    <w:p w14:paraId="48741CC8" w14:textId="0118536C" w:rsidR="008409CB" w:rsidRPr="00A95A7D" w:rsidRDefault="008409CB" w:rsidP="008409CB">
      <w:pPr>
        <w:pStyle w:val="ListParagraph"/>
        <w:numPr>
          <w:ilvl w:val="0"/>
          <w:numId w:val="11"/>
        </w:numPr>
        <w:spacing w:line="360" w:lineRule="auto"/>
        <w:jc w:val="both"/>
        <w:rPr>
          <w:rFonts w:ascii="Arial" w:hAnsi="Arial" w:cs="Arial"/>
          <w:sz w:val="24"/>
          <w:szCs w:val="24"/>
        </w:rPr>
      </w:pPr>
      <w:r w:rsidRPr="00A95A7D">
        <w:rPr>
          <w:rFonts w:ascii="Arial" w:hAnsi="Arial" w:cs="Arial"/>
          <w:sz w:val="24"/>
          <w:szCs w:val="24"/>
        </w:rPr>
        <w:t>Expansion of the market is necessary for revenue development</w:t>
      </w:r>
      <w:r w:rsidR="00E44468">
        <w:rPr>
          <w:rFonts w:ascii="Arial" w:hAnsi="Arial" w:cs="Arial"/>
          <w:sz w:val="24"/>
          <w:szCs w:val="24"/>
        </w:rPr>
        <w:t xml:space="preserve"> (</w:t>
      </w:r>
      <w:r w:rsidR="00E44468">
        <w:rPr>
          <w:rFonts w:ascii="Arial" w:hAnsi="Arial" w:cs="Arial"/>
          <w:color w:val="222222"/>
          <w:sz w:val="24"/>
          <w:szCs w:val="24"/>
          <w:shd w:val="clear" w:color="auto" w:fill="FFFFFF"/>
        </w:rPr>
        <w:t>Filatotchev et al, 2006</w:t>
      </w:r>
      <w:r w:rsidR="00E44468">
        <w:rPr>
          <w:rFonts w:ascii="Arial" w:hAnsi="Arial" w:cs="Arial"/>
          <w:sz w:val="24"/>
          <w:szCs w:val="24"/>
        </w:rPr>
        <w:t>)</w:t>
      </w:r>
      <w:r w:rsidRPr="00A95A7D">
        <w:rPr>
          <w:rFonts w:ascii="Arial" w:hAnsi="Arial" w:cs="Arial"/>
          <w:sz w:val="24"/>
          <w:szCs w:val="24"/>
        </w:rPr>
        <w:t>. The company should expand into other areas or industries and ramp up its marketing efforts if it wants to boost its bottom line and bring in more customers. Companies that put money into research and development to make and improve their goods and services are more likely to meet customer demands. Customers will continue to patroni</w:t>
      </w:r>
      <w:r w:rsidR="00EC0FA4">
        <w:rPr>
          <w:rFonts w:ascii="Arial" w:hAnsi="Arial" w:cs="Arial"/>
          <w:sz w:val="24"/>
          <w:szCs w:val="24"/>
        </w:rPr>
        <w:t>s</w:t>
      </w:r>
      <w:r w:rsidRPr="00A95A7D">
        <w:rPr>
          <w:rFonts w:ascii="Arial" w:hAnsi="Arial" w:cs="Arial"/>
          <w:sz w:val="24"/>
          <w:szCs w:val="24"/>
        </w:rPr>
        <w:t>e businesses that prioriti</w:t>
      </w:r>
      <w:r w:rsidR="00EC0FA4">
        <w:rPr>
          <w:rFonts w:ascii="Arial" w:hAnsi="Arial" w:cs="Arial"/>
          <w:sz w:val="24"/>
          <w:szCs w:val="24"/>
        </w:rPr>
        <w:t>s</w:t>
      </w:r>
      <w:r w:rsidRPr="00A95A7D">
        <w:rPr>
          <w:rFonts w:ascii="Arial" w:hAnsi="Arial" w:cs="Arial"/>
          <w:sz w:val="24"/>
          <w:szCs w:val="24"/>
        </w:rPr>
        <w:t>e their loyalty and happiness.</w:t>
      </w:r>
    </w:p>
    <w:p w14:paraId="56D5271B" w14:textId="49A97C1A" w:rsidR="008409CB" w:rsidRPr="00A95A7D" w:rsidRDefault="008409CB" w:rsidP="008409CB">
      <w:pPr>
        <w:pStyle w:val="ListParagraph"/>
        <w:numPr>
          <w:ilvl w:val="0"/>
          <w:numId w:val="11"/>
        </w:numPr>
        <w:spacing w:line="360" w:lineRule="auto"/>
        <w:jc w:val="both"/>
        <w:rPr>
          <w:rFonts w:ascii="Arial" w:hAnsi="Arial" w:cs="Arial"/>
          <w:sz w:val="24"/>
          <w:szCs w:val="24"/>
        </w:rPr>
      </w:pPr>
      <w:r w:rsidRPr="00A95A7D">
        <w:rPr>
          <w:rFonts w:ascii="Arial" w:hAnsi="Arial" w:cs="Arial"/>
          <w:sz w:val="24"/>
          <w:szCs w:val="24"/>
        </w:rPr>
        <w:t>Efficient handling of debt is crucial. To reduce monthly payments, the company should negotiate with its creditors for longer payment terms, lower interest rates, or loan consolidation</w:t>
      </w:r>
      <w:r w:rsidR="004A54DC">
        <w:rPr>
          <w:rFonts w:ascii="Arial" w:hAnsi="Arial" w:cs="Arial"/>
          <w:sz w:val="24"/>
          <w:szCs w:val="24"/>
        </w:rPr>
        <w:t xml:space="preserve"> (</w:t>
      </w:r>
      <w:proofErr w:type="spellStart"/>
      <w:r w:rsidR="004A54DC">
        <w:rPr>
          <w:rFonts w:ascii="Arial" w:hAnsi="Arial" w:cs="Arial"/>
          <w:color w:val="222222"/>
          <w:sz w:val="24"/>
          <w:szCs w:val="24"/>
          <w:shd w:val="clear" w:color="auto" w:fill="FFFFFF"/>
        </w:rPr>
        <w:t>Cuny</w:t>
      </w:r>
      <w:proofErr w:type="spellEnd"/>
      <w:r w:rsidR="004A54DC">
        <w:rPr>
          <w:rFonts w:ascii="Arial" w:hAnsi="Arial" w:cs="Arial"/>
          <w:color w:val="222222"/>
          <w:sz w:val="24"/>
          <w:szCs w:val="24"/>
          <w:shd w:val="clear" w:color="auto" w:fill="FFFFFF"/>
        </w:rPr>
        <w:t xml:space="preserve"> &amp; Talmor, 2007</w:t>
      </w:r>
      <w:r w:rsidR="004A54DC">
        <w:rPr>
          <w:rFonts w:ascii="Arial" w:hAnsi="Arial" w:cs="Arial"/>
          <w:sz w:val="24"/>
          <w:szCs w:val="24"/>
        </w:rPr>
        <w:t>)</w:t>
      </w:r>
      <w:r w:rsidRPr="00A95A7D">
        <w:rPr>
          <w:rFonts w:ascii="Arial" w:hAnsi="Arial" w:cs="Arial"/>
          <w:sz w:val="24"/>
          <w:szCs w:val="24"/>
        </w:rPr>
        <w:t>. Refinancing at a lower interest rate could improve cash flow by reducing interest expenses.</w:t>
      </w:r>
    </w:p>
    <w:p w14:paraId="192242D0" w14:textId="7BFFC362" w:rsidR="008409CB" w:rsidRPr="00A95A7D" w:rsidRDefault="008409CB" w:rsidP="008409CB">
      <w:pPr>
        <w:pStyle w:val="ListParagraph"/>
        <w:numPr>
          <w:ilvl w:val="0"/>
          <w:numId w:val="11"/>
        </w:numPr>
        <w:spacing w:line="360" w:lineRule="auto"/>
        <w:jc w:val="both"/>
        <w:rPr>
          <w:rFonts w:ascii="Arial" w:hAnsi="Arial" w:cs="Arial"/>
          <w:sz w:val="24"/>
          <w:szCs w:val="24"/>
        </w:rPr>
      </w:pPr>
      <w:r w:rsidRPr="00A95A7D">
        <w:rPr>
          <w:rFonts w:ascii="Arial" w:hAnsi="Arial" w:cs="Arial"/>
          <w:sz w:val="24"/>
          <w:szCs w:val="24"/>
        </w:rPr>
        <w:t>In order to stabili</w:t>
      </w:r>
      <w:r w:rsidR="00EC0FA4">
        <w:rPr>
          <w:rFonts w:ascii="Arial" w:hAnsi="Arial" w:cs="Arial"/>
          <w:sz w:val="24"/>
          <w:szCs w:val="24"/>
        </w:rPr>
        <w:t>s</w:t>
      </w:r>
      <w:r w:rsidRPr="00A95A7D">
        <w:rPr>
          <w:rFonts w:ascii="Arial" w:hAnsi="Arial" w:cs="Arial"/>
          <w:sz w:val="24"/>
          <w:szCs w:val="24"/>
        </w:rPr>
        <w:t xml:space="preserve">e operations, it is necessary to assess all assets and determine which ones may be sold off without impacting operations. At the same time, there should be an emphasis on conserving and upgrading critical </w:t>
      </w:r>
      <w:r w:rsidRPr="00A95A7D">
        <w:rPr>
          <w:rFonts w:ascii="Arial" w:hAnsi="Arial" w:cs="Arial"/>
          <w:sz w:val="24"/>
          <w:szCs w:val="24"/>
        </w:rPr>
        <w:lastRenderedPageBreak/>
        <w:t>assets for long-term efficiency. One way to save costs is to bargain with suppliers for better payment terms and bulk purchasing discounts</w:t>
      </w:r>
      <w:r w:rsidR="002F6A79">
        <w:rPr>
          <w:rFonts w:ascii="Arial" w:hAnsi="Arial" w:cs="Arial"/>
          <w:sz w:val="24"/>
          <w:szCs w:val="24"/>
        </w:rPr>
        <w:t xml:space="preserve"> (</w:t>
      </w:r>
      <w:r w:rsidR="002F6A79">
        <w:rPr>
          <w:rFonts w:ascii="Arial" w:hAnsi="Arial" w:cs="Arial"/>
          <w:color w:val="222222"/>
          <w:sz w:val="24"/>
          <w:szCs w:val="24"/>
          <w:shd w:val="clear" w:color="auto" w:fill="FFFFFF"/>
        </w:rPr>
        <w:t>Pandit et al, 2014</w:t>
      </w:r>
      <w:r w:rsidR="002F6A79">
        <w:rPr>
          <w:rFonts w:ascii="Arial" w:hAnsi="Arial" w:cs="Arial"/>
          <w:sz w:val="24"/>
          <w:szCs w:val="24"/>
        </w:rPr>
        <w:t>)</w:t>
      </w:r>
      <w:r w:rsidRPr="00A95A7D">
        <w:rPr>
          <w:rFonts w:ascii="Arial" w:hAnsi="Arial" w:cs="Arial"/>
          <w:sz w:val="24"/>
          <w:szCs w:val="24"/>
        </w:rPr>
        <w:t xml:space="preserve">. The company will be able to compare its financial performance to its goals on a regular basis and </w:t>
      </w:r>
      <w:r w:rsidR="008D667F" w:rsidRPr="00A95A7D">
        <w:rPr>
          <w:rFonts w:ascii="Arial" w:hAnsi="Arial" w:cs="Arial"/>
          <w:sz w:val="24"/>
          <w:szCs w:val="24"/>
        </w:rPr>
        <w:t>adjust</w:t>
      </w:r>
      <w:r w:rsidRPr="00A95A7D">
        <w:rPr>
          <w:rFonts w:ascii="Arial" w:hAnsi="Arial" w:cs="Arial"/>
          <w:sz w:val="24"/>
          <w:szCs w:val="24"/>
        </w:rPr>
        <w:t xml:space="preserve"> as needed with the help of improved reporting and analytical tools.</w:t>
      </w:r>
    </w:p>
    <w:p w14:paraId="5269DCDC" w14:textId="77777777" w:rsidR="008409CB" w:rsidRPr="00A95A7D" w:rsidRDefault="008409CB" w:rsidP="008409CB">
      <w:pPr>
        <w:pStyle w:val="ListParagraph"/>
        <w:numPr>
          <w:ilvl w:val="0"/>
          <w:numId w:val="11"/>
        </w:numPr>
        <w:spacing w:line="360" w:lineRule="auto"/>
        <w:jc w:val="both"/>
        <w:rPr>
          <w:rFonts w:ascii="Arial" w:hAnsi="Arial" w:cs="Arial"/>
          <w:sz w:val="24"/>
          <w:szCs w:val="24"/>
        </w:rPr>
      </w:pPr>
      <w:r w:rsidRPr="00A95A7D">
        <w:rPr>
          <w:rFonts w:ascii="Arial" w:hAnsi="Arial" w:cs="Arial"/>
          <w:sz w:val="24"/>
          <w:szCs w:val="24"/>
        </w:rPr>
        <w:t>The company may be able to get out of its financial jam and set itself up for sustained success if it implements these strategic measures. Maintaining and growing the business in this cutthroat market requires financial stability.</w:t>
      </w:r>
    </w:p>
    <w:p w14:paraId="570C2726" w14:textId="18AA5842" w:rsidR="00AD499A" w:rsidRDefault="00AD499A" w:rsidP="00AD499A">
      <w:pPr>
        <w:rPr>
          <w:rFonts w:ascii="Arial" w:hAnsi="Arial" w:cs="Arial"/>
          <w:sz w:val="24"/>
          <w:szCs w:val="24"/>
        </w:rPr>
      </w:pPr>
    </w:p>
    <w:p w14:paraId="512F20A3" w14:textId="5A08A88D" w:rsidR="008409CB" w:rsidRPr="00A95A7D" w:rsidRDefault="00AD499A" w:rsidP="00AD499A">
      <w:pPr>
        <w:rPr>
          <w:rFonts w:ascii="Arial" w:hAnsi="Arial" w:cs="Arial"/>
          <w:sz w:val="24"/>
          <w:szCs w:val="24"/>
        </w:rPr>
      </w:pPr>
      <w:r>
        <w:rPr>
          <w:rFonts w:ascii="Arial" w:hAnsi="Arial" w:cs="Arial"/>
          <w:sz w:val="24"/>
          <w:szCs w:val="24"/>
        </w:rPr>
        <w:br w:type="page"/>
      </w:r>
    </w:p>
    <w:p w14:paraId="675C6DAE" w14:textId="77C107CA" w:rsidR="008409CB" w:rsidRPr="00A95A7D" w:rsidRDefault="00B53C1C" w:rsidP="002E5BDB">
      <w:pPr>
        <w:pStyle w:val="Heading1"/>
        <w:rPr>
          <w:rFonts w:ascii="Arial" w:hAnsi="Arial"/>
        </w:rPr>
      </w:pPr>
      <w:bookmarkStart w:id="8" w:name="_Toc168189139"/>
      <w:r w:rsidRPr="00A95A7D">
        <w:rPr>
          <w:rFonts w:ascii="Arial" w:hAnsi="Arial"/>
        </w:rPr>
        <w:lastRenderedPageBreak/>
        <w:t>Conclusion</w:t>
      </w:r>
      <w:bookmarkEnd w:id="8"/>
    </w:p>
    <w:p w14:paraId="4354B90F" w14:textId="5F876E27" w:rsidR="00B53C1C" w:rsidRPr="00A95A7D" w:rsidRDefault="002E5BDB" w:rsidP="008409CB">
      <w:pPr>
        <w:spacing w:line="360" w:lineRule="auto"/>
        <w:jc w:val="both"/>
        <w:rPr>
          <w:rFonts w:ascii="Arial" w:hAnsi="Arial" w:cs="Arial"/>
          <w:sz w:val="24"/>
          <w:szCs w:val="24"/>
        </w:rPr>
      </w:pPr>
      <w:r w:rsidRPr="00A95A7D">
        <w:rPr>
          <w:rFonts w:ascii="Arial" w:hAnsi="Arial" w:cs="Arial"/>
          <w:sz w:val="24"/>
          <w:szCs w:val="24"/>
        </w:rPr>
        <w:t>This business report uses Urban Heights as a case study. The income decline from urban heights in the past three years will be examined here. Due to rising operational costs, firm profitability fell. The balance sheet display</w:t>
      </w:r>
      <w:r w:rsidR="00E303B8">
        <w:rPr>
          <w:rFonts w:ascii="Arial" w:hAnsi="Arial" w:cs="Arial"/>
          <w:sz w:val="24"/>
          <w:szCs w:val="24"/>
        </w:rPr>
        <w:t>ed</w:t>
      </w:r>
      <w:r w:rsidRPr="00A95A7D">
        <w:rPr>
          <w:rFonts w:ascii="Arial" w:hAnsi="Arial" w:cs="Arial"/>
          <w:sz w:val="24"/>
          <w:szCs w:val="24"/>
        </w:rPr>
        <w:t xml:space="preserve"> important ratios including current ratio and liquidity ratio. This report</w:t>
      </w:r>
      <w:r w:rsidR="002A56D4">
        <w:rPr>
          <w:rFonts w:ascii="Arial" w:hAnsi="Arial" w:cs="Arial"/>
          <w:sz w:val="24"/>
          <w:szCs w:val="24"/>
        </w:rPr>
        <w:t xml:space="preserve"> has</w:t>
      </w:r>
      <w:r w:rsidRPr="00A95A7D">
        <w:rPr>
          <w:rFonts w:ascii="Arial" w:hAnsi="Arial" w:cs="Arial"/>
          <w:sz w:val="24"/>
          <w:szCs w:val="24"/>
        </w:rPr>
        <w:t xml:space="preserve"> identif</w:t>
      </w:r>
      <w:r w:rsidR="002A56D4">
        <w:rPr>
          <w:rFonts w:ascii="Arial" w:hAnsi="Arial" w:cs="Arial"/>
          <w:sz w:val="24"/>
          <w:szCs w:val="24"/>
        </w:rPr>
        <w:t xml:space="preserve">ied </w:t>
      </w:r>
      <w:r w:rsidRPr="00A95A7D">
        <w:rPr>
          <w:rFonts w:ascii="Arial" w:hAnsi="Arial" w:cs="Arial"/>
          <w:sz w:val="24"/>
          <w:szCs w:val="24"/>
        </w:rPr>
        <w:t>and address issues by focusing on specifics. The business may indicate how the effort will concentrate on its future prospects if this is more correlated. This will aid Urban Heights' recovery strategy, boosting profits and income.</w:t>
      </w:r>
    </w:p>
    <w:p w14:paraId="33866A16" w14:textId="50928FCD" w:rsidR="00973C9B" w:rsidRPr="00A95A7D" w:rsidRDefault="00973C9B" w:rsidP="008F7C75">
      <w:pPr>
        <w:spacing w:line="360" w:lineRule="auto"/>
        <w:jc w:val="both"/>
        <w:rPr>
          <w:rFonts w:ascii="Arial" w:hAnsi="Arial" w:cs="Arial"/>
          <w:sz w:val="24"/>
          <w:szCs w:val="24"/>
        </w:rPr>
      </w:pPr>
    </w:p>
    <w:p w14:paraId="104DC3B9" w14:textId="77777777" w:rsidR="00A636B3" w:rsidRPr="00A95A7D" w:rsidRDefault="00A636B3" w:rsidP="008F7C75">
      <w:pPr>
        <w:spacing w:line="360" w:lineRule="auto"/>
        <w:jc w:val="both"/>
        <w:rPr>
          <w:rFonts w:ascii="Arial" w:hAnsi="Arial" w:cs="Arial"/>
          <w:sz w:val="24"/>
          <w:szCs w:val="24"/>
        </w:rPr>
      </w:pPr>
    </w:p>
    <w:p w14:paraId="43EB9F20" w14:textId="1CA5C474" w:rsidR="00A636B3" w:rsidRPr="00A95A7D" w:rsidRDefault="00A636B3" w:rsidP="008F7C75">
      <w:pPr>
        <w:spacing w:line="360" w:lineRule="auto"/>
        <w:rPr>
          <w:rFonts w:ascii="Arial" w:hAnsi="Arial" w:cs="Arial"/>
          <w:sz w:val="24"/>
          <w:szCs w:val="24"/>
        </w:rPr>
      </w:pPr>
    </w:p>
    <w:p w14:paraId="69D5C92B" w14:textId="45E39CCB" w:rsidR="005A7C4C" w:rsidRPr="00A95A7D" w:rsidRDefault="00A636B3" w:rsidP="008F7C75">
      <w:pPr>
        <w:spacing w:line="360" w:lineRule="auto"/>
        <w:rPr>
          <w:rFonts w:ascii="Arial" w:hAnsi="Arial" w:cs="Arial"/>
          <w:sz w:val="24"/>
          <w:szCs w:val="24"/>
        </w:rPr>
      </w:pPr>
      <w:r w:rsidRPr="00A95A7D">
        <w:rPr>
          <w:rFonts w:ascii="Arial" w:hAnsi="Arial" w:cs="Arial"/>
          <w:sz w:val="24"/>
          <w:szCs w:val="24"/>
        </w:rPr>
        <w:br w:type="page"/>
      </w:r>
    </w:p>
    <w:p w14:paraId="19096024" w14:textId="5D5A3BA4" w:rsidR="00A371AE" w:rsidRPr="00A95A7D" w:rsidRDefault="00A371AE" w:rsidP="008F7C75">
      <w:pPr>
        <w:pStyle w:val="Heading1"/>
        <w:spacing w:line="360" w:lineRule="auto"/>
        <w:rPr>
          <w:rFonts w:ascii="Arial" w:hAnsi="Arial"/>
        </w:rPr>
      </w:pPr>
      <w:bookmarkStart w:id="9" w:name="_Toc168189140"/>
      <w:r w:rsidRPr="00A95A7D">
        <w:rPr>
          <w:rFonts w:ascii="Arial" w:hAnsi="Arial"/>
        </w:rPr>
        <w:lastRenderedPageBreak/>
        <w:t>References</w:t>
      </w:r>
      <w:bookmarkEnd w:id="9"/>
      <w:r w:rsidRPr="00A95A7D">
        <w:rPr>
          <w:rFonts w:ascii="Arial" w:hAnsi="Arial"/>
        </w:rPr>
        <w:t xml:space="preserve"> </w:t>
      </w:r>
    </w:p>
    <w:p w14:paraId="3CA1CD01"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Boyne, G. A., &amp; Meier, K. J. (2009). Environmental change, human resources and organizational turnaround. </w:t>
      </w:r>
      <w:r w:rsidRPr="00C825E6">
        <w:rPr>
          <w:rFonts w:ascii="Arial" w:hAnsi="Arial" w:cs="Arial"/>
          <w:i/>
          <w:iCs/>
          <w:color w:val="222222"/>
          <w:sz w:val="24"/>
          <w:szCs w:val="24"/>
          <w:shd w:val="clear" w:color="auto" w:fill="FFFFFF"/>
        </w:rPr>
        <w:t>Journal of Management Studies</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46</w:t>
      </w:r>
      <w:r w:rsidRPr="00C825E6">
        <w:rPr>
          <w:rFonts w:ascii="Arial" w:hAnsi="Arial" w:cs="Arial"/>
          <w:color w:val="222222"/>
          <w:sz w:val="24"/>
          <w:szCs w:val="24"/>
          <w:shd w:val="clear" w:color="auto" w:fill="FFFFFF"/>
        </w:rPr>
        <w:t>(5), 835-863.</w:t>
      </w:r>
    </w:p>
    <w:p w14:paraId="264269B2"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Carey, A. B. (2014). On the edge: A study of small private colleges that have made a successful financial turnaround. </w:t>
      </w:r>
      <w:r w:rsidRPr="00C825E6">
        <w:rPr>
          <w:rFonts w:ascii="Arial" w:hAnsi="Arial" w:cs="Arial"/>
          <w:i/>
          <w:iCs/>
          <w:color w:val="222222"/>
          <w:sz w:val="24"/>
          <w:szCs w:val="24"/>
          <w:shd w:val="clear" w:color="auto" w:fill="FFFFFF"/>
        </w:rPr>
        <w:t>Christian Higher Education</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13</w:t>
      </w:r>
      <w:r w:rsidRPr="00C825E6">
        <w:rPr>
          <w:rFonts w:ascii="Arial" w:hAnsi="Arial" w:cs="Arial"/>
          <w:color w:val="222222"/>
          <w:sz w:val="24"/>
          <w:szCs w:val="24"/>
          <w:shd w:val="clear" w:color="auto" w:fill="FFFFFF"/>
        </w:rPr>
        <w:t>(5), 306-316.</w:t>
      </w:r>
    </w:p>
    <w:p w14:paraId="5CDD8C55" w14:textId="77777777" w:rsidR="001A4CF9" w:rsidRPr="00C825E6" w:rsidRDefault="001A4CF9" w:rsidP="00B47066">
      <w:pPr>
        <w:spacing w:line="360" w:lineRule="auto"/>
        <w:jc w:val="both"/>
        <w:rPr>
          <w:rFonts w:ascii="Arial" w:hAnsi="Arial" w:cs="Arial"/>
          <w:color w:val="222222"/>
          <w:sz w:val="24"/>
          <w:szCs w:val="24"/>
          <w:shd w:val="clear" w:color="auto" w:fill="FFFFFF"/>
        </w:rPr>
      </w:pPr>
      <w:proofErr w:type="spellStart"/>
      <w:r w:rsidRPr="00C825E6">
        <w:rPr>
          <w:rFonts w:ascii="Arial" w:hAnsi="Arial" w:cs="Arial"/>
          <w:color w:val="222222"/>
          <w:sz w:val="24"/>
          <w:szCs w:val="24"/>
          <w:shd w:val="clear" w:color="auto" w:fill="FFFFFF"/>
        </w:rPr>
        <w:t>Chenchehene</w:t>
      </w:r>
      <w:proofErr w:type="spellEnd"/>
      <w:r w:rsidRPr="00C825E6">
        <w:rPr>
          <w:rFonts w:ascii="Arial" w:hAnsi="Arial" w:cs="Arial"/>
          <w:color w:val="222222"/>
          <w:sz w:val="24"/>
          <w:szCs w:val="24"/>
          <w:shd w:val="clear" w:color="auto" w:fill="FFFFFF"/>
        </w:rPr>
        <w:t>, J., &amp; Mensah, K. (2014). Corporate survival: Analysis of financial distress and corporate turnaround of the UK retail industry. </w:t>
      </w:r>
      <w:r w:rsidRPr="00C825E6">
        <w:rPr>
          <w:rFonts w:ascii="Arial" w:hAnsi="Arial" w:cs="Arial"/>
          <w:i/>
          <w:iCs/>
          <w:color w:val="222222"/>
          <w:sz w:val="24"/>
          <w:szCs w:val="24"/>
          <w:shd w:val="clear" w:color="auto" w:fill="FFFFFF"/>
        </w:rPr>
        <w:t>International Journal of Liberal Arts and Social Science</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2</w:t>
      </w:r>
      <w:r w:rsidRPr="00C825E6">
        <w:rPr>
          <w:rFonts w:ascii="Arial" w:hAnsi="Arial" w:cs="Arial"/>
          <w:color w:val="222222"/>
          <w:sz w:val="24"/>
          <w:szCs w:val="24"/>
          <w:shd w:val="clear" w:color="auto" w:fill="FFFFFF"/>
        </w:rPr>
        <w:t>(9), 18-34.</w:t>
      </w:r>
    </w:p>
    <w:p w14:paraId="3A5D7B56"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 xml:space="preserve">Collett, N., Pandit, N. R., &amp; </w:t>
      </w:r>
      <w:proofErr w:type="spellStart"/>
      <w:r w:rsidRPr="00C825E6">
        <w:rPr>
          <w:rFonts w:ascii="Arial" w:hAnsi="Arial" w:cs="Arial"/>
          <w:color w:val="222222"/>
          <w:sz w:val="24"/>
          <w:szCs w:val="24"/>
          <w:shd w:val="clear" w:color="auto" w:fill="FFFFFF"/>
        </w:rPr>
        <w:t>Saarikko</w:t>
      </w:r>
      <w:proofErr w:type="spellEnd"/>
      <w:r w:rsidRPr="00C825E6">
        <w:rPr>
          <w:rFonts w:ascii="Arial" w:hAnsi="Arial" w:cs="Arial"/>
          <w:color w:val="222222"/>
          <w:sz w:val="24"/>
          <w:szCs w:val="24"/>
          <w:shd w:val="clear" w:color="auto" w:fill="FFFFFF"/>
        </w:rPr>
        <w:t>, J. (2014). Success and failure in turnaround attempts. An analysis of SMEs within the Finnish Restructuring of Enterprises Act. </w:t>
      </w:r>
      <w:r w:rsidRPr="00C825E6">
        <w:rPr>
          <w:rFonts w:ascii="Arial" w:hAnsi="Arial" w:cs="Arial"/>
          <w:i/>
          <w:iCs/>
          <w:color w:val="222222"/>
          <w:sz w:val="24"/>
          <w:szCs w:val="24"/>
          <w:shd w:val="clear" w:color="auto" w:fill="FFFFFF"/>
        </w:rPr>
        <w:t>Entrepreneurship &amp; Regional Development</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26</w:t>
      </w:r>
      <w:r w:rsidRPr="00C825E6">
        <w:rPr>
          <w:rFonts w:ascii="Arial" w:hAnsi="Arial" w:cs="Arial"/>
          <w:color w:val="222222"/>
          <w:sz w:val="24"/>
          <w:szCs w:val="24"/>
          <w:shd w:val="clear" w:color="auto" w:fill="FFFFFF"/>
        </w:rPr>
        <w:t>(1-2), 123-141.</w:t>
      </w:r>
    </w:p>
    <w:p w14:paraId="2F515FA5" w14:textId="77777777" w:rsidR="001A4CF9" w:rsidRPr="00C825E6" w:rsidRDefault="001A4CF9" w:rsidP="00B47066">
      <w:pPr>
        <w:spacing w:line="360" w:lineRule="auto"/>
        <w:jc w:val="both"/>
        <w:rPr>
          <w:rFonts w:ascii="Arial" w:hAnsi="Arial" w:cs="Arial"/>
          <w:color w:val="222222"/>
          <w:sz w:val="24"/>
          <w:szCs w:val="24"/>
          <w:shd w:val="clear" w:color="auto" w:fill="FFFFFF"/>
        </w:rPr>
      </w:pPr>
      <w:proofErr w:type="spellStart"/>
      <w:r w:rsidRPr="00C825E6">
        <w:rPr>
          <w:rFonts w:ascii="Arial" w:hAnsi="Arial" w:cs="Arial"/>
          <w:color w:val="222222"/>
          <w:sz w:val="24"/>
          <w:szCs w:val="24"/>
          <w:shd w:val="clear" w:color="auto" w:fill="FFFFFF"/>
        </w:rPr>
        <w:t>Cuny</w:t>
      </w:r>
      <w:proofErr w:type="spellEnd"/>
      <w:r w:rsidRPr="00C825E6">
        <w:rPr>
          <w:rFonts w:ascii="Arial" w:hAnsi="Arial" w:cs="Arial"/>
          <w:color w:val="222222"/>
          <w:sz w:val="24"/>
          <w:szCs w:val="24"/>
          <w:shd w:val="clear" w:color="auto" w:fill="FFFFFF"/>
        </w:rPr>
        <w:t>, C. J., &amp; Talmor, E. (2007). A theory of private equity turnarounds. </w:t>
      </w:r>
      <w:r w:rsidRPr="00C825E6">
        <w:rPr>
          <w:rFonts w:ascii="Arial" w:hAnsi="Arial" w:cs="Arial"/>
          <w:i/>
          <w:iCs/>
          <w:color w:val="222222"/>
          <w:sz w:val="24"/>
          <w:szCs w:val="24"/>
          <w:shd w:val="clear" w:color="auto" w:fill="FFFFFF"/>
        </w:rPr>
        <w:t>Journal of Corporate Finance</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13</w:t>
      </w:r>
      <w:r w:rsidRPr="00C825E6">
        <w:rPr>
          <w:rFonts w:ascii="Arial" w:hAnsi="Arial" w:cs="Arial"/>
          <w:color w:val="222222"/>
          <w:sz w:val="24"/>
          <w:szCs w:val="24"/>
          <w:shd w:val="clear" w:color="auto" w:fill="FFFFFF"/>
        </w:rPr>
        <w:t>(4), 629-646.</w:t>
      </w:r>
    </w:p>
    <w:p w14:paraId="5FCF08C4"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Filatotchev, I., &amp; Toms, S. (2006). Corporate governance and financial constraints on strategic turnarounds. </w:t>
      </w:r>
      <w:r w:rsidRPr="00C825E6">
        <w:rPr>
          <w:rFonts w:ascii="Arial" w:hAnsi="Arial" w:cs="Arial"/>
          <w:i/>
          <w:iCs/>
          <w:color w:val="222222"/>
          <w:sz w:val="24"/>
          <w:szCs w:val="24"/>
          <w:shd w:val="clear" w:color="auto" w:fill="FFFFFF"/>
        </w:rPr>
        <w:t>Journal of Management Studies</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43</w:t>
      </w:r>
      <w:r w:rsidRPr="00C825E6">
        <w:rPr>
          <w:rFonts w:ascii="Arial" w:hAnsi="Arial" w:cs="Arial"/>
          <w:color w:val="222222"/>
          <w:sz w:val="24"/>
          <w:szCs w:val="24"/>
          <w:shd w:val="clear" w:color="auto" w:fill="FFFFFF"/>
        </w:rPr>
        <w:t>(3), 407-433.</w:t>
      </w:r>
    </w:p>
    <w:p w14:paraId="24904084"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Hill, A. L. (2017). </w:t>
      </w:r>
      <w:r w:rsidRPr="00C825E6">
        <w:rPr>
          <w:rFonts w:ascii="Arial" w:hAnsi="Arial" w:cs="Arial"/>
          <w:i/>
          <w:iCs/>
          <w:color w:val="222222"/>
          <w:sz w:val="24"/>
          <w:szCs w:val="24"/>
          <w:shd w:val="clear" w:color="auto" w:fill="FFFFFF"/>
        </w:rPr>
        <w:t>A sustainable approach to financial turnaround of a mature business within the UK steel industry</w:t>
      </w:r>
      <w:r w:rsidRPr="00C825E6">
        <w:rPr>
          <w:rFonts w:ascii="Arial" w:hAnsi="Arial" w:cs="Arial"/>
          <w:color w:val="222222"/>
          <w:sz w:val="24"/>
          <w:szCs w:val="24"/>
          <w:shd w:val="clear" w:color="auto" w:fill="FFFFFF"/>
        </w:rPr>
        <w:t> (Doctoral dissertation, Newcastle University).</w:t>
      </w:r>
    </w:p>
    <w:p w14:paraId="4D07BE5A"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Kraus, S., Moog, P., Schlepphorst, S., &amp; Raich, M. (2013). Crisis and turnaround management in SMEs: a qualitative-empirical investigation of 30 companies. </w:t>
      </w:r>
      <w:r w:rsidRPr="00C825E6">
        <w:rPr>
          <w:rFonts w:ascii="Arial" w:hAnsi="Arial" w:cs="Arial"/>
          <w:i/>
          <w:iCs/>
          <w:color w:val="222222"/>
          <w:sz w:val="24"/>
          <w:szCs w:val="24"/>
          <w:shd w:val="clear" w:color="auto" w:fill="FFFFFF"/>
        </w:rPr>
        <w:t>International Journal of Entrepreneurial Venturing</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5</w:t>
      </w:r>
      <w:r w:rsidRPr="00C825E6">
        <w:rPr>
          <w:rFonts w:ascii="Arial" w:hAnsi="Arial" w:cs="Arial"/>
          <w:color w:val="222222"/>
          <w:sz w:val="24"/>
          <w:szCs w:val="24"/>
          <w:shd w:val="clear" w:color="auto" w:fill="FFFFFF"/>
        </w:rPr>
        <w:t>(4), 406-430.</w:t>
      </w:r>
    </w:p>
    <w:p w14:paraId="3D1E5797"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Martin, J., &amp; Samels, J. E. (2009). </w:t>
      </w:r>
      <w:r w:rsidRPr="00C825E6">
        <w:rPr>
          <w:rFonts w:ascii="Arial" w:hAnsi="Arial" w:cs="Arial"/>
          <w:i/>
          <w:iCs/>
          <w:color w:val="222222"/>
          <w:sz w:val="24"/>
          <w:szCs w:val="24"/>
          <w:shd w:val="clear" w:color="auto" w:fill="FFFFFF"/>
        </w:rPr>
        <w:t>Turnaround: Leading stressed colleges and universities to excellence</w:t>
      </w:r>
      <w:r w:rsidRPr="00C825E6">
        <w:rPr>
          <w:rFonts w:ascii="Arial" w:hAnsi="Arial" w:cs="Arial"/>
          <w:color w:val="222222"/>
          <w:sz w:val="24"/>
          <w:szCs w:val="24"/>
          <w:shd w:val="clear" w:color="auto" w:fill="FFFFFF"/>
        </w:rPr>
        <w:t>. JHU Press.</w:t>
      </w:r>
    </w:p>
    <w:p w14:paraId="50130DFA"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O'Kane, C., &amp; Cunningham, J. (2014). Turnaround leadership core tensions during the company turnaround process. </w:t>
      </w:r>
      <w:r w:rsidRPr="00C825E6">
        <w:rPr>
          <w:rFonts w:ascii="Arial" w:hAnsi="Arial" w:cs="Arial"/>
          <w:i/>
          <w:iCs/>
          <w:color w:val="222222"/>
          <w:sz w:val="24"/>
          <w:szCs w:val="24"/>
          <w:shd w:val="clear" w:color="auto" w:fill="FFFFFF"/>
        </w:rPr>
        <w:t>European Management Journal</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32</w:t>
      </w:r>
      <w:r w:rsidRPr="00C825E6">
        <w:rPr>
          <w:rFonts w:ascii="Arial" w:hAnsi="Arial" w:cs="Arial"/>
          <w:color w:val="222222"/>
          <w:sz w:val="24"/>
          <w:szCs w:val="24"/>
          <w:shd w:val="clear" w:color="auto" w:fill="FFFFFF"/>
        </w:rPr>
        <w:t>(6), 963-980.</w:t>
      </w:r>
    </w:p>
    <w:p w14:paraId="060C0CA9"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Panicker, S., &amp; Manimala, M. J. (2015). Successful turnarounds: the role of appropriate entrepreneurial strategies. </w:t>
      </w:r>
      <w:r w:rsidRPr="00C825E6">
        <w:rPr>
          <w:rFonts w:ascii="Arial" w:hAnsi="Arial" w:cs="Arial"/>
          <w:i/>
          <w:iCs/>
          <w:color w:val="222222"/>
          <w:sz w:val="24"/>
          <w:szCs w:val="24"/>
          <w:shd w:val="clear" w:color="auto" w:fill="FFFFFF"/>
        </w:rPr>
        <w:t>Journal of Strategy and Management</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8</w:t>
      </w:r>
      <w:r w:rsidRPr="00C825E6">
        <w:rPr>
          <w:rFonts w:ascii="Arial" w:hAnsi="Arial" w:cs="Arial"/>
          <w:color w:val="222222"/>
          <w:sz w:val="24"/>
          <w:szCs w:val="24"/>
          <w:shd w:val="clear" w:color="auto" w:fill="FFFFFF"/>
        </w:rPr>
        <w:t>(1), 21-40.</w:t>
      </w:r>
    </w:p>
    <w:p w14:paraId="174E64E5"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Pearce II, J. A., &amp; Robbins, D. K. (2008). Strategic transformation as the essential last step in the process of business turnaround. </w:t>
      </w:r>
      <w:r w:rsidRPr="00C825E6">
        <w:rPr>
          <w:rFonts w:ascii="Arial" w:hAnsi="Arial" w:cs="Arial"/>
          <w:i/>
          <w:iCs/>
          <w:color w:val="222222"/>
          <w:sz w:val="24"/>
          <w:szCs w:val="24"/>
          <w:shd w:val="clear" w:color="auto" w:fill="FFFFFF"/>
        </w:rPr>
        <w:t>Business Horizons</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51</w:t>
      </w:r>
      <w:r w:rsidRPr="00C825E6">
        <w:rPr>
          <w:rFonts w:ascii="Arial" w:hAnsi="Arial" w:cs="Arial"/>
          <w:color w:val="222222"/>
          <w:sz w:val="24"/>
          <w:szCs w:val="24"/>
          <w:shd w:val="clear" w:color="auto" w:fill="FFFFFF"/>
        </w:rPr>
        <w:t>(2), 121-130.</w:t>
      </w:r>
    </w:p>
    <w:p w14:paraId="35817331" w14:textId="77777777" w:rsidR="001A4CF9" w:rsidRPr="00C825E6" w:rsidRDefault="001A4CF9" w:rsidP="00B47066">
      <w:pPr>
        <w:spacing w:line="360" w:lineRule="auto"/>
        <w:jc w:val="both"/>
        <w:rPr>
          <w:rFonts w:ascii="Arial" w:hAnsi="Arial" w:cs="Arial"/>
          <w:color w:val="222222"/>
          <w:sz w:val="24"/>
          <w:szCs w:val="24"/>
          <w:shd w:val="clear" w:color="auto" w:fill="FFFFFF"/>
        </w:rPr>
      </w:pPr>
      <w:proofErr w:type="spellStart"/>
      <w:r w:rsidRPr="00C825E6">
        <w:rPr>
          <w:rFonts w:ascii="Arial" w:hAnsi="Arial" w:cs="Arial"/>
          <w:color w:val="222222"/>
          <w:sz w:val="24"/>
          <w:szCs w:val="24"/>
          <w:shd w:val="clear" w:color="auto" w:fill="FFFFFF"/>
        </w:rPr>
        <w:lastRenderedPageBreak/>
        <w:t>Peurach</w:t>
      </w:r>
      <w:proofErr w:type="spellEnd"/>
      <w:r w:rsidRPr="00C825E6">
        <w:rPr>
          <w:rFonts w:ascii="Arial" w:hAnsi="Arial" w:cs="Arial"/>
          <w:color w:val="222222"/>
          <w:sz w:val="24"/>
          <w:szCs w:val="24"/>
          <w:shd w:val="clear" w:color="auto" w:fill="FFFFFF"/>
        </w:rPr>
        <w:t xml:space="preserve">, D. J., &amp; </w:t>
      </w:r>
      <w:proofErr w:type="spellStart"/>
      <w:r w:rsidRPr="00C825E6">
        <w:rPr>
          <w:rFonts w:ascii="Arial" w:hAnsi="Arial" w:cs="Arial"/>
          <w:color w:val="222222"/>
          <w:sz w:val="24"/>
          <w:szCs w:val="24"/>
          <w:shd w:val="clear" w:color="auto" w:fill="FFFFFF"/>
        </w:rPr>
        <w:t>Neumerski</w:t>
      </w:r>
      <w:proofErr w:type="spellEnd"/>
      <w:r w:rsidRPr="00C825E6">
        <w:rPr>
          <w:rFonts w:ascii="Arial" w:hAnsi="Arial" w:cs="Arial"/>
          <w:color w:val="222222"/>
          <w:sz w:val="24"/>
          <w:szCs w:val="24"/>
          <w:shd w:val="clear" w:color="auto" w:fill="FFFFFF"/>
        </w:rPr>
        <w:t>, C. M. (2015). Mixing metaphors: Building infrastructure for large scale school turnaround. </w:t>
      </w:r>
      <w:r w:rsidRPr="00C825E6">
        <w:rPr>
          <w:rFonts w:ascii="Arial" w:hAnsi="Arial" w:cs="Arial"/>
          <w:i/>
          <w:iCs/>
          <w:color w:val="222222"/>
          <w:sz w:val="24"/>
          <w:szCs w:val="24"/>
          <w:shd w:val="clear" w:color="auto" w:fill="FFFFFF"/>
        </w:rPr>
        <w:t>Journal of Educational Change</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16</w:t>
      </w:r>
      <w:r w:rsidRPr="00C825E6">
        <w:rPr>
          <w:rFonts w:ascii="Arial" w:hAnsi="Arial" w:cs="Arial"/>
          <w:color w:val="222222"/>
          <w:sz w:val="24"/>
          <w:szCs w:val="24"/>
          <w:shd w:val="clear" w:color="auto" w:fill="FFFFFF"/>
        </w:rPr>
        <w:t>, 379-420.</w:t>
      </w:r>
    </w:p>
    <w:p w14:paraId="422CFC03"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Pretorius, M. (2009). Defining business decline, failure and turnaround: A content analysis.</w:t>
      </w:r>
    </w:p>
    <w:p w14:paraId="52CCD76E"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Schoenberg, R., Collier, N., &amp; Bowman, C. (2013). Strategies for business turnaround and recovery: A review and synthesis. </w:t>
      </w:r>
      <w:r w:rsidRPr="00C825E6">
        <w:rPr>
          <w:rFonts w:ascii="Arial" w:hAnsi="Arial" w:cs="Arial"/>
          <w:i/>
          <w:iCs/>
          <w:color w:val="222222"/>
          <w:sz w:val="24"/>
          <w:szCs w:val="24"/>
          <w:shd w:val="clear" w:color="auto" w:fill="FFFFFF"/>
        </w:rPr>
        <w:t>European Business Review</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25</w:t>
      </w:r>
      <w:r w:rsidRPr="00C825E6">
        <w:rPr>
          <w:rFonts w:ascii="Arial" w:hAnsi="Arial" w:cs="Arial"/>
          <w:color w:val="222222"/>
          <w:sz w:val="24"/>
          <w:szCs w:val="24"/>
          <w:shd w:val="clear" w:color="auto" w:fill="FFFFFF"/>
        </w:rPr>
        <w:t>(3), 243-262.</w:t>
      </w:r>
    </w:p>
    <w:p w14:paraId="177176B9"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Schweizer, L., &amp; Nienhaus, A. (2017). Corporate distress and turnaround: integrating the literature and directing future research. </w:t>
      </w:r>
      <w:r w:rsidRPr="00C825E6">
        <w:rPr>
          <w:rFonts w:ascii="Arial" w:hAnsi="Arial" w:cs="Arial"/>
          <w:i/>
          <w:iCs/>
          <w:color w:val="222222"/>
          <w:sz w:val="24"/>
          <w:szCs w:val="24"/>
          <w:shd w:val="clear" w:color="auto" w:fill="FFFFFF"/>
        </w:rPr>
        <w:t>Business Research</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10</w:t>
      </w:r>
      <w:r w:rsidRPr="00C825E6">
        <w:rPr>
          <w:rFonts w:ascii="Arial" w:hAnsi="Arial" w:cs="Arial"/>
          <w:color w:val="222222"/>
          <w:sz w:val="24"/>
          <w:szCs w:val="24"/>
          <w:shd w:val="clear" w:color="auto" w:fill="FFFFFF"/>
        </w:rPr>
        <w:t>, 3-47.</w:t>
      </w:r>
    </w:p>
    <w:p w14:paraId="76E44FED"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Singhania, M., &amp; Sharma, S. (2012). Financial turnaround of Indian Railways (A). </w:t>
      </w:r>
      <w:r w:rsidRPr="00C825E6">
        <w:rPr>
          <w:rFonts w:ascii="Arial" w:hAnsi="Arial" w:cs="Arial"/>
          <w:i/>
          <w:iCs/>
          <w:color w:val="222222"/>
          <w:sz w:val="24"/>
          <w:szCs w:val="24"/>
          <w:shd w:val="clear" w:color="auto" w:fill="FFFFFF"/>
        </w:rPr>
        <w:t>Emerald Emerging Markets Case Studies</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2</w:t>
      </w:r>
      <w:r w:rsidRPr="00C825E6">
        <w:rPr>
          <w:rFonts w:ascii="Arial" w:hAnsi="Arial" w:cs="Arial"/>
          <w:color w:val="222222"/>
          <w:sz w:val="24"/>
          <w:szCs w:val="24"/>
          <w:shd w:val="clear" w:color="auto" w:fill="FFFFFF"/>
        </w:rPr>
        <w:t>(8), 1-11.</w:t>
      </w:r>
    </w:p>
    <w:p w14:paraId="2FDB2432" w14:textId="77777777" w:rsidR="001A4CF9" w:rsidRPr="00C825E6" w:rsidRDefault="001A4CF9" w:rsidP="00B47066">
      <w:pPr>
        <w:spacing w:line="360" w:lineRule="auto"/>
        <w:jc w:val="both"/>
        <w:rPr>
          <w:rFonts w:ascii="Arial" w:hAnsi="Arial" w:cs="Arial"/>
          <w:color w:val="222222"/>
          <w:sz w:val="24"/>
          <w:szCs w:val="24"/>
          <w:shd w:val="clear" w:color="auto" w:fill="FFFFFF"/>
        </w:rPr>
      </w:pPr>
      <w:r w:rsidRPr="00C825E6">
        <w:rPr>
          <w:rFonts w:ascii="Arial" w:hAnsi="Arial" w:cs="Arial"/>
          <w:color w:val="222222"/>
          <w:sz w:val="24"/>
          <w:szCs w:val="24"/>
          <w:shd w:val="clear" w:color="auto" w:fill="FFFFFF"/>
        </w:rPr>
        <w:t>Slatter, S. (2006). </w:t>
      </w:r>
      <w:r w:rsidRPr="00C825E6">
        <w:rPr>
          <w:rFonts w:ascii="Arial" w:hAnsi="Arial" w:cs="Arial"/>
          <w:i/>
          <w:iCs/>
          <w:color w:val="222222"/>
          <w:sz w:val="24"/>
          <w:szCs w:val="24"/>
          <w:shd w:val="clear" w:color="auto" w:fill="FFFFFF"/>
        </w:rPr>
        <w:t>Leading corporate turnaround: How leaders fix troubled companies</w:t>
      </w:r>
      <w:r w:rsidRPr="00C825E6">
        <w:rPr>
          <w:rFonts w:ascii="Arial" w:hAnsi="Arial" w:cs="Arial"/>
          <w:color w:val="222222"/>
          <w:sz w:val="24"/>
          <w:szCs w:val="24"/>
          <w:shd w:val="clear" w:color="auto" w:fill="FFFFFF"/>
        </w:rPr>
        <w:t>. John Wiley &amp; Sons.</w:t>
      </w:r>
    </w:p>
    <w:p w14:paraId="050857A0" w14:textId="77777777" w:rsidR="001A4CF9" w:rsidRPr="00C825E6" w:rsidRDefault="001A4CF9" w:rsidP="00B47066">
      <w:pPr>
        <w:spacing w:line="360" w:lineRule="auto"/>
        <w:jc w:val="both"/>
        <w:rPr>
          <w:rFonts w:ascii="Arial" w:hAnsi="Arial" w:cs="Arial"/>
          <w:color w:val="222222"/>
          <w:sz w:val="24"/>
          <w:szCs w:val="24"/>
          <w:shd w:val="clear" w:color="auto" w:fill="FFFFFF"/>
        </w:rPr>
      </w:pPr>
      <w:proofErr w:type="spellStart"/>
      <w:r w:rsidRPr="00C825E6">
        <w:rPr>
          <w:rFonts w:ascii="Arial" w:hAnsi="Arial" w:cs="Arial"/>
          <w:color w:val="222222"/>
          <w:sz w:val="24"/>
          <w:szCs w:val="24"/>
          <w:shd w:val="clear" w:color="auto" w:fill="FFFFFF"/>
        </w:rPr>
        <w:t>Tangpong</w:t>
      </w:r>
      <w:proofErr w:type="spellEnd"/>
      <w:r w:rsidRPr="00C825E6">
        <w:rPr>
          <w:rFonts w:ascii="Arial" w:hAnsi="Arial" w:cs="Arial"/>
          <w:color w:val="222222"/>
          <w:sz w:val="24"/>
          <w:szCs w:val="24"/>
          <w:shd w:val="clear" w:color="auto" w:fill="FFFFFF"/>
        </w:rPr>
        <w:t>, C., Abebe, M., &amp; Li, Z. (2015). A temporal approach to retrenchment and successful turnaround in declining firms. </w:t>
      </w:r>
      <w:r w:rsidRPr="00C825E6">
        <w:rPr>
          <w:rFonts w:ascii="Arial" w:hAnsi="Arial" w:cs="Arial"/>
          <w:i/>
          <w:iCs/>
          <w:color w:val="222222"/>
          <w:sz w:val="24"/>
          <w:szCs w:val="24"/>
          <w:shd w:val="clear" w:color="auto" w:fill="FFFFFF"/>
        </w:rPr>
        <w:t>Journal of Management Studies</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52</w:t>
      </w:r>
      <w:r w:rsidRPr="00C825E6">
        <w:rPr>
          <w:rFonts w:ascii="Arial" w:hAnsi="Arial" w:cs="Arial"/>
          <w:color w:val="222222"/>
          <w:sz w:val="24"/>
          <w:szCs w:val="24"/>
          <w:shd w:val="clear" w:color="auto" w:fill="FFFFFF"/>
        </w:rPr>
        <w:t>(5), 647-677.</w:t>
      </w:r>
    </w:p>
    <w:p w14:paraId="2C165737" w14:textId="77777777" w:rsidR="001A4CF9" w:rsidRPr="00C825E6" w:rsidRDefault="001A4CF9" w:rsidP="00B47066">
      <w:pPr>
        <w:spacing w:line="360" w:lineRule="auto"/>
        <w:jc w:val="both"/>
        <w:rPr>
          <w:rFonts w:ascii="Arial" w:hAnsi="Arial" w:cs="Arial"/>
          <w:color w:val="222222"/>
          <w:sz w:val="24"/>
          <w:szCs w:val="24"/>
          <w:shd w:val="clear" w:color="auto" w:fill="FFFFFF"/>
        </w:rPr>
      </w:pPr>
      <w:proofErr w:type="spellStart"/>
      <w:r w:rsidRPr="00C825E6">
        <w:rPr>
          <w:rFonts w:ascii="Arial" w:hAnsi="Arial" w:cs="Arial"/>
          <w:color w:val="222222"/>
          <w:sz w:val="24"/>
          <w:szCs w:val="24"/>
          <w:shd w:val="clear" w:color="auto" w:fill="FFFFFF"/>
        </w:rPr>
        <w:t>Terdpaopong</w:t>
      </w:r>
      <w:proofErr w:type="spellEnd"/>
      <w:r w:rsidRPr="00C825E6">
        <w:rPr>
          <w:rFonts w:ascii="Arial" w:hAnsi="Arial" w:cs="Arial"/>
          <w:color w:val="222222"/>
          <w:sz w:val="24"/>
          <w:szCs w:val="24"/>
          <w:shd w:val="clear" w:color="auto" w:fill="FFFFFF"/>
        </w:rPr>
        <w:t>, K., &amp; Al Farooque, O. (2012). Financial distress, restructuring and turnaround: evidence from Thai SMEs. </w:t>
      </w:r>
      <w:r w:rsidRPr="00C825E6">
        <w:rPr>
          <w:rFonts w:ascii="Arial" w:hAnsi="Arial" w:cs="Arial"/>
          <w:i/>
          <w:iCs/>
          <w:color w:val="222222"/>
          <w:sz w:val="24"/>
          <w:szCs w:val="24"/>
          <w:shd w:val="clear" w:color="auto" w:fill="FFFFFF"/>
        </w:rPr>
        <w:t>Journal of Current Science and Technology</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2</w:t>
      </w:r>
      <w:r w:rsidRPr="00C825E6">
        <w:rPr>
          <w:rFonts w:ascii="Arial" w:hAnsi="Arial" w:cs="Arial"/>
          <w:color w:val="222222"/>
          <w:sz w:val="24"/>
          <w:szCs w:val="24"/>
          <w:shd w:val="clear" w:color="auto" w:fill="FFFFFF"/>
        </w:rPr>
        <w:t>(2), 119-132.</w:t>
      </w:r>
    </w:p>
    <w:p w14:paraId="701C9465" w14:textId="77777777" w:rsidR="001A4CF9" w:rsidRPr="00C825E6" w:rsidRDefault="001A4CF9" w:rsidP="00B47066">
      <w:pPr>
        <w:spacing w:line="360" w:lineRule="auto"/>
        <w:jc w:val="both"/>
        <w:rPr>
          <w:rFonts w:ascii="Arial" w:hAnsi="Arial" w:cs="Arial"/>
          <w:color w:val="222222"/>
          <w:sz w:val="24"/>
          <w:szCs w:val="24"/>
          <w:shd w:val="clear" w:color="auto" w:fill="FFFFFF"/>
        </w:rPr>
      </w:pPr>
      <w:proofErr w:type="spellStart"/>
      <w:r w:rsidRPr="00C825E6">
        <w:rPr>
          <w:rFonts w:ascii="Arial" w:hAnsi="Arial" w:cs="Arial"/>
          <w:color w:val="222222"/>
          <w:sz w:val="24"/>
          <w:szCs w:val="24"/>
          <w:shd w:val="clear" w:color="auto" w:fill="FFFFFF"/>
        </w:rPr>
        <w:t>Trahms</w:t>
      </w:r>
      <w:proofErr w:type="spellEnd"/>
      <w:r w:rsidRPr="00C825E6">
        <w:rPr>
          <w:rFonts w:ascii="Arial" w:hAnsi="Arial" w:cs="Arial"/>
          <w:color w:val="222222"/>
          <w:sz w:val="24"/>
          <w:szCs w:val="24"/>
          <w:shd w:val="clear" w:color="auto" w:fill="FFFFFF"/>
        </w:rPr>
        <w:t xml:space="preserve">, C. A., </w:t>
      </w:r>
      <w:proofErr w:type="spellStart"/>
      <w:r w:rsidRPr="00C825E6">
        <w:rPr>
          <w:rFonts w:ascii="Arial" w:hAnsi="Arial" w:cs="Arial"/>
          <w:color w:val="222222"/>
          <w:sz w:val="24"/>
          <w:szCs w:val="24"/>
          <w:shd w:val="clear" w:color="auto" w:fill="FFFFFF"/>
        </w:rPr>
        <w:t>Ndofor</w:t>
      </w:r>
      <w:proofErr w:type="spellEnd"/>
      <w:r w:rsidRPr="00C825E6">
        <w:rPr>
          <w:rFonts w:ascii="Arial" w:hAnsi="Arial" w:cs="Arial"/>
          <w:color w:val="222222"/>
          <w:sz w:val="24"/>
          <w:szCs w:val="24"/>
          <w:shd w:val="clear" w:color="auto" w:fill="FFFFFF"/>
        </w:rPr>
        <w:t>, H. A., &amp; Sirmon, D. G. (2013). Organizational decline and turnaround: A review and agenda for future research. </w:t>
      </w:r>
      <w:r w:rsidRPr="00C825E6">
        <w:rPr>
          <w:rFonts w:ascii="Arial" w:hAnsi="Arial" w:cs="Arial"/>
          <w:i/>
          <w:iCs/>
          <w:color w:val="222222"/>
          <w:sz w:val="24"/>
          <w:szCs w:val="24"/>
          <w:shd w:val="clear" w:color="auto" w:fill="FFFFFF"/>
        </w:rPr>
        <w:t>Journal of management</w:t>
      </w:r>
      <w:r w:rsidRPr="00C825E6">
        <w:rPr>
          <w:rFonts w:ascii="Arial" w:hAnsi="Arial" w:cs="Arial"/>
          <w:color w:val="222222"/>
          <w:sz w:val="24"/>
          <w:szCs w:val="24"/>
          <w:shd w:val="clear" w:color="auto" w:fill="FFFFFF"/>
        </w:rPr>
        <w:t>, </w:t>
      </w:r>
      <w:r w:rsidRPr="00C825E6">
        <w:rPr>
          <w:rFonts w:ascii="Arial" w:hAnsi="Arial" w:cs="Arial"/>
          <w:i/>
          <w:iCs/>
          <w:color w:val="222222"/>
          <w:sz w:val="24"/>
          <w:szCs w:val="24"/>
          <w:shd w:val="clear" w:color="auto" w:fill="FFFFFF"/>
        </w:rPr>
        <w:t>39</w:t>
      </w:r>
      <w:r w:rsidRPr="00C825E6">
        <w:rPr>
          <w:rFonts w:ascii="Arial" w:hAnsi="Arial" w:cs="Arial"/>
          <w:color w:val="222222"/>
          <w:sz w:val="24"/>
          <w:szCs w:val="24"/>
          <w:shd w:val="clear" w:color="auto" w:fill="FFFFFF"/>
        </w:rPr>
        <w:t>(5), 1277-1307.</w:t>
      </w:r>
    </w:p>
    <w:p w14:paraId="31953C4F" w14:textId="77777777" w:rsidR="00E44D66" w:rsidRPr="00A95A7D" w:rsidRDefault="00E44D66" w:rsidP="00B47066">
      <w:pPr>
        <w:spacing w:line="360" w:lineRule="auto"/>
        <w:jc w:val="both"/>
        <w:rPr>
          <w:rFonts w:ascii="Arial" w:hAnsi="Arial" w:cs="Arial"/>
          <w:color w:val="222222"/>
          <w:sz w:val="24"/>
          <w:szCs w:val="24"/>
          <w:shd w:val="clear" w:color="auto" w:fill="FFFFFF"/>
        </w:rPr>
      </w:pPr>
    </w:p>
    <w:p w14:paraId="1A6DC04E" w14:textId="77777777" w:rsidR="00960B2D" w:rsidRPr="00A95A7D" w:rsidRDefault="00960B2D" w:rsidP="008F7C75">
      <w:pPr>
        <w:spacing w:line="360" w:lineRule="auto"/>
        <w:jc w:val="both"/>
        <w:rPr>
          <w:rFonts w:ascii="Arial" w:hAnsi="Arial" w:cs="Arial"/>
          <w:color w:val="222222"/>
          <w:sz w:val="24"/>
          <w:szCs w:val="24"/>
          <w:shd w:val="clear" w:color="auto" w:fill="FFFFFF"/>
        </w:rPr>
      </w:pPr>
    </w:p>
    <w:p w14:paraId="20DAF616" w14:textId="77777777" w:rsidR="003F5AD1" w:rsidRPr="00A95A7D" w:rsidRDefault="003F5AD1" w:rsidP="008F7C75">
      <w:pPr>
        <w:spacing w:line="360" w:lineRule="auto"/>
        <w:jc w:val="both"/>
        <w:rPr>
          <w:rFonts w:ascii="Arial" w:hAnsi="Arial" w:cs="Arial"/>
          <w:color w:val="222222"/>
          <w:sz w:val="24"/>
          <w:szCs w:val="24"/>
          <w:shd w:val="clear" w:color="auto" w:fill="FFFFFF"/>
        </w:rPr>
      </w:pPr>
    </w:p>
    <w:p w14:paraId="7BA2F0CC" w14:textId="16F17D6D" w:rsidR="0081556B" w:rsidRPr="00A95A7D" w:rsidRDefault="0081556B" w:rsidP="008F7C75">
      <w:pPr>
        <w:spacing w:line="360" w:lineRule="auto"/>
        <w:jc w:val="both"/>
        <w:rPr>
          <w:rFonts w:ascii="Arial" w:hAnsi="Arial" w:cs="Arial"/>
          <w:color w:val="222222"/>
          <w:sz w:val="24"/>
          <w:szCs w:val="24"/>
          <w:shd w:val="clear" w:color="auto" w:fill="FFFFFF"/>
        </w:rPr>
      </w:pPr>
    </w:p>
    <w:sectPr w:rsidR="0081556B" w:rsidRPr="00A95A7D">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66A562" w14:textId="77777777" w:rsidR="003D176D" w:rsidRDefault="003D176D" w:rsidP="003530CF">
      <w:pPr>
        <w:spacing w:after="0" w:line="240" w:lineRule="auto"/>
      </w:pPr>
      <w:r>
        <w:separator/>
      </w:r>
    </w:p>
  </w:endnote>
  <w:endnote w:type="continuationSeparator" w:id="0">
    <w:p w14:paraId="319710D8" w14:textId="77777777" w:rsidR="003D176D" w:rsidRDefault="003D176D" w:rsidP="00353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2552575"/>
      <w:docPartObj>
        <w:docPartGallery w:val="Page Numbers (Bottom of Page)"/>
        <w:docPartUnique/>
      </w:docPartObj>
    </w:sdtPr>
    <w:sdtEndPr>
      <w:rPr>
        <w:noProof/>
      </w:rPr>
    </w:sdtEndPr>
    <w:sdtContent>
      <w:p w14:paraId="4533D37B" w14:textId="21F5DEB6" w:rsidR="003530CF" w:rsidRDefault="003530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325990" w14:textId="77777777" w:rsidR="003530CF" w:rsidRDefault="00353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15DC48" w14:textId="77777777" w:rsidR="003D176D" w:rsidRDefault="003D176D" w:rsidP="003530CF">
      <w:pPr>
        <w:spacing w:after="0" w:line="240" w:lineRule="auto"/>
      </w:pPr>
      <w:r>
        <w:separator/>
      </w:r>
    </w:p>
  </w:footnote>
  <w:footnote w:type="continuationSeparator" w:id="0">
    <w:p w14:paraId="4173E595" w14:textId="77777777" w:rsidR="003D176D" w:rsidRDefault="003D176D" w:rsidP="00353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E3547"/>
    <w:multiLevelType w:val="hybridMultilevel"/>
    <w:tmpl w:val="AFC47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75590"/>
    <w:multiLevelType w:val="hybridMultilevel"/>
    <w:tmpl w:val="82C06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9E716F"/>
    <w:multiLevelType w:val="hybridMultilevel"/>
    <w:tmpl w:val="D8FCB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2C241F"/>
    <w:multiLevelType w:val="hybridMultilevel"/>
    <w:tmpl w:val="ECD43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171D47"/>
    <w:multiLevelType w:val="hybridMultilevel"/>
    <w:tmpl w:val="A80C49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FB6007"/>
    <w:multiLevelType w:val="hybridMultilevel"/>
    <w:tmpl w:val="54524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546757"/>
    <w:multiLevelType w:val="hybridMultilevel"/>
    <w:tmpl w:val="95DEF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820EB6"/>
    <w:multiLevelType w:val="hybridMultilevel"/>
    <w:tmpl w:val="1A72C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1526B0"/>
    <w:multiLevelType w:val="hybridMultilevel"/>
    <w:tmpl w:val="15B87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7411C4"/>
    <w:multiLevelType w:val="hybridMultilevel"/>
    <w:tmpl w:val="B2108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3B3C87"/>
    <w:multiLevelType w:val="hybridMultilevel"/>
    <w:tmpl w:val="7E8A0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8218052">
    <w:abstractNumId w:val="0"/>
  </w:num>
  <w:num w:numId="2" w16cid:durableId="745372723">
    <w:abstractNumId w:val="6"/>
  </w:num>
  <w:num w:numId="3" w16cid:durableId="1658027059">
    <w:abstractNumId w:val="8"/>
  </w:num>
  <w:num w:numId="4" w16cid:durableId="179469119">
    <w:abstractNumId w:val="3"/>
  </w:num>
  <w:num w:numId="5" w16cid:durableId="1207182985">
    <w:abstractNumId w:val="9"/>
  </w:num>
  <w:num w:numId="6" w16cid:durableId="795367404">
    <w:abstractNumId w:val="2"/>
  </w:num>
  <w:num w:numId="7" w16cid:durableId="1719864567">
    <w:abstractNumId w:val="10"/>
  </w:num>
  <w:num w:numId="8" w16cid:durableId="1063603113">
    <w:abstractNumId w:val="1"/>
  </w:num>
  <w:num w:numId="9" w16cid:durableId="129789463">
    <w:abstractNumId w:val="5"/>
  </w:num>
  <w:num w:numId="10" w16cid:durableId="966161325">
    <w:abstractNumId w:val="4"/>
  </w:num>
  <w:num w:numId="11" w16cid:durableId="10673383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2FB"/>
    <w:rsid w:val="00000441"/>
    <w:rsid w:val="0000070A"/>
    <w:rsid w:val="00004011"/>
    <w:rsid w:val="0000622D"/>
    <w:rsid w:val="00006934"/>
    <w:rsid w:val="00027975"/>
    <w:rsid w:val="00030829"/>
    <w:rsid w:val="00032F81"/>
    <w:rsid w:val="0003457F"/>
    <w:rsid w:val="0004072E"/>
    <w:rsid w:val="00040D01"/>
    <w:rsid w:val="00041E80"/>
    <w:rsid w:val="0004244D"/>
    <w:rsid w:val="000551ED"/>
    <w:rsid w:val="00062617"/>
    <w:rsid w:val="000926E7"/>
    <w:rsid w:val="00097449"/>
    <w:rsid w:val="000A3721"/>
    <w:rsid w:val="000A669E"/>
    <w:rsid w:val="000A7C48"/>
    <w:rsid w:val="000B14FA"/>
    <w:rsid w:val="000B24A9"/>
    <w:rsid w:val="000D0C50"/>
    <w:rsid w:val="000D2B1B"/>
    <w:rsid w:val="000D718E"/>
    <w:rsid w:val="000E0C9C"/>
    <w:rsid w:val="000E375B"/>
    <w:rsid w:val="000E5B22"/>
    <w:rsid w:val="000F3961"/>
    <w:rsid w:val="000F47E3"/>
    <w:rsid w:val="00112C22"/>
    <w:rsid w:val="0012310F"/>
    <w:rsid w:val="001331FE"/>
    <w:rsid w:val="00150437"/>
    <w:rsid w:val="00155233"/>
    <w:rsid w:val="001579AC"/>
    <w:rsid w:val="00161271"/>
    <w:rsid w:val="00162BA3"/>
    <w:rsid w:val="00163222"/>
    <w:rsid w:val="00176D13"/>
    <w:rsid w:val="0018239C"/>
    <w:rsid w:val="0019484B"/>
    <w:rsid w:val="001A4883"/>
    <w:rsid w:val="001A4CF9"/>
    <w:rsid w:val="001A5423"/>
    <w:rsid w:val="001A761D"/>
    <w:rsid w:val="001B6374"/>
    <w:rsid w:val="001C312C"/>
    <w:rsid w:val="001D2F94"/>
    <w:rsid w:val="001E276A"/>
    <w:rsid w:val="001E4290"/>
    <w:rsid w:val="001F21BF"/>
    <w:rsid w:val="001F2282"/>
    <w:rsid w:val="0021609A"/>
    <w:rsid w:val="002225C9"/>
    <w:rsid w:val="002262FF"/>
    <w:rsid w:val="002468A9"/>
    <w:rsid w:val="0025724A"/>
    <w:rsid w:val="002619CA"/>
    <w:rsid w:val="00266801"/>
    <w:rsid w:val="002754E3"/>
    <w:rsid w:val="00280766"/>
    <w:rsid w:val="002846D1"/>
    <w:rsid w:val="002950C6"/>
    <w:rsid w:val="002A4E93"/>
    <w:rsid w:val="002A56D4"/>
    <w:rsid w:val="002B1554"/>
    <w:rsid w:val="002C0531"/>
    <w:rsid w:val="002C1611"/>
    <w:rsid w:val="002C5F1F"/>
    <w:rsid w:val="002D6C79"/>
    <w:rsid w:val="002E5BDB"/>
    <w:rsid w:val="002F03AB"/>
    <w:rsid w:val="002F2FD8"/>
    <w:rsid w:val="002F398F"/>
    <w:rsid w:val="002F6A79"/>
    <w:rsid w:val="00311EFE"/>
    <w:rsid w:val="00312ABA"/>
    <w:rsid w:val="00322137"/>
    <w:rsid w:val="00326FC3"/>
    <w:rsid w:val="0033264C"/>
    <w:rsid w:val="003327E6"/>
    <w:rsid w:val="00340D1A"/>
    <w:rsid w:val="00340F78"/>
    <w:rsid w:val="003475EE"/>
    <w:rsid w:val="00347967"/>
    <w:rsid w:val="00347FDA"/>
    <w:rsid w:val="003530CF"/>
    <w:rsid w:val="003619A7"/>
    <w:rsid w:val="0037051E"/>
    <w:rsid w:val="0038003E"/>
    <w:rsid w:val="00382BF2"/>
    <w:rsid w:val="0038764F"/>
    <w:rsid w:val="00390737"/>
    <w:rsid w:val="003C3410"/>
    <w:rsid w:val="003D176D"/>
    <w:rsid w:val="003E57A6"/>
    <w:rsid w:val="003F5AD1"/>
    <w:rsid w:val="003F77CA"/>
    <w:rsid w:val="004041FA"/>
    <w:rsid w:val="0040467A"/>
    <w:rsid w:val="00405BB0"/>
    <w:rsid w:val="00411018"/>
    <w:rsid w:val="00421C55"/>
    <w:rsid w:val="0042373B"/>
    <w:rsid w:val="00423A5E"/>
    <w:rsid w:val="00424B50"/>
    <w:rsid w:val="00433312"/>
    <w:rsid w:val="004342FD"/>
    <w:rsid w:val="00442506"/>
    <w:rsid w:val="00443BB6"/>
    <w:rsid w:val="00444A27"/>
    <w:rsid w:val="00461599"/>
    <w:rsid w:val="00465C29"/>
    <w:rsid w:val="00470EC7"/>
    <w:rsid w:val="0048103D"/>
    <w:rsid w:val="00486404"/>
    <w:rsid w:val="00496D07"/>
    <w:rsid w:val="004A4A0F"/>
    <w:rsid w:val="004A54DC"/>
    <w:rsid w:val="004B2BBE"/>
    <w:rsid w:val="004B5BD7"/>
    <w:rsid w:val="004B7950"/>
    <w:rsid w:val="004C2A47"/>
    <w:rsid w:val="004C5A8E"/>
    <w:rsid w:val="004C68AC"/>
    <w:rsid w:val="004E28C9"/>
    <w:rsid w:val="004E5A52"/>
    <w:rsid w:val="004F1995"/>
    <w:rsid w:val="005049F5"/>
    <w:rsid w:val="00512ABA"/>
    <w:rsid w:val="00520020"/>
    <w:rsid w:val="005234A1"/>
    <w:rsid w:val="00533071"/>
    <w:rsid w:val="005419B0"/>
    <w:rsid w:val="00542666"/>
    <w:rsid w:val="00554B6A"/>
    <w:rsid w:val="0056200B"/>
    <w:rsid w:val="00567852"/>
    <w:rsid w:val="0058709D"/>
    <w:rsid w:val="00590636"/>
    <w:rsid w:val="005A754A"/>
    <w:rsid w:val="005A7C4C"/>
    <w:rsid w:val="005B3344"/>
    <w:rsid w:val="005B7118"/>
    <w:rsid w:val="005C04D6"/>
    <w:rsid w:val="005C2ED6"/>
    <w:rsid w:val="005D428E"/>
    <w:rsid w:val="005D696C"/>
    <w:rsid w:val="005D6EC6"/>
    <w:rsid w:val="005E74D7"/>
    <w:rsid w:val="005F2DC3"/>
    <w:rsid w:val="005F5CBB"/>
    <w:rsid w:val="005F5DA2"/>
    <w:rsid w:val="005F6D85"/>
    <w:rsid w:val="00600C89"/>
    <w:rsid w:val="00602512"/>
    <w:rsid w:val="006049B6"/>
    <w:rsid w:val="006118B6"/>
    <w:rsid w:val="00612685"/>
    <w:rsid w:val="0062304E"/>
    <w:rsid w:val="00630A11"/>
    <w:rsid w:val="00661C7B"/>
    <w:rsid w:val="00687AC3"/>
    <w:rsid w:val="006A64E7"/>
    <w:rsid w:val="006A6C17"/>
    <w:rsid w:val="006D0FC8"/>
    <w:rsid w:val="006D3F77"/>
    <w:rsid w:val="006E352A"/>
    <w:rsid w:val="006F585E"/>
    <w:rsid w:val="00711BA6"/>
    <w:rsid w:val="00716947"/>
    <w:rsid w:val="00741FFA"/>
    <w:rsid w:val="00742133"/>
    <w:rsid w:val="00753D0B"/>
    <w:rsid w:val="00756AF1"/>
    <w:rsid w:val="0076099A"/>
    <w:rsid w:val="00761DA1"/>
    <w:rsid w:val="00763FC3"/>
    <w:rsid w:val="007728A2"/>
    <w:rsid w:val="0077548A"/>
    <w:rsid w:val="00780823"/>
    <w:rsid w:val="007A0CBE"/>
    <w:rsid w:val="007A0F24"/>
    <w:rsid w:val="007A180B"/>
    <w:rsid w:val="007A3CDF"/>
    <w:rsid w:val="007B761B"/>
    <w:rsid w:val="007B7E8A"/>
    <w:rsid w:val="007C01D5"/>
    <w:rsid w:val="007C29EB"/>
    <w:rsid w:val="007C2D41"/>
    <w:rsid w:val="007C678F"/>
    <w:rsid w:val="007D05CF"/>
    <w:rsid w:val="007F7833"/>
    <w:rsid w:val="0080120C"/>
    <w:rsid w:val="008060D8"/>
    <w:rsid w:val="0081556B"/>
    <w:rsid w:val="00826727"/>
    <w:rsid w:val="008303D5"/>
    <w:rsid w:val="0083594C"/>
    <w:rsid w:val="008409CB"/>
    <w:rsid w:val="008479F1"/>
    <w:rsid w:val="00860FA3"/>
    <w:rsid w:val="0086119E"/>
    <w:rsid w:val="008659D9"/>
    <w:rsid w:val="008718E3"/>
    <w:rsid w:val="00872445"/>
    <w:rsid w:val="00873463"/>
    <w:rsid w:val="00875CA8"/>
    <w:rsid w:val="00883845"/>
    <w:rsid w:val="00886210"/>
    <w:rsid w:val="00892636"/>
    <w:rsid w:val="008B32FB"/>
    <w:rsid w:val="008C2629"/>
    <w:rsid w:val="008C3299"/>
    <w:rsid w:val="008C350F"/>
    <w:rsid w:val="008C4541"/>
    <w:rsid w:val="008C4D20"/>
    <w:rsid w:val="008D0913"/>
    <w:rsid w:val="008D667F"/>
    <w:rsid w:val="008F7C75"/>
    <w:rsid w:val="0090157E"/>
    <w:rsid w:val="0090702F"/>
    <w:rsid w:val="00907D9C"/>
    <w:rsid w:val="009209DF"/>
    <w:rsid w:val="009255A2"/>
    <w:rsid w:val="009452D7"/>
    <w:rsid w:val="009465FE"/>
    <w:rsid w:val="00956653"/>
    <w:rsid w:val="00960B2D"/>
    <w:rsid w:val="00965350"/>
    <w:rsid w:val="009662FC"/>
    <w:rsid w:val="00973C9B"/>
    <w:rsid w:val="00990F84"/>
    <w:rsid w:val="009958FC"/>
    <w:rsid w:val="0099607F"/>
    <w:rsid w:val="009B3A72"/>
    <w:rsid w:val="009C075A"/>
    <w:rsid w:val="009C176B"/>
    <w:rsid w:val="009C2B8C"/>
    <w:rsid w:val="009C4B44"/>
    <w:rsid w:val="009C64FD"/>
    <w:rsid w:val="009C7A4B"/>
    <w:rsid w:val="009D55A1"/>
    <w:rsid w:val="009D5888"/>
    <w:rsid w:val="009F061B"/>
    <w:rsid w:val="009F2D3A"/>
    <w:rsid w:val="009F7C2B"/>
    <w:rsid w:val="00A121EC"/>
    <w:rsid w:val="00A30D08"/>
    <w:rsid w:val="00A371AE"/>
    <w:rsid w:val="00A45E36"/>
    <w:rsid w:val="00A4611D"/>
    <w:rsid w:val="00A46D13"/>
    <w:rsid w:val="00A574AF"/>
    <w:rsid w:val="00A60C61"/>
    <w:rsid w:val="00A636B3"/>
    <w:rsid w:val="00A67929"/>
    <w:rsid w:val="00A73C16"/>
    <w:rsid w:val="00A74396"/>
    <w:rsid w:val="00A81646"/>
    <w:rsid w:val="00A8229B"/>
    <w:rsid w:val="00A876FE"/>
    <w:rsid w:val="00A915F4"/>
    <w:rsid w:val="00A95A7D"/>
    <w:rsid w:val="00AA20D9"/>
    <w:rsid w:val="00AA2510"/>
    <w:rsid w:val="00AB5CB5"/>
    <w:rsid w:val="00AC3583"/>
    <w:rsid w:val="00AD33E2"/>
    <w:rsid w:val="00AD499A"/>
    <w:rsid w:val="00AD6CD5"/>
    <w:rsid w:val="00AE1BB9"/>
    <w:rsid w:val="00AF6AA4"/>
    <w:rsid w:val="00AF7287"/>
    <w:rsid w:val="00B00139"/>
    <w:rsid w:val="00B0170F"/>
    <w:rsid w:val="00B137BA"/>
    <w:rsid w:val="00B33B53"/>
    <w:rsid w:val="00B36DB0"/>
    <w:rsid w:val="00B421C2"/>
    <w:rsid w:val="00B43967"/>
    <w:rsid w:val="00B47066"/>
    <w:rsid w:val="00B47B39"/>
    <w:rsid w:val="00B53C1C"/>
    <w:rsid w:val="00B566DC"/>
    <w:rsid w:val="00B57D8D"/>
    <w:rsid w:val="00B57E78"/>
    <w:rsid w:val="00B70A2A"/>
    <w:rsid w:val="00B8335A"/>
    <w:rsid w:val="00B83D53"/>
    <w:rsid w:val="00B979A9"/>
    <w:rsid w:val="00BA071D"/>
    <w:rsid w:val="00BA22FE"/>
    <w:rsid w:val="00BD4F46"/>
    <w:rsid w:val="00BD51F8"/>
    <w:rsid w:val="00BF0EC6"/>
    <w:rsid w:val="00BF1C84"/>
    <w:rsid w:val="00BF4C04"/>
    <w:rsid w:val="00BF62BD"/>
    <w:rsid w:val="00C012D1"/>
    <w:rsid w:val="00C04F0F"/>
    <w:rsid w:val="00C10C96"/>
    <w:rsid w:val="00C16CEE"/>
    <w:rsid w:val="00C174C8"/>
    <w:rsid w:val="00C26DAA"/>
    <w:rsid w:val="00C325A2"/>
    <w:rsid w:val="00C32F4A"/>
    <w:rsid w:val="00C405F4"/>
    <w:rsid w:val="00C457A3"/>
    <w:rsid w:val="00C5449F"/>
    <w:rsid w:val="00C6185F"/>
    <w:rsid w:val="00C66589"/>
    <w:rsid w:val="00C73933"/>
    <w:rsid w:val="00C74380"/>
    <w:rsid w:val="00C819DF"/>
    <w:rsid w:val="00C825E6"/>
    <w:rsid w:val="00C8391A"/>
    <w:rsid w:val="00C840CD"/>
    <w:rsid w:val="00C865CA"/>
    <w:rsid w:val="00C900F5"/>
    <w:rsid w:val="00C903FF"/>
    <w:rsid w:val="00C94C90"/>
    <w:rsid w:val="00CA10BB"/>
    <w:rsid w:val="00CA1542"/>
    <w:rsid w:val="00CB3B1A"/>
    <w:rsid w:val="00CC2D1B"/>
    <w:rsid w:val="00CD4B64"/>
    <w:rsid w:val="00CE5DF0"/>
    <w:rsid w:val="00CF0FAA"/>
    <w:rsid w:val="00D014EB"/>
    <w:rsid w:val="00D019C3"/>
    <w:rsid w:val="00D0409B"/>
    <w:rsid w:val="00D248A1"/>
    <w:rsid w:val="00D26318"/>
    <w:rsid w:val="00D3530B"/>
    <w:rsid w:val="00D500AD"/>
    <w:rsid w:val="00D622C5"/>
    <w:rsid w:val="00D64E0D"/>
    <w:rsid w:val="00D72CCA"/>
    <w:rsid w:val="00D73F0D"/>
    <w:rsid w:val="00D90047"/>
    <w:rsid w:val="00D9043B"/>
    <w:rsid w:val="00DA2EC6"/>
    <w:rsid w:val="00DA6204"/>
    <w:rsid w:val="00DB1E91"/>
    <w:rsid w:val="00DB559F"/>
    <w:rsid w:val="00DC3EB9"/>
    <w:rsid w:val="00DC547C"/>
    <w:rsid w:val="00DC613E"/>
    <w:rsid w:val="00DD2AFE"/>
    <w:rsid w:val="00DE116D"/>
    <w:rsid w:val="00DE2A0C"/>
    <w:rsid w:val="00DE2DFE"/>
    <w:rsid w:val="00E07FC9"/>
    <w:rsid w:val="00E12859"/>
    <w:rsid w:val="00E13E5B"/>
    <w:rsid w:val="00E15D62"/>
    <w:rsid w:val="00E262D3"/>
    <w:rsid w:val="00E26334"/>
    <w:rsid w:val="00E264F1"/>
    <w:rsid w:val="00E26863"/>
    <w:rsid w:val="00E303B8"/>
    <w:rsid w:val="00E40141"/>
    <w:rsid w:val="00E44468"/>
    <w:rsid w:val="00E44D66"/>
    <w:rsid w:val="00E63025"/>
    <w:rsid w:val="00E73712"/>
    <w:rsid w:val="00E91C77"/>
    <w:rsid w:val="00EB6A24"/>
    <w:rsid w:val="00EC0FA4"/>
    <w:rsid w:val="00EC2406"/>
    <w:rsid w:val="00ED6531"/>
    <w:rsid w:val="00EE0290"/>
    <w:rsid w:val="00EE282B"/>
    <w:rsid w:val="00EF6544"/>
    <w:rsid w:val="00F04F99"/>
    <w:rsid w:val="00F14F28"/>
    <w:rsid w:val="00F31C7B"/>
    <w:rsid w:val="00F34031"/>
    <w:rsid w:val="00F34AD1"/>
    <w:rsid w:val="00F35102"/>
    <w:rsid w:val="00F40C55"/>
    <w:rsid w:val="00F50B52"/>
    <w:rsid w:val="00F67918"/>
    <w:rsid w:val="00F7081B"/>
    <w:rsid w:val="00F74EE1"/>
    <w:rsid w:val="00F756DE"/>
    <w:rsid w:val="00FA4657"/>
    <w:rsid w:val="00FA56B9"/>
    <w:rsid w:val="00FB0578"/>
    <w:rsid w:val="00FB52A9"/>
    <w:rsid w:val="00FB592C"/>
    <w:rsid w:val="00FB67A8"/>
    <w:rsid w:val="00FC4762"/>
    <w:rsid w:val="00FC6871"/>
    <w:rsid w:val="00FD4B99"/>
    <w:rsid w:val="00FE04FB"/>
    <w:rsid w:val="00FE1909"/>
    <w:rsid w:val="00FF01B5"/>
    <w:rsid w:val="00FF2DA0"/>
    <w:rsid w:val="00FF3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E94F2"/>
  <w15:chartTrackingRefBased/>
  <w15:docId w15:val="{5AA7DC28-88ED-4752-ACB9-C09012C92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047"/>
  </w:style>
  <w:style w:type="paragraph" w:styleId="Heading1">
    <w:name w:val="heading 1"/>
    <w:basedOn w:val="Normal"/>
    <w:link w:val="Heading1Char"/>
    <w:autoRedefine/>
    <w:uiPriority w:val="1"/>
    <w:qFormat/>
    <w:rsid w:val="00C903FF"/>
    <w:pPr>
      <w:widowControl w:val="0"/>
      <w:autoSpaceDE w:val="0"/>
      <w:autoSpaceDN w:val="0"/>
      <w:spacing w:before="3" w:line="256" w:lineRule="auto"/>
      <w:outlineLvl w:val="0"/>
    </w:pPr>
    <w:rPr>
      <w:rFonts w:ascii="Times New Roman" w:eastAsia="Tahoma" w:hAnsi="Times New Roman" w:cs="Arial"/>
      <w:b/>
      <w:bCs/>
      <w:color w:val="000000" w:themeColor="text1"/>
      <w:sz w:val="32"/>
      <w:szCs w:val="48"/>
    </w:rPr>
  </w:style>
  <w:style w:type="paragraph" w:styleId="Heading2">
    <w:name w:val="heading 2"/>
    <w:basedOn w:val="Normal"/>
    <w:next w:val="Normal"/>
    <w:link w:val="Heading2Char"/>
    <w:autoRedefine/>
    <w:uiPriority w:val="9"/>
    <w:unhideWhenUsed/>
    <w:qFormat/>
    <w:rsid w:val="00DB559F"/>
    <w:pPr>
      <w:keepNext/>
      <w:keepLines/>
      <w:spacing w:before="40" w:line="360" w:lineRule="auto"/>
      <w:outlineLvl w:val="1"/>
    </w:pPr>
    <w:rPr>
      <w:rFonts w:ascii="Times New Roman" w:eastAsia="Times New Roman" w:hAnsi="Times New Roman" w:cstheme="majorBidi"/>
      <w:sz w:val="28"/>
      <w:szCs w:val="26"/>
      <w:lang w:eastAsia="en-GB"/>
    </w:rPr>
  </w:style>
  <w:style w:type="paragraph" w:styleId="Heading3">
    <w:name w:val="heading 3"/>
    <w:basedOn w:val="Normal"/>
    <w:next w:val="Normal"/>
    <w:link w:val="Heading3Char"/>
    <w:uiPriority w:val="9"/>
    <w:semiHidden/>
    <w:unhideWhenUsed/>
    <w:qFormat/>
    <w:rsid w:val="00444A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903FF"/>
    <w:rPr>
      <w:rFonts w:ascii="Times New Roman" w:eastAsia="Tahoma" w:hAnsi="Times New Roman" w:cs="Arial"/>
      <w:b/>
      <w:bCs/>
      <w:color w:val="000000" w:themeColor="text1"/>
      <w:sz w:val="32"/>
      <w:szCs w:val="48"/>
    </w:rPr>
  </w:style>
  <w:style w:type="character" w:customStyle="1" w:styleId="Heading2Char">
    <w:name w:val="Heading 2 Char"/>
    <w:basedOn w:val="DefaultParagraphFont"/>
    <w:link w:val="Heading2"/>
    <w:uiPriority w:val="9"/>
    <w:rsid w:val="00DB559F"/>
    <w:rPr>
      <w:rFonts w:ascii="Times New Roman" w:eastAsia="Times New Roman" w:hAnsi="Times New Roman" w:cstheme="majorBidi"/>
      <w:sz w:val="28"/>
      <w:szCs w:val="26"/>
      <w:lang w:eastAsia="en-GB"/>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styleId="PlaceholderText">
    <w:name w:val="Placeholder Text"/>
    <w:basedOn w:val="DefaultParagraphFont"/>
    <w:uiPriority w:val="99"/>
    <w:semiHidden/>
    <w:rsid w:val="00486404"/>
    <w:rPr>
      <w:color w:val="808080"/>
    </w:rPr>
  </w:style>
  <w:style w:type="paragraph" w:styleId="ListParagraph">
    <w:name w:val="List Paragraph"/>
    <w:basedOn w:val="Normal"/>
    <w:uiPriority w:val="34"/>
    <w:qFormat/>
    <w:rsid w:val="00421C55"/>
    <w:pPr>
      <w:ind w:left="720"/>
      <w:contextualSpacing/>
    </w:pPr>
  </w:style>
  <w:style w:type="paragraph" w:styleId="TOCHeading">
    <w:name w:val="TOC Heading"/>
    <w:basedOn w:val="Heading1"/>
    <w:next w:val="Normal"/>
    <w:uiPriority w:val="39"/>
    <w:unhideWhenUsed/>
    <w:qFormat/>
    <w:rsid w:val="00D9043B"/>
    <w:pPr>
      <w:keepNext/>
      <w:keepLines/>
      <w:widowControl/>
      <w:autoSpaceDE/>
      <w:autoSpaceDN/>
      <w:spacing w:before="240" w:after="0" w:line="259" w:lineRule="auto"/>
      <w:outlineLvl w:val="9"/>
    </w:pPr>
    <w:rPr>
      <w:rFonts w:asciiTheme="majorHAnsi" w:eastAsiaTheme="majorEastAsia" w:hAnsiTheme="majorHAnsi" w:cstheme="majorBidi"/>
      <w:bCs w:val="0"/>
      <w:color w:val="2F5496" w:themeColor="accent1" w:themeShade="BF"/>
      <w:szCs w:val="32"/>
      <w:lang w:val="en-US"/>
    </w:rPr>
  </w:style>
  <w:style w:type="paragraph" w:styleId="TOC1">
    <w:name w:val="toc 1"/>
    <w:basedOn w:val="Normal"/>
    <w:next w:val="Normal"/>
    <w:autoRedefine/>
    <w:uiPriority w:val="39"/>
    <w:unhideWhenUsed/>
    <w:rsid w:val="009C075A"/>
    <w:pPr>
      <w:spacing w:after="100"/>
    </w:pPr>
  </w:style>
  <w:style w:type="paragraph" w:styleId="TOC2">
    <w:name w:val="toc 2"/>
    <w:basedOn w:val="Normal"/>
    <w:next w:val="Normal"/>
    <w:autoRedefine/>
    <w:uiPriority w:val="39"/>
    <w:unhideWhenUsed/>
    <w:rsid w:val="009C075A"/>
    <w:pPr>
      <w:spacing w:after="100"/>
      <w:ind w:left="220"/>
    </w:pPr>
  </w:style>
  <w:style w:type="character" w:styleId="Hyperlink">
    <w:name w:val="Hyperlink"/>
    <w:basedOn w:val="DefaultParagraphFont"/>
    <w:uiPriority w:val="99"/>
    <w:unhideWhenUsed/>
    <w:rsid w:val="009C075A"/>
    <w:rPr>
      <w:color w:val="0563C1" w:themeColor="hyperlink"/>
      <w:u w:val="single"/>
    </w:rPr>
  </w:style>
  <w:style w:type="paragraph" w:styleId="Header">
    <w:name w:val="header"/>
    <w:basedOn w:val="Normal"/>
    <w:link w:val="HeaderChar"/>
    <w:uiPriority w:val="99"/>
    <w:unhideWhenUsed/>
    <w:rsid w:val="00353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0CF"/>
  </w:style>
  <w:style w:type="paragraph" w:styleId="Footer">
    <w:name w:val="footer"/>
    <w:basedOn w:val="Normal"/>
    <w:link w:val="FooterChar"/>
    <w:uiPriority w:val="99"/>
    <w:unhideWhenUsed/>
    <w:rsid w:val="00353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0CF"/>
  </w:style>
  <w:style w:type="table" w:styleId="GridTable4-Accent6">
    <w:name w:val="Grid Table 4 Accent 6"/>
    <w:basedOn w:val="TableNormal"/>
    <w:uiPriority w:val="49"/>
    <w:rsid w:val="00CD4B6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3Char">
    <w:name w:val="Heading 3 Char"/>
    <w:basedOn w:val="DefaultParagraphFont"/>
    <w:link w:val="Heading3"/>
    <w:uiPriority w:val="9"/>
    <w:semiHidden/>
    <w:rsid w:val="00444A27"/>
    <w:rPr>
      <w:rFonts w:asciiTheme="majorHAnsi" w:eastAsiaTheme="majorEastAsia" w:hAnsiTheme="majorHAnsi" w:cstheme="majorBidi"/>
      <w:color w:val="1F3763" w:themeColor="accent1" w:themeShade="7F"/>
      <w:sz w:val="24"/>
      <w:szCs w:val="24"/>
    </w:rPr>
  </w:style>
  <w:style w:type="table" w:styleId="GridTable5Dark-Accent6">
    <w:name w:val="Grid Table 5 Dark Accent 6"/>
    <w:basedOn w:val="TableNormal"/>
    <w:uiPriority w:val="50"/>
    <w:rsid w:val="009B3A7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065192">
      <w:bodyDiv w:val="1"/>
      <w:marLeft w:val="0"/>
      <w:marRight w:val="0"/>
      <w:marTop w:val="0"/>
      <w:marBottom w:val="0"/>
      <w:divBdr>
        <w:top w:val="none" w:sz="0" w:space="0" w:color="auto"/>
        <w:left w:val="none" w:sz="0" w:space="0" w:color="auto"/>
        <w:bottom w:val="none" w:sz="0" w:space="0" w:color="auto"/>
        <w:right w:val="none" w:sz="0" w:space="0" w:color="auto"/>
      </w:divBdr>
    </w:div>
    <w:div w:id="281690294">
      <w:bodyDiv w:val="1"/>
      <w:marLeft w:val="0"/>
      <w:marRight w:val="0"/>
      <w:marTop w:val="0"/>
      <w:marBottom w:val="0"/>
      <w:divBdr>
        <w:top w:val="none" w:sz="0" w:space="0" w:color="auto"/>
        <w:left w:val="none" w:sz="0" w:space="0" w:color="auto"/>
        <w:bottom w:val="none" w:sz="0" w:space="0" w:color="auto"/>
        <w:right w:val="none" w:sz="0" w:space="0" w:color="auto"/>
      </w:divBdr>
    </w:div>
    <w:div w:id="343096131">
      <w:bodyDiv w:val="1"/>
      <w:marLeft w:val="0"/>
      <w:marRight w:val="0"/>
      <w:marTop w:val="0"/>
      <w:marBottom w:val="0"/>
      <w:divBdr>
        <w:top w:val="none" w:sz="0" w:space="0" w:color="auto"/>
        <w:left w:val="none" w:sz="0" w:space="0" w:color="auto"/>
        <w:bottom w:val="none" w:sz="0" w:space="0" w:color="auto"/>
        <w:right w:val="none" w:sz="0" w:space="0" w:color="auto"/>
      </w:divBdr>
    </w:div>
    <w:div w:id="517013933">
      <w:bodyDiv w:val="1"/>
      <w:marLeft w:val="0"/>
      <w:marRight w:val="0"/>
      <w:marTop w:val="0"/>
      <w:marBottom w:val="0"/>
      <w:divBdr>
        <w:top w:val="none" w:sz="0" w:space="0" w:color="auto"/>
        <w:left w:val="none" w:sz="0" w:space="0" w:color="auto"/>
        <w:bottom w:val="none" w:sz="0" w:space="0" w:color="auto"/>
        <w:right w:val="none" w:sz="0" w:space="0" w:color="auto"/>
      </w:divBdr>
    </w:div>
    <w:div w:id="728698471">
      <w:bodyDiv w:val="1"/>
      <w:marLeft w:val="0"/>
      <w:marRight w:val="0"/>
      <w:marTop w:val="0"/>
      <w:marBottom w:val="0"/>
      <w:divBdr>
        <w:top w:val="none" w:sz="0" w:space="0" w:color="auto"/>
        <w:left w:val="none" w:sz="0" w:space="0" w:color="auto"/>
        <w:bottom w:val="none" w:sz="0" w:space="0" w:color="auto"/>
        <w:right w:val="none" w:sz="0" w:space="0" w:color="auto"/>
      </w:divBdr>
    </w:div>
    <w:div w:id="876815422">
      <w:bodyDiv w:val="1"/>
      <w:marLeft w:val="0"/>
      <w:marRight w:val="0"/>
      <w:marTop w:val="0"/>
      <w:marBottom w:val="0"/>
      <w:divBdr>
        <w:top w:val="none" w:sz="0" w:space="0" w:color="auto"/>
        <w:left w:val="none" w:sz="0" w:space="0" w:color="auto"/>
        <w:bottom w:val="none" w:sz="0" w:space="0" w:color="auto"/>
        <w:right w:val="none" w:sz="0" w:space="0" w:color="auto"/>
      </w:divBdr>
    </w:div>
    <w:div w:id="892738370">
      <w:bodyDiv w:val="1"/>
      <w:marLeft w:val="0"/>
      <w:marRight w:val="0"/>
      <w:marTop w:val="0"/>
      <w:marBottom w:val="0"/>
      <w:divBdr>
        <w:top w:val="none" w:sz="0" w:space="0" w:color="auto"/>
        <w:left w:val="none" w:sz="0" w:space="0" w:color="auto"/>
        <w:bottom w:val="none" w:sz="0" w:space="0" w:color="auto"/>
        <w:right w:val="none" w:sz="0" w:space="0" w:color="auto"/>
      </w:divBdr>
    </w:div>
    <w:div w:id="907544183">
      <w:bodyDiv w:val="1"/>
      <w:marLeft w:val="0"/>
      <w:marRight w:val="0"/>
      <w:marTop w:val="0"/>
      <w:marBottom w:val="0"/>
      <w:divBdr>
        <w:top w:val="none" w:sz="0" w:space="0" w:color="auto"/>
        <w:left w:val="none" w:sz="0" w:space="0" w:color="auto"/>
        <w:bottom w:val="none" w:sz="0" w:space="0" w:color="auto"/>
        <w:right w:val="none" w:sz="0" w:space="0" w:color="auto"/>
      </w:divBdr>
    </w:div>
    <w:div w:id="962734526">
      <w:bodyDiv w:val="1"/>
      <w:marLeft w:val="0"/>
      <w:marRight w:val="0"/>
      <w:marTop w:val="0"/>
      <w:marBottom w:val="0"/>
      <w:divBdr>
        <w:top w:val="none" w:sz="0" w:space="0" w:color="auto"/>
        <w:left w:val="none" w:sz="0" w:space="0" w:color="auto"/>
        <w:bottom w:val="none" w:sz="0" w:space="0" w:color="auto"/>
        <w:right w:val="none" w:sz="0" w:space="0" w:color="auto"/>
      </w:divBdr>
    </w:div>
    <w:div w:id="991059899">
      <w:bodyDiv w:val="1"/>
      <w:marLeft w:val="0"/>
      <w:marRight w:val="0"/>
      <w:marTop w:val="0"/>
      <w:marBottom w:val="0"/>
      <w:divBdr>
        <w:top w:val="none" w:sz="0" w:space="0" w:color="auto"/>
        <w:left w:val="none" w:sz="0" w:space="0" w:color="auto"/>
        <w:bottom w:val="none" w:sz="0" w:space="0" w:color="auto"/>
        <w:right w:val="none" w:sz="0" w:space="0" w:color="auto"/>
      </w:divBdr>
    </w:div>
    <w:div w:id="997463790">
      <w:bodyDiv w:val="1"/>
      <w:marLeft w:val="0"/>
      <w:marRight w:val="0"/>
      <w:marTop w:val="0"/>
      <w:marBottom w:val="0"/>
      <w:divBdr>
        <w:top w:val="none" w:sz="0" w:space="0" w:color="auto"/>
        <w:left w:val="none" w:sz="0" w:space="0" w:color="auto"/>
        <w:bottom w:val="none" w:sz="0" w:space="0" w:color="auto"/>
        <w:right w:val="none" w:sz="0" w:space="0" w:color="auto"/>
      </w:divBdr>
    </w:div>
    <w:div w:id="1046685503">
      <w:bodyDiv w:val="1"/>
      <w:marLeft w:val="0"/>
      <w:marRight w:val="0"/>
      <w:marTop w:val="0"/>
      <w:marBottom w:val="0"/>
      <w:divBdr>
        <w:top w:val="none" w:sz="0" w:space="0" w:color="auto"/>
        <w:left w:val="none" w:sz="0" w:space="0" w:color="auto"/>
        <w:bottom w:val="none" w:sz="0" w:space="0" w:color="auto"/>
        <w:right w:val="none" w:sz="0" w:space="0" w:color="auto"/>
      </w:divBdr>
    </w:div>
    <w:div w:id="1069305855">
      <w:bodyDiv w:val="1"/>
      <w:marLeft w:val="0"/>
      <w:marRight w:val="0"/>
      <w:marTop w:val="0"/>
      <w:marBottom w:val="0"/>
      <w:divBdr>
        <w:top w:val="none" w:sz="0" w:space="0" w:color="auto"/>
        <w:left w:val="none" w:sz="0" w:space="0" w:color="auto"/>
        <w:bottom w:val="none" w:sz="0" w:space="0" w:color="auto"/>
        <w:right w:val="none" w:sz="0" w:space="0" w:color="auto"/>
      </w:divBdr>
    </w:div>
    <w:div w:id="1086804329">
      <w:bodyDiv w:val="1"/>
      <w:marLeft w:val="0"/>
      <w:marRight w:val="0"/>
      <w:marTop w:val="0"/>
      <w:marBottom w:val="0"/>
      <w:divBdr>
        <w:top w:val="none" w:sz="0" w:space="0" w:color="auto"/>
        <w:left w:val="none" w:sz="0" w:space="0" w:color="auto"/>
        <w:bottom w:val="none" w:sz="0" w:space="0" w:color="auto"/>
        <w:right w:val="none" w:sz="0" w:space="0" w:color="auto"/>
      </w:divBdr>
    </w:div>
    <w:div w:id="1108702238">
      <w:bodyDiv w:val="1"/>
      <w:marLeft w:val="0"/>
      <w:marRight w:val="0"/>
      <w:marTop w:val="0"/>
      <w:marBottom w:val="0"/>
      <w:divBdr>
        <w:top w:val="none" w:sz="0" w:space="0" w:color="auto"/>
        <w:left w:val="none" w:sz="0" w:space="0" w:color="auto"/>
        <w:bottom w:val="none" w:sz="0" w:space="0" w:color="auto"/>
        <w:right w:val="none" w:sz="0" w:space="0" w:color="auto"/>
      </w:divBdr>
    </w:div>
    <w:div w:id="1132752361">
      <w:bodyDiv w:val="1"/>
      <w:marLeft w:val="0"/>
      <w:marRight w:val="0"/>
      <w:marTop w:val="0"/>
      <w:marBottom w:val="0"/>
      <w:divBdr>
        <w:top w:val="none" w:sz="0" w:space="0" w:color="auto"/>
        <w:left w:val="none" w:sz="0" w:space="0" w:color="auto"/>
        <w:bottom w:val="none" w:sz="0" w:space="0" w:color="auto"/>
        <w:right w:val="none" w:sz="0" w:space="0" w:color="auto"/>
      </w:divBdr>
    </w:div>
    <w:div w:id="1196194784">
      <w:bodyDiv w:val="1"/>
      <w:marLeft w:val="0"/>
      <w:marRight w:val="0"/>
      <w:marTop w:val="0"/>
      <w:marBottom w:val="0"/>
      <w:divBdr>
        <w:top w:val="none" w:sz="0" w:space="0" w:color="auto"/>
        <w:left w:val="none" w:sz="0" w:space="0" w:color="auto"/>
        <w:bottom w:val="none" w:sz="0" w:space="0" w:color="auto"/>
        <w:right w:val="none" w:sz="0" w:space="0" w:color="auto"/>
      </w:divBdr>
    </w:div>
    <w:div w:id="1226406980">
      <w:bodyDiv w:val="1"/>
      <w:marLeft w:val="0"/>
      <w:marRight w:val="0"/>
      <w:marTop w:val="0"/>
      <w:marBottom w:val="0"/>
      <w:divBdr>
        <w:top w:val="none" w:sz="0" w:space="0" w:color="auto"/>
        <w:left w:val="none" w:sz="0" w:space="0" w:color="auto"/>
        <w:bottom w:val="none" w:sz="0" w:space="0" w:color="auto"/>
        <w:right w:val="none" w:sz="0" w:space="0" w:color="auto"/>
      </w:divBdr>
    </w:div>
    <w:div w:id="1322345313">
      <w:bodyDiv w:val="1"/>
      <w:marLeft w:val="0"/>
      <w:marRight w:val="0"/>
      <w:marTop w:val="0"/>
      <w:marBottom w:val="0"/>
      <w:divBdr>
        <w:top w:val="none" w:sz="0" w:space="0" w:color="auto"/>
        <w:left w:val="none" w:sz="0" w:space="0" w:color="auto"/>
        <w:bottom w:val="none" w:sz="0" w:space="0" w:color="auto"/>
        <w:right w:val="none" w:sz="0" w:space="0" w:color="auto"/>
      </w:divBdr>
    </w:div>
    <w:div w:id="1341351522">
      <w:bodyDiv w:val="1"/>
      <w:marLeft w:val="0"/>
      <w:marRight w:val="0"/>
      <w:marTop w:val="0"/>
      <w:marBottom w:val="0"/>
      <w:divBdr>
        <w:top w:val="none" w:sz="0" w:space="0" w:color="auto"/>
        <w:left w:val="none" w:sz="0" w:space="0" w:color="auto"/>
        <w:bottom w:val="none" w:sz="0" w:space="0" w:color="auto"/>
        <w:right w:val="none" w:sz="0" w:space="0" w:color="auto"/>
      </w:divBdr>
    </w:div>
    <w:div w:id="1402025685">
      <w:bodyDiv w:val="1"/>
      <w:marLeft w:val="0"/>
      <w:marRight w:val="0"/>
      <w:marTop w:val="0"/>
      <w:marBottom w:val="0"/>
      <w:divBdr>
        <w:top w:val="none" w:sz="0" w:space="0" w:color="auto"/>
        <w:left w:val="none" w:sz="0" w:space="0" w:color="auto"/>
        <w:bottom w:val="none" w:sz="0" w:space="0" w:color="auto"/>
        <w:right w:val="none" w:sz="0" w:space="0" w:color="auto"/>
      </w:divBdr>
    </w:div>
    <w:div w:id="1413890868">
      <w:bodyDiv w:val="1"/>
      <w:marLeft w:val="0"/>
      <w:marRight w:val="0"/>
      <w:marTop w:val="0"/>
      <w:marBottom w:val="0"/>
      <w:divBdr>
        <w:top w:val="none" w:sz="0" w:space="0" w:color="auto"/>
        <w:left w:val="none" w:sz="0" w:space="0" w:color="auto"/>
        <w:bottom w:val="none" w:sz="0" w:space="0" w:color="auto"/>
        <w:right w:val="none" w:sz="0" w:space="0" w:color="auto"/>
      </w:divBdr>
    </w:div>
    <w:div w:id="1454709196">
      <w:bodyDiv w:val="1"/>
      <w:marLeft w:val="0"/>
      <w:marRight w:val="0"/>
      <w:marTop w:val="0"/>
      <w:marBottom w:val="0"/>
      <w:divBdr>
        <w:top w:val="none" w:sz="0" w:space="0" w:color="auto"/>
        <w:left w:val="none" w:sz="0" w:space="0" w:color="auto"/>
        <w:bottom w:val="none" w:sz="0" w:space="0" w:color="auto"/>
        <w:right w:val="none" w:sz="0" w:space="0" w:color="auto"/>
      </w:divBdr>
    </w:div>
    <w:div w:id="1457064776">
      <w:bodyDiv w:val="1"/>
      <w:marLeft w:val="0"/>
      <w:marRight w:val="0"/>
      <w:marTop w:val="0"/>
      <w:marBottom w:val="0"/>
      <w:divBdr>
        <w:top w:val="none" w:sz="0" w:space="0" w:color="auto"/>
        <w:left w:val="none" w:sz="0" w:space="0" w:color="auto"/>
        <w:bottom w:val="none" w:sz="0" w:space="0" w:color="auto"/>
        <w:right w:val="none" w:sz="0" w:space="0" w:color="auto"/>
      </w:divBdr>
    </w:div>
    <w:div w:id="1550995491">
      <w:bodyDiv w:val="1"/>
      <w:marLeft w:val="0"/>
      <w:marRight w:val="0"/>
      <w:marTop w:val="0"/>
      <w:marBottom w:val="0"/>
      <w:divBdr>
        <w:top w:val="none" w:sz="0" w:space="0" w:color="auto"/>
        <w:left w:val="none" w:sz="0" w:space="0" w:color="auto"/>
        <w:bottom w:val="none" w:sz="0" w:space="0" w:color="auto"/>
        <w:right w:val="none" w:sz="0" w:space="0" w:color="auto"/>
      </w:divBdr>
    </w:div>
    <w:div w:id="1553468576">
      <w:bodyDiv w:val="1"/>
      <w:marLeft w:val="0"/>
      <w:marRight w:val="0"/>
      <w:marTop w:val="0"/>
      <w:marBottom w:val="0"/>
      <w:divBdr>
        <w:top w:val="none" w:sz="0" w:space="0" w:color="auto"/>
        <w:left w:val="none" w:sz="0" w:space="0" w:color="auto"/>
        <w:bottom w:val="none" w:sz="0" w:space="0" w:color="auto"/>
        <w:right w:val="none" w:sz="0" w:space="0" w:color="auto"/>
      </w:divBdr>
    </w:div>
    <w:div w:id="1611820643">
      <w:bodyDiv w:val="1"/>
      <w:marLeft w:val="0"/>
      <w:marRight w:val="0"/>
      <w:marTop w:val="0"/>
      <w:marBottom w:val="0"/>
      <w:divBdr>
        <w:top w:val="none" w:sz="0" w:space="0" w:color="auto"/>
        <w:left w:val="none" w:sz="0" w:space="0" w:color="auto"/>
        <w:bottom w:val="none" w:sz="0" w:space="0" w:color="auto"/>
        <w:right w:val="none" w:sz="0" w:space="0" w:color="auto"/>
      </w:divBdr>
    </w:div>
    <w:div w:id="1649893507">
      <w:bodyDiv w:val="1"/>
      <w:marLeft w:val="0"/>
      <w:marRight w:val="0"/>
      <w:marTop w:val="0"/>
      <w:marBottom w:val="0"/>
      <w:divBdr>
        <w:top w:val="none" w:sz="0" w:space="0" w:color="auto"/>
        <w:left w:val="none" w:sz="0" w:space="0" w:color="auto"/>
        <w:bottom w:val="none" w:sz="0" w:space="0" w:color="auto"/>
        <w:right w:val="none" w:sz="0" w:space="0" w:color="auto"/>
      </w:divBdr>
    </w:div>
    <w:div w:id="1711563499">
      <w:bodyDiv w:val="1"/>
      <w:marLeft w:val="0"/>
      <w:marRight w:val="0"/>
      <w:marTop w:val="0"/>
      <w:marBottom w:val="0"/>
      <w:divBdr>
        <w:top w:val="none" w:sz="0" w:space="0" w:color="auto"/>
        <w:left w:val="none" w:sz="0" w:space="0" w:color="auto"/>
        <w:bottom w:val="none" w:sz="0" w:space="0" w:color="auto"/>
        <w:right w:val="none" w:sz="0" w:space="0" w:color="auto"/>
      </w:divBdr>
    </w:div>
    <w:div w:id="1730575286">
      <w:bodyDiv w:val="1"/>
      <w:marLeft w:val="0"/>
      <w:marRight w:val="0"/>
      <w:marTop w:val="0"/>
      <w:marBottom w:val="0"/>
      <w:divBdr>
        <w:top w:val="none" w:sz="0" w:space="0" w:color="auto"/>
        <w:left w:val="none" w:sz="0" w:space="0" w:color="auto"/>
        <w:bottom w:val="none" w:sz="0" w:space="0" w:color="auto"/>
        <w:right w:val="none" w:sz="0" w:space="0" w:color="auto"/>
      </w:divBdr>
    </w:div>
    <w:div w:id="1744522597">
      <w:bodyDiv w:val="1"/>
      <w:marLeft w:val="0"/>
      <w:marRight w:val="0"/>
      <w:marTop w:val="0"/>
      <w:marBottom w:val="0"/>
      <w:divBdr>
        <w:top w:val="none" w:sz="0" w:space="0" w:color="auto"/>
        <w:left w:val="none" w:sz="0" w:space="0" w:color="auto"/>
        <w:bottom w:val="none" w:sz="0" w:space="0" w:color="auto"/>
        <w:right w:val="none" w:sz="0" w:space="0" w:color="auto"/>
      </w:divBdr>
    </w:div>
    <w:div w:id="1993218289">
      <w:bodyDiv w:val="1"/>
      <w:marLeft w:val="0"/>
      <w:marRight w:val="0"/>
      <w:marTop w:val="0"/>
      <w:marBottom w:val="0"/>
      <w:divBdr>
        <w:top w:val="none" w:sz="0" w:space="0" w:color="auto"/>
        <w:left w:val="none" w:sz="0" w:space="0" w:color="auto"/>
        <w:bottom w:val="none" w:sz="0" w:space="0" w:color="auto"/>
        <w:right w:val="none" w:sz="0" w:space="0" w:color="auto"/>
      </w:divBdr>
    </w:div>
    <w:div w:id="2011977742">
      <w:bodyDiv w:val="1"/>
      <w:marLeft w:val="0"/>
      <w:marRight w:val="0"/>
      <w:marTop w:val="0"/>
      <w:marBottom w:val="0"/>
      <w:divBdr>
        <w:top w:val="none" w:sz="0" w:space="0" w:color="auto"/>
        <w:left w:val="none" w:sz="0" w:space="0" w:color="auto"/>
        <w:bottom w:val="none" w:sz="0" w:space="0" w:color="auto"/>
        <w:right w:val="none" w:sz="0" w:space="0" w:color="auto"/>
      </w:divBdr>
    </w:div>
    <w:div w:id="208024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59D1C1-8C07-4359-9373-BA3F9E3E2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2708</Words>
  <Characters>15440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15SanjeedaMirza</cp:lastModifiedBy>
  <cp:revision>2</cp:revision>
  <dcterms:created xsi:type="dcterms:W3CDTF">2024-06-04T11:23:00Z</dcterms:created>
  <dcterms:modified xsi:type="dcterms:W3CDTF">2024-06-04T11:23:00Z</dcterms:modified>
</cp:coreProperties>
</file>