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321D2434" w:rsidRDefault="00ED5964" w14:paraId="2EF804A0" w14:textId="1D4E94BB">
      <w:pPr>
        <w:jc w:val="both"/>
        <w:rPr>
          <w:rFonts w:ascii="Arial" w:hAnsi="Arial" w:asciiTheme="minorBidi" w:hAnsiTheme="minorBidi"/>
          <w:sz w:val="22"/>
          <w:szCs w:val="22"/>
        </w:rPr>
      </w:pPr>
      <w:r w:rsidRPr="321D2434" w:rsidR="00ED5964">
        <w:rPr>
          <w:rFonts w:ascii="Arial" w:hAnsi="Arial" w:asciiTheme="minorBidi" w:hAnsiTheme="minorBidi"/>
          <w:sz w:val="22"/>
          <w:szCs w:val="22"/>
        </w:rPr>
        <w:t xml:space="preserve">Name: </w:t>
      </w:r>
      <w:r w:rsidRPr="321D2434" w:rsidR="00E81BC4">
        <w:rPr>
          <w:rFonts w:ascii="Arial" w:hAnsi="Arial" w:asciiTheme="minorBidi" w:hAnsiTheme="minorBidi"/>
          <w:sz w:val="22"/>
          <w:szCs w:val="22"/>
        </w:rPr>
        <w:t>Meryum</w:t>
      </w:r>
      <w:r w:rsidRPr="321D2434" w:rsidR="00E81BC4">
        <w:rPr>
          <w:rFonts w:ascii="Arial" w:hAnsi="Arial" w:asciiTheme="minorBidi" w:hAnsiTheme="minorBidi"/>
          <w:sz w:val="22"/>
          <w:szCs w:val="22"/>
        </w:rPr>
        <w:t xml:space="preserve"> Alam</w:t>
      </w:r>
    </w:p>
    <w:p w:rsidR="00ED5964" w:rsidP="321D2434" w:rsidRDefault="00ED5964" w14:paraId="485B6F49" w14:textId="4F3181F6">
      <w:pPr>
        <w:jc w:val="both"/>
        <w:rPr>
          <w:rFonts w:ascii="Arial" w:hAnsi="Arial" w:asciiTheme="minorBidi" w:hAnsiTheme="minorBidi"/>
          <w:sz w:val="22"/>
          <w:szCs w:val="22"/>
        </w:rPr>
      </w:pPr>
      <w:r w:rsidRPr="321D2434" w:rsidR="00ED5964">
        <w:rPr>
          <w:rFonts w:ascii="Arial" w:hAnsi="Arial" w:asciiTheme="minorBidi" w:hAnsiTheme="minorBidi"/>
          <w:sz w:val="22"/>
          <w:szCs w:val="22"/>
        </w:rPr>
        <w:t xml:space="preserve">Student ID: </w:t>
      </w:r>
      <w:r w:rsidRPr="321D2434" w:rsidR="00E81BC4">
        <w:rPr>
          <w:rFonts w:ascii="Arial" w:hAnsi="Arial" w:asciiTheme="minorBidi" w:hAnsiTheme="minorBidi"/>
          <w:sz w:val="22"/>
          <w:szCs w:val="22"/>
        </w:rPr>
        <w:t>2522888</w:t>
      </w:r>
    </w:p>
    <w:p w:rsidR="00ED5964" w:rsidP="321D2434" w:rsidRDefault="00ED5964" w14:paraId="3C1E7A20" w14:textId="3BF286E8">
      <w:pPr>
        <w:jc w:val="both"/>
        <w:rPr>
          <w:rFonts w:ascii="Arial" w:hAnsi="Arial" w:asciiTheme="minorBidi" w:hAnsiTheme="minorBidi"/>
          <w:sz w:val="22"/>
          <w:szCs w:val="22"/>
        </w:rPr>
      </w:pPr>
      <w:r w:rsidRPr="321D2434" w:rsidR="00ED5964">
        <w:rPr>
          <w:rFonts w:ascii="Arial" w:hAnsi="Arial" w:asciiTheme="minorBidi" w:hAnsiTheme="minorBidi"/>
          <w:sz w:val="22"/>
          <w:szCs w:val="22"/>
        </w:rPr>
        <w:t xml:space="preserve">Module Code: </w:t>
      </w:r>
      <w:r w:rsidRPr="321D2434" w:rsidR="00E81BC4">
        <w:rPr>
          <w:rFonts w:ascii="Arial" w:hAnsi="Arial" w:asciiTheme="minorBidi" w:hAnsiTheme="minorBidi"/>
          <w:sz w:val="22"/>
          <w:szCs w:val="22"/>
        </w:rPr>
        <w:t>LCHS4001</w:t>
      </w:r>
    </w:p>
    <w:p w:rsidR="00ED5964" w:rsidP="321D2434" w:rsidRDefault="00ED5964" w14:paraId="4EEB2DA3" w14:textId="5C46F1A8">
      <w:pPr>
        <w:jc w:val="both"/>
        <w:rPr>
          <w:rFonts w:ascii="Arial" w:hAnsi="Arial" w:asciiTheme="minorBidi" w:hAnsiTheme="minorBidi"/>
          <w:sz w:val="22"/>
          <w:szCs w:val="22"/>
        </w:rPr>
      </w:pPr>
      <w:r w:rsidRPr="321D2434" w:rsidR="00ED5964">
        <w:rPr>
          <w:rFonts w:ascii="Arial" w:hAnsi="Arial" w:asciiTheme="minorBidi" w:hAnsiTheme="minorBidi"/>
          <w:sz w:val="22"/>
          <w:szCs w:val="22"/>
        </w:rPr>
        <w:t>Module:</w:t>
      </w:r>
      <w:r w:rsidRPr="321D2434" w:rsidR="00E81BC4">
        <w:rPr>
          <w:rFonts w:ascii="Arial" w:hAnsi="Arial" w:asciiTheme="minorBidi" w:hAnsiTheme="minorBidi"/>
          <w:sz w:val="22"/>
          <w:szCs w:val="22"/>
        </w:rPr>
        <w:t xml:space="preserve"> Academic and Employability Skills</w:t>
      </w:r>
    </w:p>
    <w:p w:rsidR="00ED5964" w:rsidP="321D2434" w:rsidRDefault="00ED5964" w14:paraId="112342CB" w14:textId="49E890C2">
      <w:pPr>
        <w:jc w:val="both"/>
        <w:rPr>
          <w:rFonts w:ascii="Arial" w:hAnsi="Arial" w:asciiTheme="minorBidi" w:hAnsiTheme="minorBidi"/>
          <w:sz w:val="22"/>
          <w:szCs w:val="22"/>
        </w:rPr>
      </w:pPr>
      <w:r w:rsidRPr="321D2434" w:rsidR="00ED5964">
        <w:rPr>
          <w:rFonts w:ascii="Arial" w:hAnsi="Arial" w:asciiTheme="minorBidi" w:hAnsiTheme="minorBidi"/>
          <w:sz w:val="22"/>
          <w:szCs w:val="22"/>
        </w:rPr>
        <w:t>Lecturer:</w:t>
      </w:r>
      <w:r w:rsidRPr="321D2434" w:rsidR="00E81BC4">
        <w:rPr>
          <w:rFonts w:ascii="Arial" w:hAnsi="Arial" w:asciiTheme="minorBidi" w:hAnsiTheme="minorBidi"/>
          <w:sz w:val="22"/>
          <w:szCs w:val="22"/>
        </w:rPr>
        <w:t xml:space="preserve"> </w:t>
      </w:r>
      <w:r w:rsidRPr="321D2434" w:rsidR="00E81BC4">
        <w:rPr>
          <w:rFonts w:ascii="Arial" w:hAnsi="Arial" w:asciiTheme="minorBidi" w:hAnsiTheme="minorBidi"/>
          <w:sz w:val="22"/>
          <w:szCs w:val="22"/>
        </w:rPr>
        <w:t xml:space="preserve">Reza Taghizadeh  </w:t>
      </w:r>
    </w:p>
    <w:p w:rsidR="00ED5964" w:rsidP="321D2434" w:rsidRDefault="00ED5964" w14:paraId="78C0B80E" w14:textId="77777777">
      <w:pPr>
        <w:jc w:val="both"/>
        <w:rPr>
          <w:rFonts w:ascii="Arial" w:hAnsi="Arial" w:asciiTheme="minorBidi" w:hAnsiTheme="minorBidi"/>
          <w:sz w:val="22"/>
          <w:szCs w:val="22"/>
        </w:rPr>
      </w:pPr>
    </w:p>
    <w:p w:rsidR="00ED5964" w:rsidP="321D2434" w:rsidRDefault="00ED5964" w14:paraId="0C6F95D6" w14:textId="77777777">
      <w:pPr>
        <w:jc w:val="both"/>
        <w:rPr>
          <w:rFonts w:ascii="Arial" w:hAnsi="Arial" w:asciiTheme="minorBidi" w:hAnsiTheme="minorBidi"/>
          <w:sz w:val="22"/>
          <w:szCs w:val="22"/>
        </w:rPr>
      </w:pPr>
    </w:p>
    <w:p w:rsidR="00ED5964" w:rsidP="321D2434" w:rsidRDefault="00ED5964" w14:paraId="71D7459F" w14:textId="77777777">
      <w:pPr>
        <w:jc w:val="both"/>
        <w:rPr>
          <w:rFonts w:ascii="Arial" w:hAnsi="Arial" w:asciiTheme="minorBidi" w:hAnsiTheme="minorBidi"/>
          <w:sz w:val="22"/>
          <w:szCs w:val="22"/>
        </w:rPr>
      </w:pPr>
    </w:p>
    <w:p w:rsidR="00ED5964" w:rsidP="321D2434" w:rsidRDefault="00ED5964" w14:paraId="38621A58" w14:textId="77777777">
      <w:pPr>
        <w:jc w:val="both"/>
        <w:rPr>
          <w:rFonts w:ascii="Arial" w:hAnsi="Arial" w:asciiTheme="minorBidi" w:hAnsiTheme="minorBidi"/>
          <w:sz w:val="22"/>
          <w:szCs w:val="22"/>
        </w:rPr>
      </w:pPr>
    </w:p>
    <w:p w:rsidR="00ED5964" w:rsidP="321D2434" w:rsidRDefault="00ED5964" w14:paraId="6988A1DC" w14:textId="77777777">
      <w:pPr>
        <w:jc w:val="both"/>
        <w:rPr>
          <w:rFonts w:ascii="Arial" w:hAnsi="Arial" w:asciiTheme="minorBidi" w:hAnsiTheme="minorBidi"/>
          <w:sz w:val="22"/>
          <w:szCs w:val="22"/>
        </w:rPr>
      </w:pPr>
    </w:p>
    <w:p w:rsidR="00ED5964" w:rsidP="321D2434" w:rsidRDefault="00ED5964" w14:paraId="25C114EE" w14:textId="77777777">
      <w:pPr>
        <w:jc w:val="both"/>
        <w:rPr>
          <w:rFonts w:ascii="Arial" w:hAnsi="Arial" w:asciiTheme="minorBidi" w:hAnsiTheme="minorBidi"/>
          <w:sz w:val="22"/>
          <w:szCs w:val="22"/>
        </w:rPr>
      </w:pPr>
    </w:p>
    <w:p w:rsidR="00ED5964" w:rsidP="321D2434" w:rsidRDefault="00ED5964" w14:paraId="4A73B1BE" w14:textId="77777777">
      <w:pPr>
        <w:jc w:val="both"/>
        <w:rPr>
          <w:rFonts w:ascii="Arial" w:hAnsi="Arial" w:asciiTheme="minorBidi" w:hAnsiTheme="minorBidi"/>
          <w:sz w:val="22"/>
          <w:szCs w:val="22"/>
        </w:rPr>
      </w:pPr>
    </w:p>
    <w:p w:rsidR="00ED5964" w:rsidP="321D2434" w:rsidRDefault="00ED5964" w14:paraId="072506E1" w14:textId="0D158A67">
      <w:pPr>
        <w:jc w:val="both"/>
        <w:rPr>
          <w:rFonts w:ascii="Arial" w:hAnsi="Arial" w:asciiTheme="minorBidi" w:hAnsiTheme="minorBidi"/>
          <w:sz w:val="22"/>
          <w:szCs w:val="22"/>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321D2434" w:rsidR="00ED5964">
        <w:rPr>
          <w:rFonts w:ascii="Arial" w:hAnsi="Arial" w:asciiTheme="minorBidi" w:hAnsiTheme="minorBidi"/>
          <w:sz w:val="22"/>
          <w:szCs w:val="22"/>
        </w:rPr>
        <w:t xml:space="preserve">Submitted </w:t>
      </w:r>
      <w:r w:rsidRPr="321D2434" w:rsidR="00ED5964">
        <w:rPr>
          <w:rFonts w:ascii="Arial" w:hAnsi="Arial" w:asciiTheme="minorBidi" w:hAnsiTheme="minorBidi"/>
          <w:sz w:val="22"/>
          <w:szCs w:val="22"/>
        </w:rPr>
        <w:t xml:space="preserve">on:</w:t>
      </w:r>
      <w:r w:rsidRPr="321D2434" w:rsidR="00ED5964">
        <w:rPr>
          <w:rFonts w:ascii="Arial" w:hAnsi="Arial" w:asciiTheme="minorBidi" w:hAnsiTheme="minorBidi"/>
          <w:sz w:val="22"/>
          <w:szCs w:val="22"/>
        </w:rPr>
        <w:t xml:space="preserve">  </w:t>
      </w:r>
      <w:r w:rsidRPr="321D2434" w:rsidR="0CDCCFCB">
        <w:rPr>
          <w:rFonts w:ascii="Arial" w:hAnsi="Arial" w:asciiTheme="minorBidi" w:hAnsiTheme="minorBidi"/>
          <w:sz w:val="22"/>
          <w:szCs w:val="22"/>
        </w:rPr>
        <w:t xml:space="preserve">26/03/2026</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Pr="00242974" w:rsidR="00ED5964" w:rsidP="00ED5964" w:rsidRDefault="00ED5964" w14:paraId="4180CDBC" w14:textId="77777777">
      <w:pPr>
        <w:jc w:val="both"/>
        <w:rPr>
          <w:rFonts w:asciiTheme="minorBidi" w:hAnsiTheme="minorBidi"/>
          <w:sz w:val="28"/>
          <w:szCs w:val="28"/>
        </w:rPr>
      </w:pPr>
    </w:p>
    <w:p w:rsidRPr="00242974" w:rsidR="00ED5964" w:rsidP="00ED5964" w:rsidRDefault="00ED5964" w14:paraId="4A159F97" w14:textId="77777777">
      <w:pPr>
        <w:jc w:val="both"/>
        <w:rPr>
          <w:rFonts w:asciiTheme="minorBidi" w:hAnsiTheme="minorBidi"/>
          <w:b/>
          <w:bCs/>
          <w:sz w:val="28"/>
          <w:szCs w:val="28"/>
        </w:rPr>
      </w:pPr>
    </w:p>
    <w:p w:rsidRPr="00242974" w:rsidR="005709B1" w:rsidP="321D2434" w:rsidRDefault="005709B1" w14:paraId="1CD4A5FA" w14:textId="201F1AC3">
      <w:pPr>
        <w:keepNext w:val="1"/>
        <w:keepLines w:val="1"/>
        <w:spacing w:before="240" w:after="0" w:line="480" w:lineRule="auto"/>
        <w:jc w:val="center"/>
        <w:rPr>
          <w:rFonts w:ascii="Times New Roman" w:hAnsi="Times New Roman" w:eastAsia="Times New Roman" w:cs="Times New Roman"/>
          <w:b w:val="0"/>
          <w:bCs w:val="0"/>
          <w:i w:val="0"/>
          <w:iCs w:val="0"/>
          <w:caps w:val="0"/>
          <w:smallCaps w:val="0"/>
          <w:noProof w:val="0"/>
          <w:color w:val="0F4761"/>
          <w:sz w:val="24"/>
          <w:szCs w:val="24"/>
          <w:lang w:val="en-GB"/>
        </w:rPr>
      </w:pPr>
    </w:p>
    <w:p w:rsidRPr="00242974" w:rsidR="005709B1" w:rsidP="321D2434" w:rsidRDefault="005709B1" w14:paraId="4FA5A5FD" w14:textId="03B8CC72">
      <w:pPr>
        <w:keepNext w:val="1"/>
        <w:keepLines w:val="1"/>
        <w:spacing w:before="240" w:after="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8C330B" w:rsidR="3BB9B60B">
        <w:rPr>
          <w:rFonts w:ascii="Times New Roman" w:hAnsi="Times New Roman" w:eastAsia="Times New Roman" w:cs="Times New Roman"/>
          <w:b w:val="0"/>
          <w:bCs w:val="0"/>
          <w:i w:val="0"/>
          <w:iCs w:val="0"/>
          <w:caps w:val="0"/>
          <w:smallCaps w:val="0"/>
          <w:noProof w:val="0"/>
          <w:color w:val="0F4761"/>
          <w:sz w:val="24"/>
          <w:szCs w:val="24"/>
          <w:lang w:val="en-GB"/>
        </w:rPr>
        <w:t xml:space="preserve">  </w:t>
      </w:r>
      <w:r w:rsidRPr="748C330B" w:rsidR="3BB9B60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of Contents</w:t>
      </w:r>
    </w:p>
    <w:p w:rsidR="748C330B" w:rsidP="748C330B" w:rsidRDefault="748C330B" w14:paraId="085467DC" w14:textId="74E2DAF4">
      <w:pPr>
        <w:pStyle w:val="Normal"/>
        <w:tabs>
          <w:tab w:val="right" w:leader="dot" w:pos="9350"/>
        </w:tabs>
        <w:spacing w:after="100" w:line="48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48C330B" w:rsidP="748C330B" w:rsidRDefault="748C330B" w14:paraId="6E81A187" w14:textId="31EE2EAD">
      <w:pPr>
        <w:pStyle w:val="Normal"/>
        <w:tabs>
          <w:tab w:val="right" w:leader="dot" w:pos="9350"/>
        </w:tabs>
        <w:spacing w:after="100" w:line="48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05BE12E0" w:rsidP="748C330B" w:rsidRDefault="05BE12E0" w14:paraId="4C0B96D5" w14:textId="3997D104">
      <w:pPr>
        <w:pStyle w:val="Normal"/>
        <w:tabs>
          <w:tab w:val="right" w:leader="dot" w:pos="9350"/>
        </w:tabs>
        <w:spacing w:after="100" w:line="48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48C330B" w:rsidR="05BE12E0">
        <w:rPr>
          <w:rFonts w:ascii="Arial" w:hAnsi="Arial" w:eastAsia="Arial" w:cs="Arial"/>
          <w:b w:val="0"/>
          <w:bCs w:val="0"/>
          <w:i w:val="0"/>
          <w:iCs w:val="0"/>
          <w:caps w:val="0"/>
          <w:smallCaps w:val="0"/>
          <w:noProof w:val="0"/>
          <w:color w:val="000000" w:themeColor="text1" w:themeTint="FF" w:themeShade="FF"/>
          <w:sz w:val="22"/>
          <w:szCs w:val="22"/>
          <w:lang w:val="en-GB"/>
        </w:rPr>
        <w:t>Introduction</w:t>
      </w:r>
      <w:r w:rsidRPr="748C330B" w:rsidR="20FF3D2A">
        <w:rPr>
          <w:rFonts w:ascii="Arial" w:hAnsi="Arial" w:eastAsia="Arial" w:cs="Arial"/>
          <w:b w:val="0"/>
          <w:bCs w:val="0"/>
          <w:i w:val="0"/>
          <w:iCs w:val="0"/>
          <w:caps w:val="0"/>
          <w:smallCaps w:val="0"/>
          <w:noProof w:val="0"/>
          <w:color w:val="000000" w:themeColor="text1" w:themeTint="FF" w:themeShade="FF"/>
          <w:sz w:val="22"/>
          <w:szCs w:val="22"/>
          <w:lang w:val="en-GB"/>
        </w:rPr>
        <w:t>...............................................................................................</w:t>
      </w:r>
      <w:r w:rsidRPr="748C330B" w:rsidR="243F4B23">
        <w:rPr>
          <w:rFonts w:ascii="Arial" w:hAnsi="Arial" w:eastAsia="Arial" w:cs="Arial"/>
          <w:b w:val="0"/>
          <w:bCs w:val="0"/>
          <w:i w:val="0"/>
          <w:iCs w:val="0"/>
          <w:caps w:val="0"/>
          <w:smallCaps w:val="0"/>
          <w:noProof w:val="0"/>
          <w:color w:val="000000" w:themeColor="text1" w:themeTint="FF" w:themeShade="FF"/>
          <w:sz w:val="22"/>
          <w:szCs w:val="22"/>
          <w:lang w:val="en-GB"/>
        </w:rPr>
        <w:t>...............................</w:t>
      </w:r>
      <w:r w:rsidRPr="748C330B" w:rsidR="20FF3D2A">
        <w:rPr>
          <w:rFonts w:ascii="Arial" w:hAnsi="Arial" w:eastAsia="Arial" w:cs="Arial"/>
          <w:b w:val="0"/>
          <w:bCs w:val="0"/>
          <w:i w:val="0"/>
          <w:iCs w:val="0"/>
          <w:caps w:val="0"/>
          <w:smallCaps w:val="0"/>
          <w:noProof w:val="0"/>
          <w:color w:val="000000" w:themeColor="text1" w:themeTint="FF" w:themeShade="FF"/>
          <w:sz w:val="22"/>
          <w:szCs w:val="22"/>
          <w:lang w:val="en-GB"/>
        </w:rPr>
        <w:t>3</w:t>
      </w:r>
    </w:p>
    <w:p w:rsidR="05BE12E0" w:rsidP="748C330B" w:rsidRDefault="05BE12E0" w14:paraId="796A20BD" w14:textId="5B77366B">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48C330B" w:rsidR="05BE12E0">
        <w:rPr>
          <w:rFonts w:ascii="Arial" w:hAnsi="Arial" w:eastAsia="Arial" w:cs="Arial"/>
          <w:b w:val="0"/>
          <w:bCs w:val="0"/>
          <w:i w:val="0"/>
          <w:iCs w:val="0"/>
          <w:caps w:val="0"/>
          <w:smallCaps w:val="0"/>
          <w:noProof w:val="0"/>
          <w:color w:val="000000" w:themeColor="text1" w:themeTint="FF" w:themeShade="FF"/>
          <w:sz w:val="22"/>
          <w:szCs w:val="22"/>
          <w:lang w:val="en-GB"/>
        </w:rPr>
        <w:t>Description of, and background to, Social Work in Healthcare</w:t>
      </w:r>
      <w:r w:rsidRPr="748C330B" w:rsidR="7F344093">
        <w:rPr>
          <w:rFonts w:ascii="Arial" w:hAnsi="Arial" w:eastAsia="Arial" w:cs="Arial"/>
          <w:b w:val="0"/>
          <w:bCs w:val="0"/>
          <w:i w:val="0"/>
          <w:iCs w:val="0"/>
          <w:caps w:val="0"/>
          <w:smallCaps w:val="0"/>
          <w:noProof w:val="0"/>
          <w:color w:val="000000" w:themeColor="text1" w:themeTint="FF" w:themeShade="FF"/>
          <w:sz w:val="22"/>
          <w:szCs w:val="22"/>
          <w:lang w:val="en-GB"/>
        </w:rPr>
        <w:t>.................</w:t>
      </w:r>
      <w:r w:rsidRPr="748C330B" w:rsidR="5902CA60">
        <w:rPr>
          <w:rFonts w:ascii="Arial" w:hAnsi="Arial" w:eastAsia="Arial" w:cs="Arial"/>
          <w:b w:val="0"/>
          <w:bCs w:val="0"/>
          <w:i w:val="0"/>
          <w:iCs w:val="0"/>
          <w:caps w:val="0"/>
          <w:smallCaps w:val="0"/>
          <w:noProof w:val="0"/>
          <w:color w:val="000000" w:themeColor="text1" w:themeTint="FF" w:themeShade="FF"/>
          <w:sz w:val="22"/>
          <w:szCs w:val="22"/>
          <w:lang w:val="en-GB"/>
        </w:rPr>
        <w:t>...............................</w:t>
      </w:r>
      <w:r w:rsidRPr="748C330B" w:rsidR="7F344093">
        <w:rPr>
          <w:rFonts w:ascii="Arial" w:hAnsi="Arial" w:eastAsia="Arial" w:cs="Arial"/>
          <w:b w:val="0"/>
          <w:bCs w:val="0"/>
          <w:i w:val="0"/>
          <w:iCs w:val="0"/>
          <w:caps w:val="0"/>
          <w:smallCaps w:val="0"/>
          <w:noProof w:val="0"/>
          <w:color w:val="000000" w:themeColor="text1" w:themeTint="FF" w:themeShade="FF"/>
          <w:sz w:val="22"/>
          <w:szCs w:val="22"/>
          <w:lang w:val="en-GB"/>
        </w:rPr>
        <w:t>3</w:t>
      </w:r>
    </w:p>
    <w:p w:rsidR="05BE12E0" w:rsidP="748C330B" w:rsidRDefault="05BE12E0" w14:paraId="53BE38D6" w14:textId="7AD613F7">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48C330B" w:rsidR="05BE12E0">
        <w:rPr>
          <w:rFonts w:ascii="Arial" w:hAnsi="Arial" w:eastAsia="Arial" w:cs="Arial"/>
          <w:b w:val="0"/>
          <w:bCs w:val="0"/>
          <w:i w:val="0"/>
          <w:iCs w:val="0"/>
          <w:caps w:val="0"/>
          <w:smallCaps w:val="0"/>
          <w:noProof w:val="0"/>
          <w:color w:val="000000" w:themeColor="text1" w:themeTint="FF" w:themeShade="FF"/>
          <w:sz w:val="22"/>
          <w:szCs w:val="22"/>
          <w:lang w:val="en-GB"/>
        </w:rPr>
        <w:t>Evaluation of the skills needed for Social Work in Healthcare</w:t>
      </w:r>
      <w:r w:rsidRPr="748C330B" w:rsidR="7803AD91">
        <w:rPr>
          <w:rFonts w:ascii="Arial" w:hAnsi="Arial" w:eastAsia="Arial" w:cs="Arial"/>
          <w:b w:val="0"/>
          <w:bCs w:val="0"/>
          <w:i w:val="0"/>
          <w:iCs w:val="0"/>
          <w:caps w:val="0"/>
          <w:smallCaps w:val="0"/>
          <w:noProof w:val="0"/>
          <w:color w:val="000000" w:themeColor="text1" w:themeTint="FF" w:themeShade="FF"/>
          <w:sz w:val="22"/>
          <w:szCs w:val="22"/>
          <w:lang w:val="en-GB"/>
        </w:rPr>
        <w:t>.................................................4</w:t>
      </w:r>
    </w:p>
    <w:p w:rsidR="05BE12E0" w:rsidP="748C330B" w:rsidRDefault="05BE12E0" w14:paraId="23377728" w14:textId="58C9B8D7">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48C330B" w:rsidR="05BE12E0">
        <w:rPr>
          <w:rFonts w:ascii="Arial" w:hAnsi="Arial" w:eastAsia="Arial" w:cs="Arial"/>
          <w:b w:val="0"/>
          <w:bCs w:val="0"/>
          <w:i w:val="0"/>
          <w:iCs w:val="0"/>
          <w:caps w:val="0"/>
          <w:smallCaps w:val="0"/>
          <w:noProof w:val="0"/>
          <w:color w:val="000000" w:themeColor="text1" w:themeTint="FF" w:themeShade="FF"/>
          <w:sz w:val="22"/>
          <w:szCs w:val="22"/>
          <w:lang w:val="en-GB"/>
        </w:rPr>
        <w:t>Strategies to improve the skills for Social Work</w:t>
      </w:r>
      <w:r w:rsidRPr="748C330B" w:rsidR="37392ADB">
        <w:rPr>
          <w:rFonts w:ascii="Arial" w:hAnsi="Arial" w:eastAsia="Arial" w:cs="Arial"/>
          <w:b w:val="0"/>
          <w:bCs w:val="0"/>
          <w:i w:val="0"/>
          <w:iCs w:val="0"/>
          <w:caps w:val="0"/>
          <w:smallCaps w:val="0"/>
          <w:noProof w:val="0"/>
          <w:color w:val="000000" w:themeColor="text1" w:themeTint="FF" w:themeShade="FF"/>
          <w:sz w:val="22"/>
          <w:szCs w:val="22"/>
          <w:lang w:val="en-GB"/>
        </w:rPr>
        <w:t>.......................................................................5</w:t>
      </w:r>
    </w:p>
    <w:p w:rsidR="05BE12E0" w:rsidP="748C330B" w:rsidRDefault="05BE12E0" w14:paraId="5F14F578" w14:textId="51723562">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48C330B" w:rsidR="05BE12E0">
        <w:rPr>
          <w:rFonts w:ascii="Arial" w:hAnsi="Arial" w:eastAsia="Arial" w:cs="Arial"/>
          <w:b w:val="0"/>
          <w:bCs w:val="0"/>
          <w:i w:val="0"/>
          <w:iCs w:val="0"/>
          <w:caps w:val="0"/>
          <w:smallCaps w:val="0"/>
          <w:noProof w:val="0"/>
          <w:color w:val="000000" w:themeColor="text1" w:themeTint="FF" w:themeShade="FF"/>
          <w:sz w:val="22"/>
          <w:szCs w:val="22"/>
          <w:lang w:val="en-GB"/>
        </w:rPr>
        <w:t>Conclusion</w:t>
      </w:r>
      <w:r w:rsidRPr="748C330B" w:rsidR="1EF73C80">
        <w:rPr>
          <w:rFonts w:ascii="Arial" w:hAnsi="Arial" w:eastAsia="Arial" w:cs="Arial"/>
          <w:b w:val="0"/>
          <w:bCs w:val="0"/>
          <w:i w:val="0"/>
          <w:iCs w:val="0"/>
          <w:caps w:val="0"/>
          <w:smallCaps w:val="0"/>
          <w:noProof w:val="0"/>
          <w:color w:val="000000" w:themeColor="text1" w:themeTint="FF" w:themeShade="FF"/>
          <w:sz w:val="22"/>
          <w:szCs w:val="22"/>
          <w:lang w:val="en-GB"/>
        </w:rPr>
        <w:t>...............................................................................................................................</w:t>
      </w:r>
      <w:r w:rsidRPr="748C330B" w:rsidR="203BDF02">
        <w:rPr>
          <w:rFonts w:ascii="Arial" w:hAnsi="Arial" w:eastAsia="Arial" w:cs="Arial"/>
          <w:b w:val="0"/>
          <w:bCs w:val="0"/>
          <w:i w:val="0"/>
          <w:iCs w:val="0"/>
          <w:caps w:val="0"/>
          <w:smallCaps w:val="0"/>
          <w:noProof w:val="0"/>
          <w:color w:val="000000" w:themeColor="text1" w:themeTint="FF" w:themeShade="FF"/>
          <w:sz w:val="22"/>
          <w:szCs w:val="22"/>
          <w:lang w:val="en-GB"/>
        </w:rPr>
        <w:t>7</w:t>
      </w:r>
    </w:p>
    <w:p w:rsidR="05BE12E0" w:rsidP="748C330B" w:rsidRDefault="05BE12E0" w14:paraId="18C736AC" w14:textId="0A364312">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48C330B" w:rsidR="05BE12E0">
        <w:rPr>
          <w:rFonts w:ascii="Arial" w:hAnsi="Arial" w:eastAsia="Arial" w:cs="Arial"/>
          <w:b w:val="0"/>
          <w:bCs w:val="0"/>
          <w:i w:val="0"/>
          <w:iCs w:val="0"/>
          <w:caps w:val="0"/>
          <w:smallCaps w:val="0"/>
          <w:noProof w:val="0"/>
          <w:color w:val="000000" w:themeColor="text1" w:themeTint="FF" w:themeShade="FF"/>
          <w:sz w:val="22"/>
          <w:szCs w:val="22"/>
          <w:lang w:val="en-GB"/>
        </w:rPr>
        <w:t>Reference List</w:t>
      </w:r>
      <w:r w:rsidRPr="748C330B" w:rsidR="449E5A83">
        <w:rPr>
          <w:rFonts w:ascii="Arial" w:hAnsi="Arial" w:eastAsia="Arial" w:cs="Arial"/>
          <w:b w:val="0"/>
          <w:bCs w:val="0"/>
          <w:i w:val="0"/>
          <w:iCs w:val="0"/>
          <w:caps w:val="0"/>
          <w:smallCaps w:val="0"/>
          <w:noProof w:val="0"/>
          <w:color w:val="000000" w:themeColor="text1" w:themeTint="FF" w:themeShade="FF"/>
          <w:sz w:val="22"/>
          <w:szCs w:val="22"/>
          <w:lang w:val="en-GB"/>
        </w:rPr>
        <w:t>..........................................................................................................................</w:t>
      </w:r>
      <w:r w:rsidRPr="748C330B" w:rsidR="2351F456">
        <w:rPr>
          <w:rFonts w:ascii="Arial" w:hAnsi="Arial" w:eastAsia="Arial" w:cs="Arial"/>
          <w:b w:val="0"/>
          <w:bCs w:val="0"/>
          <w:i w:val="0"/>
          <w:iCs w:val="0"/>
          <w:caps w:val="0"/>
          <w:smallCaps w:val="0"/>
          <w:noProof w:val="0"/>
          <w:color w:val="000000" w:themeColor="text1" w:themeTint="FF" w:themeShade="FF"/>
          <w:sz w:val="22"/>
          <w:szCs w:val="22"/>
          <w:lang w:val="en-GB"/>
        </w:rPr>
        <w:t>7</w:t>
      </w:r>
    </w:p>
    <w:p w:rsidR="748C330B" w:rsidP="748C330B" w:rsidRDefault="748C330B" w14:paraId="4E912578" w14:textId="073D7F4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8C330B" w:rsidP="748C330B" w:rsidRDefault="748C330B" w14:paraId="0B64082A" w14:textId="5A7DC8F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8C330B" w:rsidP="748C330B" w:rsidRDefault="748C330B" w14:paraId="6AD6BE1C" w14:textId="465AE8C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8C330B" w:rsidP="748C330B" w:rsidRDefault="748C330B" w14:paraId="477D15C4" w14:textId="2BA697A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8C330B" w:rsidP="748C330B" w:rsidRDefault="748C330B" w14:paraId="5067A90D" w14:textId="672F2A2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A8AB13E" w:rsidP="748C330B" w:rsidRDefault="0A8AB13E" w14:paraId="619FEE4E" w14:textId="00840CB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8C330B" w:rsidR="0A8AB1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A8AB13E" w:rsidP="748C330B" w:rsidRDefault="0A8AB13E" w14:paraId="2E61BD32" w14:textId="658D843C">
      <w:pPr>
        <w:pStyle w:val="Normal"/>
      </w:pPr>
      <w:r w:rsidRPr="748C330B" w:rsidR="0A8AB1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A8AB13E" w:rsidP="748C330B" w:rsidRDefault="0A8AB13E" w14:paraId="3FEE46F7" w14:textId="118A69BB">
      <w:pPr>
        <w:pStyle w:val="Normal"/>
      </w:pPr>
      <w:r w:rsidRPr="748C330B" w:rsidR="0A8AB1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A8AB13E" w:rsidP="748C330B" w:rsidRDefault="0A8AB13E" w14:paraId="1453A804" w14:textId="45E0813A">
      <w:pPr>
        <w:pStyle w:val="Normal"/>
      </w:pPr>
      <w:r w:rsidRPr="748C330B" w:rsidR="0A8AB1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48C330B" w:rsidP="748C330B" w:rsidRDefault="748C330B" w14:paraId="4789CA23" w14:textId="04710E0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242974" w:rsidR="002E71BA" w:rsidRDefault="002E71BA" w14:paraId="3E34A5EF" w14:textId="77777777">
      <w:pPr>
        <w:rPr>
          <w:b/>
          <w:bCs/>
          <w:sz w:val="21"/>
          <w:szCs w:val="21"/>
        </w:rPr>
      </w:pPr>
      <w:r w:rsidRPr="321D2434">
        <w:rPr>
          <w:b w:val="1"/>
          <w:bCs w:val="1"/>
          <w:sz w:val="21"/>
          <w:szCs w:val="21"/>
        </w:rPr>
        <w:br w:type="page"/>
      </w:r>
    </w:p>
    <w:p w:rsidRPr="005E44B5" w:rsidR="004552CE" w:rsidP="748C330B" w:rsidRDefault="004552CE" w14:paraId="036471D0" w14:textId="28A97F7B">
      <w:pPr>
        <w:pStyle w:val="Heading2"/>
        <w:keepNext w:val="1"/>
        <w:keepLines w:val="1"/>
        <w:spacing w:before="160" w:after="120"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47291063" w:id="21176941"/>
      <w:bookmarkStart w:name="_Toc1964920615" w:id="2036737036"/>
      <w:r w:rsidRPr="748C330B" w:rsidR="2B77C7DC">
        <w:rPr>
          <w:rFonts w:ascii="Arial" w:hAnsi="Arial" w:eastAsia="Arial" w:cs="Arial"/>
          <w:b w:val="1"/>
          <w:bCs w:val="1"/>
          <w:i w:val="0"/>
          <w:iCs w:val="0"/>
          <w:caps w:val="0"/>
          <w:smallCaps w:val="0"/>
          <w:noProof w:val="0"/>
          <w:color w:val="000000" w:themeColor="text1" w:themeTint="FF" w:themeShade="FF"/>
          <w:sz w:val="22"/>
          <w:szCs w:val="22"/>
          <w:lang w:val="en-GB"/>
        </w:rPr>
        <w:t>Introduction</w:t>
      </w:r>
      <w:bookmarkEnd w:id="21176941"/>
      <w:bookmarkEnd w:id="2036737036"/>
    </w:p>
    <w:p w:rsidRPr="005E44B5" w:rsidR="004552CE" w:rsidP="321D2434" w:rsidRDefault="004552CE" w14:paraId="6220EEDD" w14:textId="570B23CB">
      <w:pPr>
        <w:spacing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Social work is a fundamental profession in health and social care since people and families could usually confront social, emotional, and protective challenges in addition to illness, disability, or recovery. This is why access to the services is not the only issue in which the role of the social worker is engaged, but also protection, advocacy, and inter-agency coordinated support. In this report, the author will study the role of social workers in healthcare environments. It will present the background and duties of social work and will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consequently</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review the most pertinent professional competencies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a successful practice and lastly will discuss the practical measures that could be put in place to enhance the skills in the current health and social care services.</w:t>
      </w:r>
    </w:p>
    <w:p w:rsidRPr="005E44B5" w:rsidR="004552CE" w:rsidP="321D2434" w:rsidRDefault="004552CE" w14:paraId="47FB9B55" w14:textId="025502F3">
      <w:pPr>
        <w:pStyle w:val="Heading2"/>
        <w:keepNext w:val="1"/>
        <w:keepLines w:val="1"/>
        <w:spacing w:before="160" w:after="12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Pr="005E44B5" w:rsidR="004552CE" w:rsidP="748C330B" w:rsidRDefault="004552CE" w14:paraId="04C668DF" w14:textId="1A04FD96">
      <w:pPr>
        <w:pStyle w:val="Heading2"/>
        <w:keepNext w:val="1"/>
        <w:keepLines w:val="1"/>
        <w:spacing w:before="160" w:after="120"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902416682" w:id="1362640966"/>
      <w:bookmarkStart w:name="_Toc1359522681" w:id="1589593902"/>
      <w:r w:rsidRPr="748C330B" w:rsidR="2B77C7DC">
        <w:rPr>
          <w:rFonts w:ascii="Arial" w:hAnsi="Arial" w:eastAsia="Arial" w:cs="Arial"/>
          <w:b w:val="1"/>
          <w:bCs w:val="1"/>
          <w:i w:val="0"/>
          <w:iCs w:val="0"/>
          <w:caps w:val="0"/>
          <w:smallCaps w:val="0"/>
          <w:noProof w:val="0"/>
          <w:color w:val="000000" w:themeColor="text1" w:themeTint="FF" w:themeShade="FF"/>
          <w:sz w:val="22"/>
          <w:szCs w:val="22"/>
          <w:lang w:val="en-GB"/>
        </w:rPr>
        <w:t>Description of, and background to, Social Work in Healthcare</w:t>
      </w:r>
      <w:bookmarkEnd w:id="1362640966"/>
      <w:bookmarkEnd w:id="1589593902"/>
    </w:p>
    <w:p w:rsidRPr="005E44B5" w:rsidR="004552CE" w:rsidP="321D2434" w:rsidRDefault="004552CE" w14:paraId="4B281BF8" w14:textId="0120794C">
      <w:pPr>
        <w:spacing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Social workers are relevant in health and social care since health outcomes never depend on clinical care only. Safety can be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impacted</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due to poverty, neglect, abuse, low housing standards, disability, mental ill-health, family conflict, and social isolation. In hospitals, community teams, mental health services settings, adult or child protection settings, social workers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assist</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individuals to manage these forces and provide individuals with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appropriate support</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Some of the common responsibilities of this career are conducting assessments, risk identification, children and adult protection, care packages, discharge plan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service user advocacy, families, and coordination with other agency professionals (Ruffin, 2022).</w:t>
      </w:r>
    </w:p>
    <w:p w:rsidRPr="005E44B5" w:rsidR="004552CE" w:rsidP="748C330B" w:rsidRDefault="004552CE" w14:paraId="19A2FDAD" w14:textId="1089EF09">
      <w:pPr>
        <w:spacing w:line="480" w:lineRule="auto"/>
        <w:ind w:firstLine="720"/>
        <w:rPr>
          <w:rFonts w:ascii="Arial" w:hAnsi="Arial" w:eastAsia="Arial" w:cs="Arial"/>
          <w:b w:val="0"/>
          <w:bCs w:val="0"/>
          <w:i w:val="0"/>
          <w:iCs w:val="0"/>
          <w:caps w:val="0"/>
          <w:smallCaps w:val="0"/>
          <w:noProof w:val="0"/>
          <w:color w:val="000000" w:themeColor="text1" w:themeTint="FF" w:themeShade="FF"/>
          <w:sz w:val="22"/>
          <w:szCs w:val="22"/>
          <w:lang w:val="en-GB"/>
        </w:rPr>
      </w:pP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Assessment is the most significant responsibility since all future decisions rely on the level of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initial</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professional judgement. An in-depth examination will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need, protective factors, risk,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capacity</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and degree of intervention to be pursued, and through this the probability of unsafe or unsuitable care is minimized.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play this role well, the social workers must be well-equipped with deep communication skills, effective analytical judgement, and professionalism with empathy. Through these competencies, the information can be collected efficiently, intricate cases can be discussed attentively, and conclusions can be reached in a manner that </w:t>
      </w:r>
      <w:r w:rsidRPr="748C330B" w:rsidR="4717B4DC">
        <w:rPr>
          <w:rFonts w:ascii="Arial" w:hAnsi="Arial" w:eastAsia="Arial" w:cs="Arial"/>
          <w:b w:val="0"/>
          <w:bCs w:val="0"/>
          <w:i w:val="0"/>
          <w:iCs w:val="0"/>
          <w:caps w:val="0"/>
          <w:smallCaps w:val="0"/>
          <w:noProof w:val="0"/>
          <w:color w:val="000000" w:themeColor="text1" w:themeTint="FF" w:themeShade="FF"/>
          <w:sz w:val="22"/>
          <w:szCs w:val="22"/>
          <w:lang w:val="en-GB"/>
        </w:rPr>
        <w:t>honours</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dignity, rights and safe practice within a multidisciplinary health and social care setup (Ife,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Soldatic</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and Briskman, 2022).</w:t>
      </w:r>
    </w:p>
    <w:p w:rsidRPr="005E44B5" w:rsidR="004552CE" w:rsidP="321D2434" w:rsidRDefault="004552CE" w14:paraId="5D37517D" w14:textId="0FF336C4">
      <w:pPr>
        <w:pStyle w:val="Heading2"/>
        <w:keepNext w:val="1"/>
        <w:keepLines w:val="1"/>
        <w:spacing w:before="160" w:after="12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Pr="005E44B5" w:rsidR="004552CE" w:rsidP="748C330B" w:rsidRDefault="004552CE" w14:paraId="38D8D7FE" w14:textId="627694F4">
      <w:pPr>
        <w:pStyle w:val="Heading2"/>
        <w:keepNext w:val="1"/>
        <w:keepLines w:val="1"/>
        <w:spacing w:before="160" w:after="120"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466920856" w:id="1533421417"/>
      <w:bookmarkStart w:name="_Toc1389868166" w:id="268130248"/>
      <w:r w:rsidRPr="748C330B" w:rsidR="2B77C7DC">
        <w:rPr>
          <w:rFonts w:ascii="Arial" w:hAnsi="Arial" w:eastAsia="Arial" w:cs="Arial"/>
          <w:b w:val="1"/>
          <w:bCs w:val="1"/>
          <w:i w:val="0"/>
          <w:iCs w:val="0"/>
          <w:caps w:val="0"/>
          <w:smallCaps w:val="0"/>
          <w:noProof w:val="0"/>
          <w:color w:val="000000" w:themeColor="text1" w:themeTint="FF" w:themeShade="FF"/>
          <w:sz w:val="22"/>
          <w:szCs w:val="22"/>
          <w:lang w:val="en-GB"/>
        </w:rPr>
        <w:t>Evaluation of the skills needed for Social Work in Healthcare</w:t>
      </w:r>
      <w:bookmarkEnd w:id="1533421417"/>
      <w:bookmarkEnd w:id="268130248"/>
    </w:p>
    <w:p w:rsidRPr="005E44B5" w:rsidR="004552CE" w:rsidP="321D2434" w:rsidRDefault="004552CE" w14:paraId="3BD0F5EE" w14:textId="0740E397">
      <w:pPr>
        <w:spacing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most valuable skills is communication since a social worker needs to have access to sensitive information, detail the options, and gain trust with people who may be stressed, terrified, or hesitant to communicate.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Good communication</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also involves listening, questioning,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observing</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keeping records and adaptability of language to age, culture, and comprehension of service users. Practically, e.g. a social worker in the hospital before discharge counselling an elderly patient should be able to be listening to her issues involving mobility and condition of her home and her family support and explain community services in an understandable and non-offensive manner. In case of poor communication, risks can be overlooked, and poorly informed consent and disengagement by service users can take place. Social work education studies have revealed that training in communication skills enhances confidence and professional competence, which means that the given skill cannot be considered optional but is core instead (Reith-Hall and Montgomery, 2023). Communication, in turn, is also supportive of the advocacy, since the practitioners can more effectively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represent</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the wishes of service users in the multidisciplinary meetings and can ensure that the practitioners will not be left behind in the high-paced healthcare system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Ocloo</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2021).</w:t>
      </w:r>
    </w:p>
    <w:p w:rsidRPr="005E44B5" w:rsidR="004552CE" w:rsidP="748C330B" w:rsidRDefault="004552CE" w14:paraId="3AE62FEC" w14:textId="3B7DCA64">
      <w:pPr>
        <w:spacing w:line="480" w:lineRule="auto"/>
        <w:ind w:firstLine="720"/>
        <w:rPr>
          <w:rFonts w:ascii="Arial" w:hAnsi="Arial" w:eastAsia="Arial" w:cs="Arial"/>
          <w:b w:val="0"/>
          <w:bCs w:val="0"/>
          <w:i w:val="0"/>
          <w:iCs w:val="0"/>
          <w:caps w:val="0"/>
          <w:smallCaps w:val="0"/>
          <w:noProof w:val="0"/>
          <w:color w:val="000000" w:themeColor="text1" w:themeTint="FF" w:themeShade="FF"/>
          <w:sz w:val="22"/>
          <w:szCs w:val="22"/>
          <w:lang w:val="en-GB"/>
        </w:rPr>
      </w:pP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Analytical judgement and professional ethics are also vital since social work judgement does not suit a straight answer most times. Analytical judgement helps the practitioners to make judgments based on conflicting information, choose between short-term and long-term risks, and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which intervention is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commensurate</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As an example, self-neglect raises an issue requiring a social worker to balance medical evidence, the situation at home, mental capacity and family testimonies and infer measures to be taken to safeguard or support the community. In the absence of this ability, decisions can be too cautious or even hazardously slow. Ethical professionalism, in turn, means that decisions are made </w:t>
      </w:r>
      <w:r w:rsidRPr="748C330B" w:rsidR="6EB3618C">
        <w:rPr>
          <w:rFonts w:ascii="Arial" w:hAnsi="Arial" w:eastAsia="Arial" w:cs="Arial"/>
          <w:b w:val="0"/>
          <w:bCs w:val="0"/>
          <w:i w:val="0"/>
          <w:iCs w:val="0"/>
          <w:caps w:val="0"/>
          <w:smallCaps w:val="0"/>
          <w:noProof w:val="0"/>
          <w:color w:val="000000" w:themeColor="text1" w:themeTint="FF" w:themeShade="FF"/>
          <w:sz w:val="22"/>
          <w:szCs w:val="22"/>
          <w:lang w:val="en-GB"/>
        </w:rPr>
        <w:t>based on</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rights, boundaries and respect as opposed to convenience or bias on self. The focus of this process is relationship-based empathy since service users will be more eager to reveal the aspects of abuse,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fear</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or unmet need once they feel that they are heard and treated with dignity. However, empathy out of professionalism may take an edge, and professionalism out of empathy may make practice cold and inefficient. Effective practice is always tied to ethical decision-making and awareness of human rights and value-based </w:t>
      </w:r>
      <w:r w:rsidRPr="748C330B" w:rsidR="45C672C7">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singly in social work literature, in such situations, when the autonomy versus safety and justice needs to be balanced in challenging environments (Gross, 2024; Ife,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Soldatic</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and Briskman, 2022; Banks, 2024).</w:t>
      </w:r>
    </w:p>
    <w:p w:rsidRPr="005E44B5" w:rsidR="004552CE" w:rsidP="321D2434" w:rsidRDefault="004552CE" w14:paraId="79902B3E" w14:textId="2E00238B">
      <w:pPr>
        <w:pStyle w:val="Heading2"/>
        <w:keepNext w:val="1"/>
        <w:keepLines w:val="1"/>
        <w:spacing w:before="160" w:after="12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Pr="005E44B5" w:rsidR="004552CE" w:rsidP="748C330B" w:rsidRDefault="004552CE" w14:paraId="4497DCBF" w14:textId="1845DAC9">
      <w:pPr>
        <w:pStyle w:val="Heading2"/>
        <w:keepNext w:val="1"/>
        <w:keepLines w:val="1"/>
        <w:spacing w:before="160" w:after="120"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27746512" w:id="35549644"/>
      <w:bookmarkStart w:name="_Toc1097708791" w:id="1436583079"/>
      <w:r w:rsidRPr="748C330B" w:rsidR="2B77C7DC">
        <w:rPr>
          <w:rFonts w:ascii="Arial" w:hAnsi="Arial" w:eastAsia="Arial" w:cs="Arial"/>
          <w:b w:val="1"/>
          <w:bCs w:val="1"/>
          <w:i w:val="0"/>
          <w:iCs w:val="0"/>
          <w:caps w:val="0"/>
          <w:smallCaps w:val="0"/>
          <w:noProof w:val="0"/>
          <w:color w:val="000000" w:themeColor="text1" w:themeTint="FF" w:themeShade="FF"/>
          <w:sz w:val="22"/>
          <w:szCs w:val="22"/>
          <w:lang w:val="en-GB"/>
        </w:rPr>
        <w:t>Strategies to improve the skills for Social Work</w:t>
      </w:r>
      <w:bookmarkEnd w:id="35549644"/>
      <w:bookmarkEnd w:id="1436583079"/>
    </w:p>
    <w:p w:rsidRPr="005E44B5" w:rsidR="004552CE" w:rsidP="321D2434" w:rsidRDefault="004552CE" w14:paraId="65075724" w14:textId="2281A05C">
      <w:pPr>
        <w:spacing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Strict skills training in a sequence of simulation, role playing, and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observed</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practice with feedback is one of the approaches to enhancement of communication. The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reason why</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the strategy is right is the fact that communication is better enhanced when practitioners practice challenging conversations as opposed to reading about them only. As an example, a training session may mandate the social workers to perform a simulated safeguarding interview, discuss discharge schemes with a bewildered patient, or negotiate a conflict of discussion with family members. Specific feedback about listening, questioning, tone, and clarity can then be given by the supervisors and peers. There is evidence that such training enhances communicative competence and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assists</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practitioners to apply the learning into the placement and workplace context (Reith-Hall and Montgomery, 2023). The second strategy is reflective supervision, which was selected as an analytical judgement is enhanced once the practitioners are provided with a safe time to inspect evidence, provoke assumptions, and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acquire</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knowledge of the complexity of cases. A supervising manager can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assist</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a social worker to re-examine risk indicators by reviewing the reasoning behind a particular recommendation and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determining</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the point at which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information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is required to</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be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attained</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before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taking action</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w:t>
      </w:r>
    </w:p>
    <w:p w:rsidRPr="005E44B5" w:rsidR="004552CE" w:rsidP="748C330B" w:rsidRDefault="004552CE" w14:paraId="4832127C" w14:textId="30780924">
      <w:pPr>
        <w:spacing w:line="480" w:lineRule="auto"/>
        <w:ind w:firstLine="720"/>
        <w:rPr>
          <w:rFonts w:ascii="Arial" w:hAnsi="Arial" w:eastAsia="Arial" w:cs="Arial"/>
          <w:b w:val="0"/>
          <w:bCs w:val="0"/>
          <w:i w:val="0"/>
          <w:iCs w:val="0"/>
          <w:caps w:val="0"/>
          <w:smallCaps w:val="0"/>
          <w:noProof w:val="0"/>
          <w:color w:val="000000" w:themeColor="text1" w:themeTint="FF" w:themeShade="FF"/>
          <w:sz w:val="22"/>
          <w:szCs w:val="22"/>
          <w:lang w:val="en-GB"/>
        </w:rPr>
      </w:pP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A third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option</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is the interdisciplinary review of cases together with the continuation of professional development based on ethics, law, and service coordination. The current strategy has been chosen </w:t>
      </w:r>
      <w:r w:rsidRPr="748C330B" w:rsidR="289BD041">
        <w:rPr>
          <w:rFonts w:ascii="Arial" w:hAnsi="Arial" w:eastAsia="Arial" w:cs="Arial"/>
          <w:b w:val="0"/>
          <w:bCs w:val="0"/>
          <w:i w:val="0"/>
          <w:iCs w:val="0"/>
          <w:caps w:val="0"/>
          <w:smallCaps w:val="0"/>
          <w:noProof w:val="0"/>
          <w:color w:val="000000" w:themeColor="text1" w:themeTint="FF" w:themeShade="FF"/>
          <w:sz w:val="22"/>
          <w:szCs w:val="22"/>
          <w:lang w:val="en-GB"/>
        </w:rPr>
        <w:t>since</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social workers work in the multidisciplinary structure and, therefore, the abilities become more reinforced when learning takes the format of a real-life cooperation with nurses, therapists,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doctors</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and community agencies. Going into specifics, a joint case review of delayed discharge can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assist</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the practitioners to move to the next level related to advocacy,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comprehend</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professional limits and realize the influence that professional ethical choices have on patient access to care and patient safety. The moral professionalism can be further reinforced with the help of CPD workshops concerning the capacity, safeguarding, human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rights</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and anti-discriminate practice where legal principles can </w:t>
      </w:r>
      <w:r w:rsidRPr="748C330B" w:rsidR="0D6B412D">
        <w:rPr>
          <w:rFonts w:ascii="Arial" w:hAnsi="Arial" w:eastAsia="Arial" w:cs="Arial"/>
          <w:b w:val="0"/>
          <w:bCs w:val="0"/>
          <w:i w:val="0"/>
          <w:iCs w:val="0"/>
          <w:caps w:val="0"/>
          <w:smallCaps w:val="0"/>
          <w:noProof w:val="0"/>
          <w:color w:val="000000" w:themeColor="text1" w:themeTint="FF" w:themeShade="FF"/>
          <w:sz w:val="22"/>
          <w:szCs w:val="22"/>
          <w:lang w:val="en-GB"/>
        </w:rPr>
        <w:t>relate to</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daily decision-making (Gross, 2024; Ife,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Soldatic</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and Briskman, 2022). These methods are particularly useful in high-stress services, with their load and emotional burden potentially disrupting a careful practice unless they are supported and provided with learning on a regular basis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Ravalier</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2021). Simulation-based training along with reflective supervision and interdisciplinary CPD, however, are realistic and sustainable methods to support the three core skills </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required</w:t>
      </w:r>
      <w:r w:rsidRPr="748C330B" w:rsidR="2B77C7DC">
        <w:rPr>
          <w:rFonts w:ascii="Arial" w:hAnsi="Arial" w:eastAsia="Arial" w:cs="Arial"/>
          <w:b w:val="0"/>
          <w:bCs w:val="0"/>
          <w:i w:val="0"/>
          <w:iCs w:val="0"/>
          <w:caps w:val="0"/>
          <w:smallCaps w:val="0"/>
          <w:noProof w:val="0"/>
          <w:color w:val="000000" w:themeColor="text1" w:themeTint="FF" w:themeShade="FF"/>
          <w:sz w:val="22"/>
          <w:szCs w:val="22"/>
          <w:lang w:val="en-GB"/>
        </w:rPr>
        <w:t xml:space="preserve"> to make safe and competent social work in healthcare.</w:t>
      </w:r>
    </w:p>
    <w:p w:rsidRPr="005E44B5" w:rsidR="004552CE" w:rsidP="321D2434" w:rsidRDefault="004552CE" w14:paraId="715CFE03" w14:textId="07A85857">
      <w:pPr>
        <w:pStyle w:val="Heading2"/>
        <w:keepNext w:val="1"/>
        <w:keepLines w:val="1"/>
        <w:spacing w:before="160" w:after="12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Pr="005E44B5" w:rsidR="004552CE" w:rsidP="748C330B" w:rsidRDefault="004552CE" w14:paraId="639CA4B6" w14:textId="7661A489">
      <w:pPr>
        <w:pStyle w:val="Heading2"/>
        <w:keepNext w:val="1"/>
        <w:keepLines w:val="1"/>
        <w:numPr>
          <w:ilvl w:val="0"/>
          <w:numId w:val="23"/>
        </w:numPr>
        <w:spacing w:before="160" w:after="12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2085891283" w:id="112157477"/>
      <w:bookmarkStart w:name="_Toc294600187" w:id="1373329708"/>
      <w:r w:rsidRPr="748C330B" w:rsidR="2B77C7DC">
        <w:rPr>
          <w:rFonts w:ascii="Arial" w:hAnsi="Arial" w:eastAsia="Arial" w:cs="Arial"/>
          <w:b w:val="1"/>
          <w:bCs w:val="1"/>
          <w:i w:val="0"/>
          <w:iCs w:val="0"/>
          <w:caps w:val="0"/>
          <w:smallCaps w:val="0"/>
          <w:noProof w:val="0"/>
          <w:color w:val="000000" w:themeColor="text1" w:themeTint="FF" w:themeShade="FF"/>
          <w:sz w:val="22"/>
          <w:szCs w:val="22"/>
          <w:lang w:val="en-GB"/>
        </w:rPr>
        <w:t>Conclusion</w:t>
      </w:r>
      <w:bookmarkEnd w:id="112157477"/>
      <w:bookmarkEnd w:id="1373329708"/>
    </w:p>
    <w:p w:rsidRPr="005E44B5" w:rsidR="004552CE" w:rsidP="321D2434" w:rsidRDefault="004552CE" w14:paraId="29D40489" w14:textId="12AF3433">
      <w:pPr>
        <w:spacing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Finally, safe, high-quality health and social care require the social worker to complete the need assessment, protect vulnerable individuals, advocate on behalf of service users and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facilitate</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service interconnections. The report has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demonstrated</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most valuable skills to effective practice are communication, analytical judgement, and ethical professionalism since they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the quality of an assessment, decision-making, and relationship-based care. It has also shown that systematic training on communication, reflective supervision, and interdisciplinary professional development are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feasible</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mechanisms for reinforcing such skills. Improved social work practice would thus continue to be central to the dignified, safe, and person-centred care in modern health and social care environments.</w:t>
      </w:r>
    </w:p>
    <w:p w:rsidRPr="005E44B5" w:rsidR="004552CE" w:rsidP="321D2434" w:rsidRDefault="004552CE" w14:paraId="1D4B083A" w14:textId="51F346B6">
      <w:pPr>
        <w:spacing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5E44B5" w:rsidR="004552CE" w:rsidP="321D2434" w:rsidRDefault="004552CE" w14:paraId="4F98575D" w14:textId="3E73958B">
      <w:pPr>
        <w:spacing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5E44B5" w:rsidR="004552CE" w:rsidP="321D2434" w:rsidRDefault="004552CE" w14:paraId="292304D1" w14:textId="0ED4B662">
      <w:pPr>
        <w:spacing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1"/>
          <w:bCs w:val="1"/>
          <w:i w:val="0"/>
          <w:iCs w:val="0"/>
          <w:caps w:val="0"/>
          <w:smallCaps w:val="0"/>
          <w:noProof w:val="0"/>
          <w:color w:val="000000" w:themeColor="text1" w:themeTint="FF" w:themeShade="FF"/>
          <w:sz w:val="22"/>
          <w:szCs w:val="22"/>
          <w:lang w:val="en-GB"/>
        </w:rPr>
        <w:t>References:</w:t>
      </w:r>
    </w:p>
    <w:p w:rsidRPr="005E44B5" w:rsidR="004552CE" w:rsidP="321D2434" w:rsidRDefault="004552CE" w14:paraId="7FC44D3A" w14:textId="02983B9A">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Banks, S. (2024) ‘Pandemic ethics and beyond: creating space for virtues in the social professions’, Nursing Ethics, 31(1), pp. 28-38.</w:t>
      </w:r>
    </w:p>
    <w:p w:rsidRPr="005E44B5" w:rsidR="004552CE" w:rsidP="321D2434" w:rsidRDefault="004552CE" w14:paraId="7D06D6C7" w14:textId="61C6A90E">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Gross, E.B. (2024) ‘Social work values and the NASW code of ethics: problems of function and possibilities for change’, Journal of Progressive Human Services, 35(3), pp. 247-269.</w:t>
      </w:r>
    </w:p>
    <w:p w:rsidRPr="005E44B5" w:rsidR="004552CE" w:rsidP="321D2434" w:rsidRDefault="004552CE" w14:paraId="4C6E9E62" w14:textId="0A8D821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Ife, J.,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Soldatic</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K. and Briskman, L. (2022) Human rights and social work. Cambridge: Cambridge University Press.</w:t>
      </w:r>
    </w:p>
    <w:p w:rsidRPr="005E44B5" w:rsidR="004552CE" w:rsidP="321D2434" w:rsidRDefault="004552CE" w14:paraId="5D589918" w14:textId="4B00612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Liu,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K.</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and Flynn, C.A. (2023) ‘How the environment is conceptualised and represented globally in social work codes of ethics’, International Social Work, 66(3), pp. 868-888.</w:t>
      </w:r>
    </w:p>
    <w:p w:rsidRPr="005E44B5" w:rsidR="004552CE" w:rsidP="321D2434" w:rsidRDefault="004552CE" w14:paraId="25AE3438" w14:textId="7EB5F98A">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Ocloo</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J., Garfield, S., Franklin, B.D. and Dawson, S. (2021) ‘Exploring the theory,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barriers</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and enablers for patient and public involvement across health, social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care</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and patient safety: a systematic review of reviews’, Health Research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Policy</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and Systems, 19(1), p. 8.</w:t>
      </w:r>
    </w:p>
    <w:p w:rsidRPr="005E44B5" w:rsidR="004552CE" w:rsidP="321D2434" w:rsidRDefault="004552CE" w14:paraId="7BA7EBC7" w14:textId="1A5CB2F7">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Ravalier</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J., Wainwright, E.,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Clabburn</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O., Loon,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M.</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and Smyth, N. (2021) ‘Working conditions and wellbeing in UK social workers’,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Journa</w:t>
      </w:r>
    </w:p>
    <w:p w:rsidRPr="005E44B5" w:rsidR="004552CE" w:rsidP="321D2434" w:rsidRDefault="004552CE" w14:paraId="2893A54A" w14:textId="3578DE13">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Ruffin, J.J. (2022) Roles, responsibilities, and contributions of medical social workers in an interdisciplinary team. Doctoral thesis. Walden University. </w:t>
      </w:r>
    </w:p>
    <w:p w:rsidRPr="005E44B5" w:rsidR="004552CE" w:rsidP="321D2434" w:rsidRDefault="004552CE" w14:paraId="6359D9D0" w14:textId="7EE1338A">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l of Social Work, 21(5), pp. 1105-1123.</w:t>
      </w:r>
    </w:p>
    <w:p w:rsidRPr="005E44B5" w:rsidR="004552CE" w:rsidP="321D2434" w:rsidRDefault="004552CE" w14:paraId="7EBCAB5B" w14:textId="78891160">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Reith-Hall, </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E.</w:t>
      </w:r>
      <w:r w:rsidRPr="321D2434" w:rsidR="04BF3F91">
        <w:rPr>
          <w:rFonts w:ascii="Arial" w:hAnsi="Arial" w:eastAsia="Arial" w:cs="Arial"/>
          <w:b w:val="0"/>
          <w:bCs w:val="0"/>
          <w:i w:val="0"/>
          <w:iCs w:val="0"/>
          <w:caps w:val="0"/>
          <w:smallCaps w:val="0"/>
          <w:noProof w:val="0"/>
          <w:color w:val="000000" w:themeColor="text1" w:themeTint="FF" w:themeShade="FF"/>
          <w:sz w:val="22"/>
          <w:szCs w:val="22"/>
          <w:lang w:val="en-GB"/>
        </w:rPr>
        <w:t xml:space="preserve"> and Montgomery, P. (2023) ‘Communication skills training for improving the communicative abilities of student social workers: a systematic review’, Campbell Systematic Reviews, 19(1), pp. 1-30.</w:t>
      </w:r>
    </w:p>
    <w:p w:rsidRPr="005E44B5" w:rsidR="004552CE" w:rsidP="321D2434" w:rsidRDefault="004552CE" w14:paraId="1D0F2D59" w14:textId="5AE69960">
      <w:pPr>
        <w:pStyle w:val="Normal"/>
        <w:rPr>
          <w:rFonts w:ascii="Arial" w:hAnsi="Arial" w:eastAsia="Arial" w:cs="Arial"/>
          <w:color w:val="FF0000"/>
          <w:sz w:val="22"/>
          <w:szCs w:val="22"/>
        </w:rPr>
      </w:pPr>
    </w:p>
    <w:sectPr w:rsidRPr="005E44B5" w:rsidR="004552CE">
      <w:pgSz w:w="11906" w:h="16838" w:orient="portrait"/>
      <w:pgMar w:top="1440" w:right="1440" w:bottom="1440" w:left="1440" w:header="708" w:footer="708" w:gutter="0"/>
      <w:cols w:space="708"/>
      <w:docGrid w:linePitch="360"/>
      <w:headerReference w:type="default" r:id="R21be5ce28b904059"/>
      <w:footerReference w:type="default" r:id="Rc5730a4608704ba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4640" w:rsidP="003C7C97" w:rsidRDefault="00B24640" w14:paraId="158BCD2F" w14:textId="77777777">
      <w:pPr>
        <w:spacing w:after="0" w:line="240" w:lineRule="auto"/>
      </w:pPr>
      <w:r>
        <w:separator/>
      </w:r>
    </w:p>
  </w:endnote>
  <w:endnote w:type="continuationSeparator" w:id="0">
    <w:p w:rsidR="00B24640" w:rsidP="003C7C97" w:rsidRDefault="00B24640" w14:paraId="76848C8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21D2434" w:rsidTr="321D2434" w14:paraId="1E99DC75">
      <w:trPr>
        <w:trHeight w:val="300"/>
      </w:trPr>
      <w:tc>
        <w:tcPr>
          <w:tcW w:w="3005" w:type="dxa"/>
          <w:tcMar/>
        </w:tcPr>
        <w:p w:rsidR="321D2434" w:rsidP="321D2434" w:rsidRDefault="321D2434" w14:paraId="44CD3307" w14:textId="5E2F0D70">
          <w:pPr>
            <w:pStyle w:val="Header"/>
            <w:bidi w:val="0"/>
            <w:ind w:left="-115"/>
            <w:jc w:val="left"/>
          </w:pPr>
        </w:p>
      </w:tc>
      <w:tc>
        <w:tcPr>
          <w:tcW w:w="3005" w:type="dxa"/>
          <w:tcMar/>
        </w:tcPr>
        <w:p w:rsidR="321D2434" w:rsidP="321D2434" w:rsidRDefault="321D2434" w14:paraId="1FE107C7" w14:textId="7A129F06">
          <w:pPr>
            <w:pStyle w:val="Header"/>
            <w:bidi w:val="0"/>
            <w:jc w:val="center"/>
          </w:pPr>
        </w:p>
      </w:tc>
      <w:tc>
        <w:tcPr>
          <w:tcW w:w="3005" w:type="dxa"/>
          <w:tcMar/>
        </w:tcPr>
        <w:p w:rsidR="321D2434" w:rsidP="321D2434" w:rsidRDefault="321D2434" w14:paraId="00455FCF" w14:textId="4504F89F">
          <w:pPr>
            <w:pStyle w:val="Header"/>
            <w:bidi w:val="0"/>
            <w:ind w:right="-115"/>
            <w:jc w:val="right"/>
          </w:pPr>
          <w:r>
            <w:fldChar w:fldCharType="begin"/>
          </w:r>
          <w:r>
            <w:instrText xml:space="preserve">PAGE</w:instrText>
          </w:r>
          <w:r>
            <w:fldChar w:fldCharType="separate"/>
          </w:r>
          <w:r>
            <w:fldChar w:fldCharType="end"/>
          </w:r>
        </w:p>
      </w:tc>
    </w:tr>
  </w:tbl>
  <w:p w:rsidR="321D2434" w:rsidP="321D2434" w:rsidRDefault="321D2434" w14:paraId="60927DD9" w14:textId="07AE5E89">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4640" w:rsidP="003C7C97" w:rsidRDefault="00B24640" w14:paraId="37757F4B" w14:textId="77777777">
      <w:pPr>
        <w:spacing w:after="0" w:line="240" w:lineRule="auto"/>
      </w:pPr>
      <w:r>
        <w:separator/>
      </w:r>
    </w:p>
  </w:footnote>
  <w:footnote w:type="continuationSeparator" w:id="0">
    <w:p w:rsidR="00B24640" w:rsidP="003C7C97" w:rsidRDefault="00B24640" w14:paraId="0F6C849E"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21D2434" w:rsidTr="321D2434" w14:paraId="7C4D25AF">
      <w:trPr>
        <w:trHeight w:val="300"/>
      </w:trPr>
      <w:tc>
        <w:tcPr>
          <w:tcW w:w="3005" w:type="dxa"/>
          <w:tcMar/>
        </w:tcPr>
        <w:p w:rsidR="321D2434" w:rsidP="321D2434" w:rsidRDefault="321D2434" w14:paraId="53C302BC" w14:textId="7D8C12C3">
          <w:pPr>
            <w:pStyle w:val="Header"/>
            <w:bidi w:val="0"/>
            <w:ind w:left="-115"/>
            <w:jc w:val="left"/>
          </w:pPr>
        </w:p>
      </w:tc>
      <w:tc>
        <w:tcPr>
          <w:tcW w:w="3005" w:type="dxa"/>
          <w:tcMar/>
        </w:tcPr>
        <w:p w:rsidR="321D2434" w:rsidP="321D2434" w:rsidRDefault="321D2434" w14:paraId="263721CC" w14:textId="1A93774D">
          <w:pPr>
            <w:pStyle w:val="Header"/>
            <w:bidi w:val="0"/>
            <w:jc w:val="center"/>
          </w:pPr>
        </w:p>
      </w:tc>
      <w:tc>
        <w:tcPr>
          <w:tcW w:w="3005" w:type="dxa"/>
          <w:tcMar/>
        </w:tcPr>
        <w:p w:rsidR="321D2434" w:rsidP="321D2434" w:rsidRDefault="321D2434" w14:paraId="095831DB" w14:textId="2306BBED">
          <w:pPr>
            <w:pStyle w:val="Header"/>
            <w:bidi w:val="0"/>
            <w:ind w:right="-115"/>
            <w:jc w:val="right"/>
          </w:pPr>
        </w:p>
      </w:tc>
    </w:tr>
  </w:tbl>
  <w:p w:rsidR="321D2434" w:rsidP="321D2434" w:rsidRDefault="321D2434" w14:paraId="0E253F84" w14:textId="68F32BA3">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2">
    <w:nsid w:val="98864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3">
    <w:abstractNumId w:val="22"/>
  </w: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05FAB"/>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7C58"/>
    <w:rsid w:val="005A7FD4"/>
    <w:rsid w:val="005B1A84"/>
    <w:rsid w:val="005D13CD"/>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7F10BC"/>
    <w:rsid w:val="00805726"/>
    <w:rsid w:val="00815117"/>
    <w:rsid w:val="008520F8"/>
    <w:rsid w:val="00855F34"/>
    <w:rsid w:val="008826B6"/>
    <w:rsid w:val="008B0B22"/>
    <w:rsid w:val="008C58B0"/>
    <w:rsid w:val="008C591B"/>
    <w:rsid w:val="008C6182"/>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24640"/>
    <w:rsid w:val="00B81790"/>
    <w:rsid w:val="00B81BBC"/>
    <w:rsid w:val="00BD03D5"/>
    <w:rsid w:val="00C00E62"/>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1BC4"/>
    <w:rsid w:val="00E82723"/>
    <w:rsid w:val="00EA29A5"/>
    <w:rsid w:val="00EC107C"/>
    <w:rsid w:val="00EC7EBE"/>
    <w:rsid w:val="00EC7FD2"/>
    <w:rsid w:val="00ED5964"/>
    <w:rsid w:val="00F1720B"/>
    <w:rsid w:val="00F36ADC"/>
    <w:rsid w:val="00F605C6"/>
    <w:rsid w:val="00F6785B"/>
    <w:rsid w:val="00F915D6"/>
    <w:rsid w:val="00FF2B0A"/>
    <w:rsid w:val="00FF5D06"/>
    <w:rsid w:val="04474AA7"/>
    <w:rsid w:val="048393A7"/>
    <w:rsid w:val="04BF3F91"/>
    <w:rsid w:val="05BE12E0"/>
    <w:rsid w:val="0806E870"/>
    <w:rsid w:val="0923DD02"/>
    <w:rsid w:val="0A8AB13E"/>
    <w:rsid w:val="0A8C7ADB"/>
    <w:rsid w:val="0BEE805F"/>
    <w:rsid w:val="0C8676CC"/>
    <w:rsid w:val="0CC81C08"/>
    <w:rsid w:val="0CDCCFCB"/>
    <w:rsid w:val="0D6B412D"/>
    <w:rsid w:val="0EBFF672"/>
    <w:rsid w:val="120A9AC6"/>
    <w:rsid w:val="13373F90"/>
    <w:rsid w:val="14799B83"/>
    <w:rsid w:val="1552DF10"/>
    <w:rsid w:val="1689917F"/>
    <w:rsid w:val="1894B0EE"/>
    <w:rsid w:val="1C810758"/>
    <w:rsid w:val="1D4A44B4"/>
    <w:rsid w:val="1EF73C80"/>
    <w:rsid w:val="1F7B239F"/>
    <w:rsid w:val="20352A57"/>
    <w:rsid w:val="203BDF02"/>
    <w:rsid w:val="20FF3D2A"/>
    <w:rsid w:val="21D88918"/>
    <w:rsid w:val="222AAA44"/>
    <w:rsid w:val="22DF4169"/>
    <w:rsid w:val="2351F456"/>
    <w:rsid w:val="243F4B23"/>
    <w:rsid w:val="24C3CCCA"/>
    <w:rsid w:val="2830BFFF"/>
    <w:rsid w:val="289BD041"/>
    <w:rsid w:val="290E76AF"/>
    <w:rsid w:val="2957687A"/>
    <w:rsid w:val="2B77C7DC"/>
    <w:rsid w:val="2D1D91EC"/>
    <w:rsid w:val="321D2434"/>
    <w:rsid w:val="322E6064"/>
    <w:rsid w:val="36074FCF"/>
    <w:rsid w:val="37010382"/>
    <w:rsid w:val="37392ADB"/>
    <w:rsid w:val="3A5FB1AD"/>
    <w:rsid w:val="3BB9B60B"/>
    <w:rsid w:val="3EF69C99"/>
    <w:rsid w:val="3F358F19"/>
    <w:rsid w:val="3F98975B"/>
    <w:rsid w:val="4476C1E9"/>
    <w:rsid w:val="449E5A83"/>
    <w:rsid w:val="45C672C7"/>
    <w:rsid w:val="46846792"/>
    <w:rsid w:val="4717B4DC"/>
    <w:rsid w:val="4CCAA0AA"/>
    <w:rsid w:val="4DB3FEBE"/>
    <w:rsid w:val="54A97ED6"/>
    <w:rsid w:val="5902CA60"/>
    <w:rsid w:val="598564A7"/>
    <w:rsid w:val="59DE0EC8"/>
    <w:rsid w:val="6054C22F"/>
    <w:rsid w:val="605A7DA0"/>
    <w:rsid w:val="61365420"/>
    <w:rsid w:val="6436EE0C"/>
    <w:rsid w:val="652BAAEC"/>
    <w:rsid w:val="659487CF"/>
    <w:rsid w:val="676DAEBD"/>
    <w:rsid w:val="690C8E56"/>
    <w:rsid w:val="6949AAA6"/>
    <w:rsid w:val="69B17E1C"/>
    <w:rsid w:val="6AB18D57"/>
    <w:rsid w:val="6EB3618C"/>
    <w:rsid w:val="6FD6A56F"/>
    <w:rsid w:val="70667AF8"/>
    <w:rsid w:val="748C330B"/>
    <w:rsid w:val="75261DF1"/>
    <w:rsid w:val="7803AD91"/>
    <w:rsid w:val="78E7D4BF"/>
    <w:rsid w:val="79A27873"/>
    <w:rsid w:val="7A5569E5"/>
    <w:rsid w:val="7C8102A1"/>
    <w:rsid w:val="7D6BFAC5"/>
    <w:rsid w:val="7E2886F7"/>
    <w:rsid w:val="7F3440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eader" Target="header.xml" Id="R21be5ce28b904059" /><Relationship Type="http://schemas.openxmlformats.org/officeDocument/2006/relationships/footer" Target="footer.xml" Id="Rc5730a4608704ba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Meryum Alam (2522888)</lastModifiedBy>
  <revision>7</revision>
  <dcterms:created xsi:type="dcterms:W3CDTF">2026-03-17T10:15:00.0000000Z</dcterms:created>
  <dcterms:modified xsi:type="dcterms:W3CDTF">2026-03-26T23:49:51.1553943Z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