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0DD40" w14:textId="765C16FD" w:rsidR="00D35E4B" w:rsidRPr="00A12007" w:rsidRDefault="00D35E4B" w:rsidP="00A12007">
      <w:pPr>
        <w:autoSpaceDE w:val="0"/>
        <w:autoSpaceDN w:val="0"/>
        <w:adjustRightInd w:val="0"/>
        <w:spacing w:line="360" w:lineRule="auto"/>
        <w:rPr>
          <w:rFonts w:asciiTheme="minorHAnsi" w:hAnsiTheme="minorHAnsi" w:cstheme="minorHAnsi"/>
        </w:rPr>
      </w:pPr>
      <w:r w:rsidRPr="00A12007">
        <w:rPr>
          <w:rFonts w:asciiTheme="minorHAnsi" w:hAnsiTheme="minorHAnsi" w:cstheme="minorHAnsi"/>
        </w:rPr>
        <w:t>The law which sets the majority of rules for non-fatal offences against the person comes from the Offences Against the Person Act (1861). The Criminal Justice Act (2003) sets the law for assault and battery. For the purpose of this essays discussion on weather reform is needed in that area of the law; The Offences Against the Persons Act (OAPA 1861) will be the focus. This essay will focus on crimes categorised into grievous bodily harm (GBH) and wounding, actual bodily harm (ABH) and grievous bodily harm (GBH) and wounding with intent. GBH and wounding is defined as serious harm (R v Saunders 1985). ABH is defined in R v Miller (1954) as anything that would ‘hurt or interfere with the comfort’ of a person. Grievous bodily harm (GBH) and wounding with intent carries the same definition as GBH but with mens reus present. There have been 6 attempts at reforming the OAPA (1861) in the last 41 years. Below this essay will discuss the problematic areas which have led the argument for potential reform.</w:t>
      </w:r>
    </w:p>
    <w:p w14:paraId="2C34BEF6" w14:textId="77777777" w:rsidR="00D35E4B" w:rsidRPr="00A12007" w:rsidRDefault="00D35E4B" w:rsidP="00A12007">
      <w:pPr>
        <w:autoSpaceDE w:val="0"/>
        <w:autoSpaceDN w:val="0"/>
        <w:adjustRightInd w:val="0"/>
        <w:spacing w:line="360" w:lineRule="auto"/>
        <w:rPr>
          <w:rFonts w:asciiTheme="minorHAnsi" w:hAnsiTheme="minorHAnsi" w:cstheme="minorHAnsi"/>
        </w:rPr>
      </w:pPr>
    </w:p>
    <w:p w14:paraId="7E8EAD9E" w14:textId="1774981F" w:rsidR="00D35E4B" w:rsidRPr="00A12007" w:rsidRDefault="00D35E4B" w:rsidP="00A12007">
      <w:pPr>
        <w:autoSpaceDE w:val="0"/>
        <w:autoSpaceDN w:val="0"/>
        <w:adjustRightInd w:val="0"/>
        <w:spacing w:line="360" w:lineRule="auto"/>
        <w:rPr>
          <w:rFonts w:asciiTheme="minorHAnsi" w:hAnsiTheme="minorHAnsi" w:cstheme="minorHAnsi"/>
        </w:rPr>
      </w:pPr>
      <w:r w:rsidRPr="00A12007">
        <w:rPr>
          <w:rFonts w:asciiTheme="minorHAnsi" w:hAnsiTheme="minorHAnsi" w:cstheme="minorHAnsi"/>
        </w:rPr>
        <w:t>The most recent attempt at reforming the</w:t>
      </w:r>
      <w:r w:rsidR="000A79D8" w:rsidRPr="00A12007">
        <w:rPr>
          <w:rFonts w:asciiTheme="minorHAnsi" w:hAnsiTheme="minorHAnsi" w:cstheme="minorHAnsi"/>
        </w:rPr>
        <w:t xml:space="preserve"> current law on </w:t>
      </w:r>
      <w:proofErr w:type="spellStart"/>
      <w:proofErr w:type="gramStart"/>
      <w:r w:rsidR="000A79D8" w:rsidRPr="00A12007">
        <w:rPr>
          <w:rFonts w:asciiTheme="minorHAnsi" w:hAnsiTheme="minorHAnsi" w:cstheme="minorHAnsi"/>
        </w:rPr>
        <w:t xml:space="preserve">non </w:t>
      </w:r>
      <w:r w:rsidR="00650E0A">
        <w:rPr>
          <w:rFonts w:asciiTheme="minorHAnsi" w:hAnsiTheme="minorHAnsi" w:cstheme="minorHAnsi"/>
        </w:rPr>
        <w:t>fa</w:t>
      </w:r>
      <w:r w:rsidR="000A79D8" w:rsidRPr="00A12007">
        <w:rPr>
          <w:rFonts w:asciiTheme="minorHAnsi" w:hAnsiTheme="minorHAnsi" w:cstheme="minorHAnsi"/>
        </w:rPr>
        <w:t>tal</w:t>
      </w:r>
      <w:proofErr w:type="spellEnd"/>
      <w:proofErr w:type="gramEnd"/>
      <w:r w:rsidR="000A79D8" w:rsidRPr="00A12007">
        <w:rPr>
          <w:rFonts w:asciiTheme="minorHAnsi" w:hAnsiTheme="minorHAnsi" w:cstheme="minorHAnsi"/>
        </w:rPr>
        <w:t xml:space="preserve"> offences</w:t>
      </w:r>
      <w:r w:rsidRPr="00A12007">
        <w:rPr>
          <w:rFonts w:asciiTheme="minorHAnsi" w:hAnsiTheme="minorHAnsi" w:cstheme="minorHAnsi"/>
        </w:rPr>
        <w:t xml:space="preserve"> came from the Law Commissions Report in 2015</w:t>
      </w:r>
      <w:r w:rsidR="000A79D8" w:rsidRPr="00A12007">
        <w:rPr>
          <w:rFonts w:asciiTheme="minorHAnsi" w:hAnsiTheme="minorHAnsi" w:cstheme="minorHAnsi"/>
        </w:rPr>
        <w:t xml:space="preserve"> to reform the Offences Against the Person Act (1861)</w:t>
      </w:r>
      <w:r w:rsidRPr="00A12007">
        <w:rPr>
          <w:rFonts w:asciiTheme="minorHAnsi" w:hAnsiTheme="minorHAnsi" w:cstheme="minorHAnsi"/>
        </w:rPr>
        <w:t>. They based their advice o</w:t>
      </w:r>
      <w:r w:rsidR="00650E0A">
        <w:rPr>
          <w:rFonts w:asciiTheme="minorHAnsi" w:hAnsiTheme="minorHAnsi" w:cstheme="minorHAnsi"/>
        </w:rPr>
        <w:t>n t</w:t>
      </w:r>
      <w:r w:rsidRPr="00A12007">
        <w:rPr>
          <w:rFonts w:asciiTheme="minorHAnsi" w:hAnsiTheme="minorHAnsi" w:cstheme="minorHAnsi"/>
        </w:rPr>
        <w:t xml:space="preserve">he draft bill </w:t>
      </w:r>
      <w:r w:rsidR="000A79D8" w:rsidRPr="00A12007">
        <w:rPr>
          <w:rFonts w:asciiTheme="minorHAnsi" w:hAnsiTheme="minorHAnsi" w:cstheme="minorHAnsi"/>
        </w:rPr>
        <w:t>which was put</w:t>
      </w:r>
      <w:r w:rsidRPr="00A12007">
        <w:rPr>
          <w:rFonts w:asciiTheme="minorHAnsi" w:hAnsiTheme="minorHAnsi" w:cstheme="minorHAnsi"/>
        </w:rPr>
        <w:t xml:space="preserve"> forward by the </w:t>
      </w:r>
      <w:r w:rsidR="000A79D8" w:rsidRPr="00A12007">
        <w:rPr>
          <w:rFonts w:asciiTheme="minorHAnsi" w:hAnsiTheme="minorHAnsi" w:cstheme="minorHAnsi"/>
        </w:rPr>
        <w:t>H</w:t>
      </w:r>
      <w:r w:rsidRPr="00A12007">
        <w:rPr>
          <w:rFonts w:asciiTheme="minorHAnsi" w:hAnsiTheme="minorHAnsi" w:cstheme="minorHAnsi"/>
        </w:rPr>
        <w:t xml:space="preserve">ome </w:t>
      </w:r>
      <w:r w:rsidR="000A79D8" w:rsidRPr="00A12007">
        <w:rPr>
          <w:rFonts w:asciiTheme="minorHAnsi" w:hAnsiTheme="minorHAnsi" w:cstheme="minorHAnsi"/>
        </w:rPr>
        <w:t>O</w:t>
      </w:r>
      <w:r w:rsidRPr="00A12007">
        <w:rPr>
          <w:rFonts w:asciiTheme="minorHAnsi" w:hAnsiTheme="minorHAnsi" w:cstheme="minorHAnsi"/>
        </w:rPr>
        <w:t>ffice in 1988.</w:t>
      </w:r>
    </w:p>
    <w:p w14:paraId="44843B7F" w14:textId="77777777" w:rsidR="00D35E4B" w:rsidRPr="00A12007" w:rsidRDefault="00D35E4B" w:rsidP="00A12007">
      <w:pPr>
        <w:autoSpaceDE w:val="0"/>
        <w:autoSpaceDN w:val="0"/>
        <w:adjustRightInd w:val="0"/>
        <w:spacing w:line="360" w:lineRule="auto"/>
        <w:rPr>
          <w:rFonts w:asciiTheme="minorHAnsi" w:hAnsiTheme="minorHAnsi" w:cstheme="minorHAnsi"/>
        </w:rPr>
      </w:pPr>
    </w:p>
    <w:p w14:paraId="5CE9341C" w14:textId="43CF5468" w:rsidR="00D35E4B" w:rsidRPr="00A12007" w:rsidRDefault="00D35E4B" w:rsidP="00A12007">
      <w:pPr>
        <w:spacing w:line="360" w:lineRule="auto"/>
        <w:rPr>
          <w:rFonts w:asciiTheme="minorHAnsi" w:hAnsiTheme="minorHAnsi" w:cstheme="minorHAnsi"/>
          <w:color w:val="000000"/>
          <w:spacing w:val="-5"/>
          <w:shd w:val="clear" w:color="auto" w:fill="FFFFFF"/>
        </w:rPr>
      </w:pPr>
      <w:r w:rsidRPr="00A12007">
        <w:rPr>
          <w:rFonts w:asciiTheme="minorHAnsi" w:hAnsiTheme="minorHAnsi" w:cstheme="minorHAnsi"/>
        </w:rPr>
        <w:t>The current law o</w:t>
      </w:r>
      <w:r w:rsidR="00650E0A">
        <w:rPr>
          <w:rFonts w:asciiTheme="minorHAnsi" w:hAnsiTheme="minorHAnsi" w:cstheme="minorHAnsi"/>
        </w:rPr>
        <w:t>n</w:t>
      </w:r>
      <w:r w:rsidRPr="00A12007">
        <w:rPr>
          <w:rFonts w:asciiTheme="minorHAnsi" w:hAnsiTheme="minorHAnsi" w:cstheme="minorHAnsi"/>
        </w:rPr>
        <w:t xml:space="preserve"> non-fatal offences is </w:t>
      </w:r>
      <w:r w:rsidR="000A79D8" w:rsidRPr="00A12007">
        <w:rPr>
          <w:rFonts w:asciiTheme="minorHAnsi" w:hAnsiTheme="minorHAnsi" w:cstheme="minorHAnsi"/>
        </w:rPr>
        <w:t xml:space="preserve">argued as being </w:t>
      </w:r>
      <w:r w:rsidRPr="00A12007">
        <w:rPr>
          <w:rFonts w:asciiTheme="minorHAnsi" w:hAnsiTheme="minorHAnsi" w:cstheme="minorHAnsi"/>
        </w:rPr>
        <w:t xml:space="preserve">outdated and in need of modernisation (The Law Commissions Report 2015). The Offences Against the Person Act (1861) is an Act which consists of consolidated laws. This is criticised as it is pointed out that as the law was a consolidation of already existing law it would have already been outdated in 1861, 160 years ago (The Law Commissions Report 2015). </w:t>
      </w:r>
      <w:r w:rsidRPr="00A12007">
        <w:rPr>
          <w:rFonts w:asciiTheme="minorHAnsi" w:hAnsiTheme="minorHAnsi" w:cstheme="minorHAnsi"/>
          <w:color w:val="000000"/>
          <w:spacing w:val="-5"/>
          <w:shd w:val="clear" w:color="auto" w:fill="FFFFFF"/>
        </w:rPr>
        <w:t xml:space="preserve">Fauvarque-Cosson (2001) notes that the consolidation of law is actually a benefit as it allows </w:t>
      </w:r>
      <w:r w:rsidR="00650E0A">
        <w:rPr>
          <w:rFonts w:asciiTheme="minorHAnsi" w:hAnsiTheme="minorHAnsi" w:cstheme="minorHAnsi"/>
          <w:color w:val="000000"/>
          <w:spacing w:val="-5"/>
          <w:shd w:val="clear" w:color="auto" w:fill="FFFFFF"/>
        </w:rPr>
        <w:t xml:space="preserve">it </w:t>
      </w:r>
      <w:r w:rsidRPr="00A12007">
        <w:rPr>
          <w:rFonts w:asciiTheme="minorHAnsi" w:hAnsiTheme="minorHAnsi" w:cstheme="minorHAnsi"/>
          <w:color w:val="000000"/>
          <w:spacing w:val="-5"/>
          <w:shd w:val="clear" w:color="auto" w:fill="FFFFFF"/>
        </w:rPr>
        <w:t xml:space="preserve">to be more accessible to the public instead of being all over the place.  </w:t>
      </w:r>
    </w:p>
    <w:p w14:paraId="64C07B06" w14:textId="77777777" w:rsidR="00D35E4B" w:rsidRPr="00A12007" w:rsidRDefault="00D35E4B" w:rsidP="00A12007">
      <w:pPr>
        <w:spacing w:line="360" w:lineRule="auto"/>
        <w:rPr>
          <w:rFonts w:asciiTheme="minorHAnsi" w:hAnsiTheme="minorHAnsi" w:cstheme="minorHAnsi"/>
          <w:color w:val="000000"/>
          <w:spacing w:val="-5"/>
          <w:shd w:val="clear" w:color="auto" w:fill="FFFFFF"/>
        </w:rPr>
      </w:pPr>
    </w:p>
    <w:p w14:paraId="1062795E" w14:textId="07B41E0C" w:rsidR="00D35E4B" w:rsidRPr="00A12007" w:rsidRDefault="005739D0" w:rsidP="00A12007">
      <w:pPr>
        <w:spacing w:line="360" w:lineRule="auto"/>
        <w:rPr>
          <w:rFonts w:asciiTheme="minorHAnsi" w:hAnsiTheme="minorHAnsi" w:cstheme="minorHAnsi"/>
        </w:rPr>
      </w:pPr>
      <w:r w:rsidRPr="00A12007">
        <w:rPr>
          <w:rFonts w:asciiTheme="minorHAnsi" w:hAnsiTheme="minorHAnsi" w:cstheme="minorHAnsi"/>
        </w:rPr>
        <w:t>One Critique of</w:t>
      </w:r>
      <w:r w:rsidR="00D35E4B" w:rsidRPr="00A12007">
        <w:rPr>
          <w:rFonts w:asciiTheme="minorHAnsi" w:hAnsiTheme="minorHAnsi" w:cstheme="minorHAnsi"/>
        </w:rPr>
        <w:t xml:space="preserve"> Act (OAPA 1861)</w:t>
      </w:r>
      <w:r w:rsidRPr="00A12007">
        <w:rPr>
          <w:rFonts w:asciiTheme="minorHAnsi" w:hAnsiTheme="minorHAnsi" w:cstheme="minorHAnsi"/>
        </w:rPr>
        <w:t xml:space="preserve"> is that</w:t>
      </w:r>
      <w:r w:rsidR="00D35E4B" w:rsidRPr="00A12007">
        <w:rPr>
          <w:rFonts w:asciiTheme="minorHAnsi" w:hAnsiTheme="minorHAnsi" w:cstheme="minorHAnsi"/>
        </w:rPr>
        <w:t xml:space="preserve"> it includes offences that are not present in a modern society. The</w:t>
      </w:r>
      <w:r w:rsidRPr="00A12007">
        <w:rPr>
          <w:rFonts w:asciiTheme="minorHAnsi" w:hAnsiTheme="minorHAnsi" w:cstheme="minorHAnsi"/>
        </w:rPr>
        <w:t xml:space="preserve">se </w:t>
      </w:r>
      <w:r w:rsidR="00D35E4B" w:rsidRPr="00A12007">
        <w:rPr>
          <w:rFonts w:asciiTheme="minorHAnsi" w:hAnsiTheme="minorHAnsi" w:cstheme="minorHAnsi"/>
        </w:rPr>
        <w:t>sections are no longer relevant in the current implementing of law</w:t>
      </w:r>
      <w:r w:rsidRPr="00A12007">
        <w:rPr>
          <w:rFonts w:asciiTheme="minorHAnsi" w:hAnsiTheme="minorHAnsi" w:cstheme="minorHAnsi"/>
        </w:rPr>
        <w:t>;</w:t>
      </w:r>
      <w:r w:rsidR="00D35E4B" w:rsidRPr="00A12007">
        <w:rPr>
          <w:rFonts w:asciiTheme="minorHAnsi" w:hAnsiTheme="minorHAnsi" w:cstheme="minorHAnsi"/>
        </w:rPr>
        <w:t xml:space="preserve"> this can be seen in s.40 (OAPA 1861) assaults on seaman and s.17 (OAPA 1861) impeding a person endeavouring to save themselves from a shipwreck. It is agreed by the majority of legal professional’s that these should be removed (Criminal Bar Association 2015). Not only does the current law include now irrelevant crimes but being that it was written over 160 years ago it excludes many issues which a modern society faces as they were not present at the </w:t>
      </w:r>
      <w:r w:rsidR="00D35E4B" w:rsidRPr="00A12007">
        <w:rPr>
          <w:rFonts w:asciiTheme="minorHAnsi" w:hAnsiTheme="minorHAnsi" w:cstheme="minorHAnsi"/>
        </w:rPr>
        <w:lastRenderedPageBreak/>
        <w:t xml:space="preserve">time it was codified. This includes but is not limited to any use of technology, medical advancements which make the results of crimes less detrimental and psychiatric harm. An example of this would include the use of the word ‘bodily harm’. The general person would apply this term to mean physical harm. Legal professionals have had to modernise this terminology to allow the law to be applied under section 20 of the Act (OAPA 1961) to crimes which cause mental harm to the victim, a harm which wouldn’t have been perceived with the same importance in 1861 as today (Lord Steyn 1997) (R V Ireland and Burstow 1997 and R v Chan-Fook 1994). It should be noted here that this interpretation of psychiatric harm is reliant on the victim having an imminent threat of harm against them (R V Constanza 1997). The fear of a threat is not enough, and the specific wording used when the </w:t>
      </w:r>
      <w:r w:rsidR="00650E0A">
        <w:rPr>
          <w:rFonts w:asciiTheme="minorHAnsi" w:hAnsiTheme="minorHAnsi" w:cstheme="minorHAnsi"/>
        </w:rPr>
        <w:t>defendant</w:t>
      </w:r>
      <w:r w:rsidR="00D35E4B" w:rsidRPr="00A12007">
        <w:rPr>
          <w:rFonts w:asciiTheme="minorHAnsi" w:hAnsiTheme="minorHAnsi" w:cstheme="minorHAnsi"/>
        </w:rPr>
        <w:t xml:space="preserve"> is threatening the victim with violence, or potential violence, can be used as their defence (Tuberville v Savage 1669). In some </w:t>
      </w:r>
      <w:proofErr w:type="gramStart"/>
      <w:r w:rsidR="00D35E4B" w:rsidRPr="00A12007">
        <w:rPr>
          <w:rFonts w:asciiTheme="minorHAnsi" w:hAnsiTheme="minorHAnsi" w:cstheme="minorHAnsi"/>
        </w:rPr>
        <w:t>cases</w:t>
      </w:r>
      <w:proofErr w:type="gramEnd"/>
      <w:r w:rsidR="00D35E4B" w:rsidRPr="00A12007">
        <w:rPr>
          <w:rFonts w:asciiTheme="minorHAnsi" w:hAnsiTheme="minorHAnsi" w:cstheme="minorHAnsi"/>
        </w:rPr>
        <w:t xml:space="preserve"> it is more clear cut that others for example R v Roberts (1971). The Law Commission (2015) calls for modernisation of the current Act (OAPA 1861) as they criticise the need for the courts to use ‘creative interpretation’ to apply punishments to modern issues that were either not in existence at the time of creation or not at the forefront of the legal system at that time. The Rt Hon the Lord Thomas of </w:t>
      </w:r>
      <w:proofErr w:type="spellStart"/>
      <w:r w:rsidR="00D35E4B" w:rsidRPr="00A12007">
        <w:rPr>
          <w:rFonts w:asciiTheme="minorHAnsi" w:hAnsiTheme="minorHAnsi" w:cstheme="minorHAnsi"/>
        </w:rPr>
        <w:t>Cwmgiedd</w:t>
      </w:r>
      <w:proofErr w:type="spellEnd"/>
      <w:r w:rsidR="00D35E4B" w:rsidRPr="00A12007">
        <w:rPr>
          <w:rFonts w:asciiTheme="minorHAnsi" w:hAnsiTheme="minorHAnsi" w:cstheme="minorHAnsi"/>
        </w:rPr>
        <w:t xml:space="preserve"> (2015) supports the call for reform due to the Act (OAPA 1861) not ‘adequately capturing’ the new crimes present in a modern society. A further example here would be DDP v Smith (2006) where it was notes that the phrase ‘bodily harm’ isn’t limited to ‘skin, flesh and </w:t>
      </w:r>
      <w:proofErr w:type="gramStart"/>
      <w:r w:rsidR="00D35E4B" w:rsidRPr="00A12007">
        <w:rPr>
          <w:rFonts w:asciiTheme="minorHAnsi" w:hAnsiTheme="minorHAnsi" w:cstheme="minorHAnsi"/>
        </w:rPr>
        <w:t>bones’</w:t>
      </w:r>
      <w:proofErr w:type="gramEnd"/>
      <w:r w:rsidR="00D35E4B" w:rsidRPr="00A12007">
        <w:rPr>
          <w:rFonts w:asciiTheme="minorHAnsi" w:hAnsiTheme="minorHAnsi" w:cstheme="minorHAnsi"/>
        </w:rPr>
        <w:t xml:space="preserve">. </w:t>
      </w:r>
    </w:p>
    <w:p w14:paraId="26C8D0CA" w14:textId="1FEB52B4" w:rsidR="00CF378E" w:rsidRPr="00A12007" w:rsidRDefault="006A699A" w:rsidP="00A12007">
      <w:pPr>
        <w:spacing w:line="360" w:lineRule="auto"/>
        <w:rPr>
          <w:rFonts w:asciiTheme="minorHAnsi" w:hAnsiTheme="minorHAnsi" w:cstheme="minorHAnsi"/>
        </w:rPr>
      </w:pPr>
    </w:p>
    <w:p w14:paraId="0EF25526" w14:textId="6AFB188F" w:rsidR="00D35E4B" w:rsidRPr="00A12007" w:rsidRDefault="00D35E4B" w:rsidP="00A12007">
      <w:pPr>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As it is argued that the Act (OAPA 1861) which stipulates the law on non-fatal offences would have already been outdated in 1861 the terminology used is heavily criticised as be</w:t>
      </w:r>
      <w:r w:rsidR="005739D0" w:rsidRPr="00A12007">
        <w:rPr>
          <w:rFonts w:asciiTheme="minorHAnsi" w:hAnsiTheme="minorHAnsi" w:cstheme="minorHAnsi"/>
          <w:color w:val="000000" w:themeColor="text1"/>
        </w:rPr>
        <w:t>ing</w:t>
      </w:r>
      <w:r w:rsidRPr="00A12007">
        <w:rPr>
          <w:rFonts w:asciiTheme="minorHAnsi" w:hAnsiTheme="minorHAnsi" w:cstheme="minorHAnsi"/>
          <w:color w:val="000000" w:themeColor="text1"/>
        </w:rPr>
        <w:t xml:space="preserve"> confusing and archaic (T</w:t>
      </w:r>
      <w:r w:rsidRPr="00A12007">
        <w:rPr>
          <w:rFonts w:asciiTheme="minorHAnsi" w:hAnsiTheme="minorHAnsi" w:cstheme="minorHAnsi"/>
        </w:rPr>
        <w:t xml:space="preserve">he Law commission </w:t>
      </w:r>
      <w:r w:rsidR="005739D0" w:rsidRPr="00A12007">
        <w:rPr>
          <w:rFonts w:asciiTheme="minorHAnsi" w:hAnsiTheme="minorHAnsi" w:cstheme="minorHAnsi"/>
        </w:rPr>
        <w:t>2</w:t>
      </w:r>
      <w:r w:rsidRPr="00A12007">
        <w:rPr>
          <w:rFonts w:asciiTheme="minorHAnsi" w:hAnsiTheme="minorHAnsi" w:cstheme="minorHAnsi"/>
        </w:rPr>
        <w:t>015). Terminology used throughout the Act (OAPA 1861) is ‘picked apart’ by critics and complained at for being redundant in its original meaning and that new meanings have had to be found through case law (Atherton 2015). There are many examples of this; including but not limited to words such as</w:t>
      </w:r>
      <w:r w:rsidRPr="00A12007">
        <w:rPr>
          <w:rFonts w:asciiTheme="minorHAnsi" w:hAnsiTheme="minorHAnsi" w:cstheme="minorHAnsi"/>
          <w:color w:val="000000" w:themeColor="text1"/>
        </w:rPr>
        <w:t xml:space="preserve"> ‘maliciously’ which is used in sections 20 and 47 </w:t>
      </w:r>
      <w:r w:rsidR="006A699A">
        <w:rPr>
          <w:rFonts w:asciiTheme="minorHAnsi" w:hAnsiTheme="minorHAnsi" w:cstheme="minorHAnsi"/>
          <w:color w:val="000000" w:themeColor="text1"/>
        </w:rPr>
        <w:t xml:space="preserve">(OAPA 1861) </w:t>
      </w:r>
      <w:r w:rsidRPr="00A12007">
        <w:rPr>
          <w:rFonts w:asciiTheme="minorHAnsi" w:hAnsiTheme="minorHAnsi" w:cstheme="minorHAnsi"/>
          <w:color w:val="000000" w:themeColor="text1"/>
        </w:rPr>
        <w:t>and has been interpreted to mean ‘reckless’, something which is not the intended definition at the time the original act was created. The term has also been misinterpreted and has resulted in convictions being quashed (</w:t>
      </w:r>
      <w:r w:rsidRPr="00A12007">
        <w:rPr>
          <w:rFonts w:asciiTheme="minorHAnsi" w:hAnsiTheme="minorHAnsi" w:cstheme="minorHAnsi"/>
          <w:color w:val="000000" w:themeColor="text1"/>
          <w:kern w:val="36"/>
        </w:rPr>
        <w:t>R v Cunningham 1957)</w:t>
      </w:r>
      <w:r w:rsidRPr="00A12007">
        <w:rPr>
          <w:rFonts w:asciiTheme="minorHAnsi" w:hAnsiTheme="minorHAnsi" w:cstheme="minorHAnsi"/>
          <w:color w:val="000000" w:themeColor="text1"/>
        </w:rPr>
        <w:t xml:space="preserve">. Without specific definitions of the words that are used in the Act (OAPA 1861) being included in the Act it has allowed for a continuous </w:t>
      </w:r>
      <w:r w:rsidRPr="00A12007">
        <w:rPr>
          <w:rFonts w:asciiTheme="minorHAnsi" w:hAnsiTheme="minorHAnsi" w:cstheme="minorHAnsi"/>
          <w:color w:val="000000" w:themeColor="text1"/>
        </w:rPr>
        <w:lastRenderedPageBreak/>
        <w:t xml:space="preserve">reinterpretation by the courts. This can be seen with the terminology of ‘inflict’ and </w:t>
      </w:r>
      <w:proofErr w:type="spellStart"/>
      <w:r w:rsidRPr="00A12007">
        <w:rPr>
          <w:rFonts w:asciiTheme="minorHAnsi" w:hAnsiTheme="minorHAnsi" w:cstheme="minorHAnsi"/>
          <w:color w:val="000000" w:themeColor="text1"/>
        </w:rPr>
        <w:t>‘cause</w:t>
      </w:r>
      <w:proofErr w:type="spellEnd"/>
      <w:r w:rsidRPr="00A12007">
        <w:rPr>
          <w:rFonts w:asciiTheme="minorHAnsi" w:hAnsiTheme="minorHAnsi" w:cstheme="minorHAnsi"/>
          <w:color w:val="000000" w:themeColor="text1"/>
        </w:rPr>
        <w:t xml:space="preserve">’ in s.20 and s.18 in relation to GBH (OAPA 1861). </w:t>
      </w:r>
      <w:r w:rsidRPr="00A12007">
        <w:rPr>
          <w:rFonts w:asciiTheme="minorHAnsi" w:hAnsiTheme="minorHAnsi" w:cstheme="minorHAnsi"/>
          <w:lang w:val="en-US"/>
        </w:rPr>
        <w:t xml:space="preserve">Over the years the difference between the wordings has become narrower with the courts </w:t>
      </w:r>
      <w:r w:rsidR="004B2AA8" w:rsidRPr="00A12007">
        <w:rPr>
          <w:rFonts w:asciiTheme="minorHAnsi" w:hAnsiTheme="minorHAnsi" w:cstheme="minorHAnsi"/>
          <w:lang w:val="en-US"/>
        </w:rPr>
        <w:t>reinterpreting</w:t>
      </w:r>
      <w:r w:rsidRPr="00A12007">
        <w:rPr>
          <w:rFonts w:asciiTheme="minorHAnsi" w:hAnsiTheme="minorHAnsi" w:cstheme="minorHAnsi"/>
          <w:lang w:val="en-US"/>
        </w:rPr>
        <w:t xml:space="preserve"> them. Originally it was seen that ‘inflict’ would require direct force (Clarence 1888). This terminology was reinterpreted just a year later in R V Martin (1889) to mean that no direct force was required. It was then decided in R V Ireland (1997) that actually the words ‘inflict</w:t>
      </w:r>
      <w:proofErr w:type="gramStart"/>
      <w:r w:rsidRPr="00A12007">
        <w:rPr>
          <w:rFonts w:asciiTheme="minorHAnsi" w:hAnsiTheme="minorHAnsi" w:cstheme="minorHAnsi"/>
          <w:lang w:val="en-US"/>
        </w:rPr>
        <w:t>’</w:t>
      </w:r>
      <w:proofErr w:type="gramEnd"/>
      <w:r w:rsidRPr="00A12007">
        <w:rPr>
          <w:rFonts w:asciiTheme="minorHAnsi" w:hAnsiTheme="minorHAnsi" w:cstheme="minorHAnsi"/>
          <w:lang w:val="en-US"/>
        </w:rPr>
        <w:t xml:space="preserve"> and </w:t>
      </w:r>
      <w:proofErr w:type="spellStart"/>
      <w:r w:rsidRPr="00A12007">
        <w:rPr>
          <w:rFonts w:asciiTheme="minorHAnsi" w:hAnsiTheme="minorHAnsi" w:cstheme="minorHAnsi"/>
          <w:lang w:val="en-US"/>
        </w:rPr>
        <w:t>‘cause</w:t>
      </w:r>
      <w:proofErr w:type="spellEnd"/>
      <w:r w:rsidRPr="00A12007">
        <w:rPr>
          <w:rFonts w:asciiTheme="minorHAnsi" w:hAnsiTheme="minorHAnsi" w:cstheme="minorHAnsi"/>
          <w:lang w:val="en-US"/>
        </w:rPr>
        <w:t xml:space="preserve">’ are interchangeable. With no specific descriptions of how the terminology should be understood or applied it requires the legal professionals implementing the law to use ‘creative interpretation’. </w:t>
      </w:r>
      <w:r w:rsidR="00424FA2" w:rsidRPr="00A12007">
        <w:rPr>
          <w:rFonts w:asciiTheme="minorHAnsi" w:hAnsiTheme="minorHAnsi" w:cstheme="minorHAnsi"/>
          <w:lang w:val="en-US"/>
        </w:rPr>
        <w:t>The use of continued reinterpretation can also be seen in relation to the actus reus for assault. It was established through Constanza (1997) that words can amount to assault but in line with the terminology and description of the law in the Act (</w:t>
      </w:r>
      <w:r w:rsidR="00424FA2" w:rsidRPr="006A699A">
        <w:rPr>
          <w:rFonts w:asciiTheme="minorHAnsi" w:hAnsiTheme="minorHAnsi" w:cstheme="minorHAnsi"/>
          <w:color w:val="000000" w:themeColor="text1"/>
          <w:lang w:val="en-US"/>
        </w:rPr>
        <w:t xml:space="preserve">OAPA 1861) that was not intended to be the use of the law in its original form as seen in </w:t>
      </w:r>
      <w:r w:rsidR="00424FA2" w:rsidRPr="006A699A">
        <w:rPr>
          <w:rFonts w:asciiTheme="minorHAnsi" w:hAnsiTheme="minorHAnsi" w:cstheme="minorHAnsi"/>
          <w:color w:val="000000" w:themeColor="text1"/>
        </w:rPr>
        <w:t>R v Meade and Belt (1823).</w:t>
      </w:r>
      <w:r w:rsidRPr="006A699A">
        <w:rPr>
          <w:rFonts w:asciiTheme="minorHAnsi" w:hAnsiTheme="minorHAnsi" w:cstheme="minorHAnsi"/>
          <w:color w:val="000000" w:themeColor="text1"/>
          <w:lang w:val="en-US"/>
        </w:rPr>
        <w:t xml:space="preserve">The </w:t>
      </w:r>
      <w:r w:rsidRPr="00A12007">
        <w:rPr>
          <w:rFonts w:asciiTheme="minorHAnsi" w:hAnsiTheme="minorHAnsi" w:cstheme="minorHAnsi"/>
          <w:lang w:val="en-US"/>
        </w:rPr>
        <w:t xml:space="preserve">Criminal Bar Association (2015) uses </w:t>
      </w:r>
      <w:r w:rsidR="006A699A">
        <w:rPr>
          <w:rFonts w:asciiTheme="minorHAnsi" w:hAnsiTheme="minorHAnsi" w:cstheme="minorHAnsi"/>
          <w:lang w:val="en-US"/>
        </w:rPr>
        <w:t>these examples of modernization</w:t>
      </w:r>
      <w:r w:rsidRPr="00A12007">
        <w:rPr>
          <w:rFonts w:asciiTheme="minorHAnsi" w:hAnsiTheme="minorHAnsi" w:cstheme="minorHAnsi"/>
          <w:lang w:val="en-US"/>
        </w:rPr>
        <w:t xml:space="preserve"> to support their argument that a full reform of the current law on non-fatal offences is not needed</w:t>
      </w:r>
      <w:r w:rsidR="006A699A">
        <w:rPr>
          <w:rFonts w:asciiTheme="minorHAnsi" w:hAnsiTheme="minorHAnsi" w:cstheme="minorHAnsi"/>
          <w:lang w:val="en-US"/>
        </w:rPr>
        <w:t>,</w:t>
      </w:r>
      <w:r w:rsidRPr="00A12007">
        <w:rPr>
          <w:rFonts w:asciiTheme="minorHAnsi" w:hAnsiTheme="minorHAnsi" w:cstheme="minorHAnsi"/>
          <w:lang w:val="en-US"/>
        </w:rPr>
        <w:t xml:space="preserve"> </w:t>
      </w:r>
      <w:r w:rsidR="006A699A">
        <w:rPr>
          <w:rFonts w:asciiTheme="minorHAnsi" w:hAnsiTheme="minorHAnsi" w:cstheme="minorHAnsi"/>
          <w:lang w:val="en-US"/>
        </w:rPr>
        <w:t>they argue the</w:t>
      </w:r>
      <w:r w:rsidRPr="00A12007">
        <w:rPr>
          <w:rFonts w:asciiTheme="minorHAnsi" w:hAnsiTheme="minorHAnsi" w:cstheme="minorHAnsi"/>
          <w:lang w:val="en-US"/>
        </w:rPr>
        <w:t xml:space="preserve"> courts are able to continuously modernize the terminology through case law to be relevant in the present time. Along with the Crown Prosecution Services (2020) who set out charging standards for crimes to ensure the correct level title is given to fit the crime, intent and force used so crimes are charged according to their meaning in a modern time. </w:t>
      </w:r>
      <w:proofErr w:type="gramStart"/>
      <w:r w:rsidRPr="00A12007">
        <w:rPr>
          <w:rFonts w:asciiTheme="minorHAnsi" w:hAnsiTheme="minorHAnsi" w:cstheme="minorHAnsi"/>
          <w:lang w:val="en-US"/>
        </w:rPr>
        <w:t>Furthermore</w:t>
      </w:r>
      <w:proofErr w:type="gramEnd"/>
      <w:r w:rsidRPr="00A12007">
        <w:rPr>
          <w:rFonts w:asciiTheme="minorHAnsi" w:hAnsiTheme="minorHAnsi" w:cstheme="minorHAnsi"/>
          <w:lang w:val="en-US"/>
        </w:rPr>
        <w:t xml:space="preserve"> the terminology used in the Act (OAPA 1861) is not only argued as being outdated but also redundant</w:t>
      </w:r>
      <w:r w:rsidR="005739D0" w:rsidRPr="00A12007">
        <w:rPr>
          <w:rFonts w:asciiTheme="minorHAnsi" w:hAnsiTheme="minorHAnsi" w:cstheme="minorHAnsi"/>
          <w:lang w:val="en-US"/>
        </w:rPr>
        <w:t xml:space="preserve"> in some areas</w:t>
      </w:r>
      <w:r w:rsidRPr="00A12007">
        <w:rPr>
          <w:rFonts w:asciiTheme="minorHAnsi" w:hAnsiTheme="minorHAnsi" w:cstheme="minorHAnsi"/>
          <w:lang w:val="en-US"/>
        </w:rPr>
        <w:t xml:space="preserve">. </w:t>
      </w:r>
      <w:r w:rsidRPr="00A12007">
        <w:rPr>
          <w:rFonts w:asciiTheme="minorHAnsi" w:hAnsiTheme="minorHAnsi" w:cstheme="minorHAnsi"/>
        </w:rPr>
        <w:t>Some of the terminology simply does not apply in the same context it once did. An example of this would be the</w:t>
      </w:r>
      <w:r w:rsidRPr="00A12007">
        <w:rPr>
          <w:rFonts w:asciiTheme="minorHAnsi" w:hAnsiTheme="minorHAnsi" w:cstheme="minorHAnsi"/>
          <w:color w:val="000000" w:themeColor="text1"/>
        </w:rPr>
        <w:t xml:space="preserve"> term ‘wound’. This is not defined in the Act (OAPA 1861</w:t>
      </w:r>
      <w:proofErr w:type="gramStart"/>
      <w:r w:rsidRPr="00A12007">
        <w:rPr>
          <w:rFonts w:asciiTheme="minorHAnsi" w:hAnsiTheme="minorHAnsi" w:cstheme="minorHAnsi"/>
          <w:color w:val="000000" w:themeColor="text1"/>
        </w:rPr>
        <w:t>)</w:t>
      </w:r>
      <w:proofErr w:type="gramEnd"/>
      <w:r w:rsidRPr="00A12007">
        <w:rPr>
          <w:rFonts w:asciiTheme="minorHAnsi" w:hAnsiTheme="minorHAnsi" w:cstheme="minorHAnsi"/>
          <w:color w:val="000000" w:themeColor="text1"/>
        </w:rPr>
        <w:t xml:space="preserve"> but it is through case law. </w:t>
      </w:r>
      <w:r w:rsidRPr="00A12007">
        <w:rPr>
          <w:rFonts w:asciiTheme="minorHAnsi" w:hAnsiTheme="minorHAnsi" w:cstheme="minorHAnsi"/>
        </w:rPr>
        <w:t xml:space="preserve">JCC vs Eisenhower (1984) </w:t>
      </w:r>
      <w:r w:rsidRPr="00A12007">
        <w:rPr>
          <w:rFonts w:asciiTheme="minorHAnsi" w:hAnsiTheme="minorHAnsi" w:cstheme="minorHAnsi"/>
          <w:color w:val="000000" w:themeColor="text1"/>
        </w:rPr>
        <w:t xml:space="preserve">defines the term as </w:t>
      </w:r>
      <w:r w:rsidRPr="00A12007">
        <w:rPr>
          <w:rFonts w:asciiTheme="minorHAnsi" w:hAnsiTheme="minorHAnsi" w:cstheme="minorHAnsi"/>
        </w:rPr>
        <w:t xml:space="preserve">causing a break in the surface of the victim’s skin. </w:t>
      </w:r>
      <w:r w:rsidRPr="00A12007">
        <w:rPr>
          <w:rFonts w:asciiTheme="minorHAnsi" w:hAnsiTheme="minorHAnsi" w:cstheme="minorHAnsi"/>
          <w:color w:val="000000" w:themeColor="text1"/>
        </w:rPr>
        <w:t>In 1861 a break in the skin would have been lethal but with the medical treatment in a modern society many wounds are easily treatable and would cause no permanent damage making the causing offence less serious that at the time the law was created</w:t>
      </w:r>
      <w:r w:rsidR="005739D0" w:rsidRPr="00A12007">
        <w:rPr>
          <w:rFonts w:asciiTheme="minorHAnsi" w:hAnsiTheme="minorHAnsi" w:cstheme="minorHAnsi"/>
          <w:color w:val="000000" w:themeColor="text1"/>
        </w:rPr>
        <w:t xml:space="preserve"> and thus the charging standards more confusing if not creatively interpreted to consider modern advancements.</w:t>
      </w:r>
    </w:p>
    <w:p w14:paraId="21D07585" w14:textId="01B95A4A" w:rsidR="00D35E4B" w:rsidRPr="00A12007" w:rsidRDefault="00D35E4B" w:rsidP="00A12007">
      <w:pPr>
        <w:spacing w:line="360" w:lineRule="auto"/>
        <w:rPr>
          <w:rFonts w:asciiTheme="minorHAnsi" w:hAnsiTheme="minorHAnsi" w:cstheme="minorHAnsi"/>
        </w:rPr>
      </w:pPr>
    </w:p>
    <w:p w14:paraId="5387AA1D" w14:textId="751683AB" w:rsidR="00D35E4B" w:rsidRPr="00A12007" w:rsidRDefault="00D35E4B" w:rsidP="00A12007">
      <w:pPr>
        <w:spacing w:line="360" w:lineRule="auto"/>
        <w:rPr>
          <w:rFonts w:asciiTheme="minorHAnsi" w:hAnsiTheme="minorHAnsi" w:cstheme="minorHAnsi"/>
        </w:rPr>
      </w:pPr>
      <w:r w:rsidRPr="00A12007">
        <w:rPr>
          <w:rFonts w:asciiTheme="minorHAnsi" w:hAnsiTheme="minorHAnsi" w:cstheme="minorHAnsi"/>
          <w:lang w:val="en-US"/>
        </w:rPr>
        <w:t xml:space="preserve">The OAPA (1861) is critiqued as having an unclear hierarchy of offences (The Law Commissions 2015). </w:t>
      </w:r>
      <w:r w:rsidRPr="00A12007">
        <w:rPr>
          <w:rFonts w:asciiTheme="minorHAnsi" w:hAnsiTheme="minorHAnsi" w:cstheme="minorHAnsi"/>
        </w:rPr>
        <w:t xml:space="preserve">This can be seen between section 20 of the act (OAPA 2861) and section 47 of the act (OAPA 1861). Section 20 </w:t>
      </w:r>
      <w:r w:rsidR="006A699A">
        <w:rPr>
          <w:rFonts w:asciiTheme="minorHAnsi" w:hAnsiTheme="minorHAnsi" w:cstheme="minorHAnsi"/>
        </w:rPr>
        <w:t xml:space="preserve">(OAPA 1861) </w:t>
      </w:r>
      <w:r w:rsidRPr="00A12007">
        <w:rPr>
          <w:rFonts w:asciiTheme="minorHAnsi" w:hAnsiTheme="minorHAnsi" w:cstheme="minorHAnsi"/>
        </w:rPr>
        <w:t xml:space="preserve">has GBH and wounding resulting </w:t>
      </w:r>
      <w:r w:rsidRPr="00A12007">
        <w:rPr>
          <w:rFonts w:asciiTheme="minorHAnsi" w:hAnsiTheme="minorHAnsi" w:cstheme="minorHAnsi"/>
        </w:rPr>
        <w:lastRenderedPageBreak/>
        <w:t>in a maximum penalty of 5 years imprisonment and Section 47</w:t>
      </w:r>
      <w:r w:rsidR="006A699A">
        <w:rPr>
          <w:rFonts w:asciiTheme="minorHAnsi" w:hAnsiTheme="minorHAnsi" w:cstheme="minorHAnsi"/>
        </w:rPr>
        <w:t xml:space="preserve"> </w:t>
      </w:r>
      <w:r w:rsidR="006A699A">
        <w:rPr>
          <w:rFonts w:asciiTheme="minorHAnsi" w:hAnsiTheme="minorHAnsi" w:cstheme="minorHAnsi"/>
        </w:rPr>
        <w:t>(OAPA 1861)</w:t>
      </w:r>
      <w:r w:rsidRPr="00A12007">
        <w:rPr>
          <w:rFonts w:asciiTheme="minorHAnsi" w:hAnsiTheme="minorHAnsi" w:cstheme="minorHAnsi"/>
        </w:rPr>
        <w:t xml:space="preserve"> has ABH with the same maximum penalty.  The criticism here is that the section 20 </w:t>
      </w:r>
      <w:r w:rsidR="006A699A">
        <w:rPr>
          <w:rFonts w:asciiTheme="minorHAnsi" w:hAnsiTheme="minorHAnsi" w:cstheme="minorHAnsi"/>
        </w:rPr>
        <w:t xml:space="preserve">(OAPA 1861) </w:t>
      </w:r>
      <w:r w:rsidRPr="00A12007">
        <w:rPr>
          <w:rFonts w:asciiTheme="minorHAnsi" w:hAnsiTheme="minorHAnsi" w:cstheme="minorHAnsi"/>
        </w:rPr>
        <w:t xml:space="preserve">offence carries a more serious crime, yet the maximum sentence is exactly the same. Section 18 </w:t>
      </w:r>
      <w:r w:rsidR="006A699A">
        <w:rPr>
          <w:rFonts w:asciiTheme="minorHAnsi" w:hAnsiTheme="minorHAnsi" w:cstheme="minorHAnsi"/>
        </w:rPr>
        <w:t xml:space="preserve">(OAPA 1861) </w:t>
      </w:r>
      <w:r w:rsidRPr="00A12007">
        <w:rPr>
          <w:rFonts w:asciiTheme="minorHAnsi" w:hAnsiTheme="minorHAnsi" w:cstheme="minorHAnsi"/>
        </w:rPr>
        <w:t xml:space="preserve">of the act also covers GBH and wounding, the difference between the section 20 </w:t>
      </w:r>
      <w:r w:rsidR="006A699A">
        <w:rPr>
          <w:rFonts w:asciiTheme="minorHAnsi" w:hAnsiTheme="minorHAnsi" w:cstheme="minorHAnsi"/>
        </w:rPr>
        <w:t xml:space="preserve">(OAPA 1861) </w:t>
      </w:r>
      <w:r w:rsidRPr="00A12007">
        <w:rPr>
          <w:rFonts w:asciiTheme="minorHAnsi" w:hAnsiTheme="minorHAnsi" w:cstheme="minorHAnsi"/>
        </w:rPr>
        <w:t xml:space="preserve">and 18 </w:t>
      </w:r>
      <w:r w:rsidR="006A699A">
        <w:rPr>
          <w:rFonts w:asciiTheme="minorHAnsi" w:hAnsiTheme="minorHAnsi" w:cstheme="minorHAnsi"/>
        </w:rPr>
        <w:t xml:space="preserve">(OAPA 1861) </w:t>
      </w:r>
      <w:r w:rsidRPr="00A12007">
        <w:rPr>
          <w:rFonts w:asciiTheme="minorHAnsi" w:hAnsiTheme="minorHAnsi" w:cstheme="minorHAnsi"/>
        </w:rPr>
        <w:t xml:space="preserve">is that for section 18 </w:t>
      </w:r>
      <w:r w:rsidR="006A699A">
        <w:rPr>
          <w:rFonts w:asciiTheme="minorHAnsi" w:hAnsiTheme="minorHAnsi" w:cstheme="minorHAnsi"/>
        </w:rPr>
        <w:t xml:space="preserve">(OAPA 1861) </w:t>
      </w:r>
      <w:r w:rsidRPr="00A12007">
        <w:rPr>
          <w:rFonts w:asciiTheme="minorHAnsi" w:hAnsiTheme="minorHAnsi" w:cstheme="minorHAnsi"/>
        </w:rPr>
        <w:t xml:space="preserve">there must mens reus present. In the home Office Draft Bill in 1988 it stated a more logical hierarchy be put in place. </w:t>
      </w:r>
      <w:r w:rsidRPr="00A12007">
        <w:rPr>
          <w:rFonts w:asciiTheme="minorHAnsi" w:hAnsiTheme="minorHAnsi" w:cstheme="minorHAnsi"/>
          <w:lang w:val="en-US"/>
        </w:rPr>
        <w:t xml:space="preserve">The Law Commission (2015) suggestion a new ladder of offences is in-line with this argument. They put forward a 6-tier ladder which cover from threatened assault to intentionally causing serious injury. This would overcome some issues of advancements in terminology for example ‘wounding’. Along the definition of wounding a mere pin prick could break the skin, a defendant be found guilty of wounding which falls under GBH. The proposed new ladder prevents shortfalls like this by specifying ‘serious injury’ and ‘force’ (Child 2017). </w:t>
      </w:r>
      <w:r w:rsidRPr="00A12007">
        <w:rPr>
          <w:rFonts w:asciiTheme="minorHAnsi" w:hAnsiTheme="minorHAnsi" w:cstheme="minorHAnsi"/>
        </w:rPr>
        <w:t xml:space="preserve">However, the Criminal Bar Association (2015) disagrees with this, they believe that a restructuring of the offences would be a waste of parliamentary time as the legal system has been applying the current law successfully for years. </w:t>
      </w:r>
      <w:r w:rsidRPr="00A12007">
        <w:rPr>
          <w:rFonts w:asciiTheme="minorHAnsi" w:hAnsiTheme="minorHAnsi" w:cstheme="minorHAnsi"/>
          <w:lang w:val="en-US"/>
        </w:rPr>
        <w:t>Gardner (1994) is in agreement with the criminal bars point here as he notes that the hierarchy of offences offered by the Law Commissions report (2015) offers too narrow definitions</w:t>
      </w:r>
      <w:r w:rsidR="005739D0" w:rsidRPr="00A12007">
        <w:rPr>
          <w:rFonts w:asciiTheme="minorHAnsi" w:hAnsiTheme="minorHAnsi" w:cstheme="minorHAnsi"/>
          <w:lang w:val="en-US"/>
        </w:rPr>
        <w:t xml:space="preserve"> and th</w:t>
      </w:r>
      <w:r w:rsidRPr="00A12007">
        <w:rPr>
          <w:rFonts w:asciiTheme="minorHAnsi" w:hAnsiTheme="minorHAnsi" w:cstheme="minorHAnsi"/>
          <w:lang w:val="en-US"/>
        </w:rPr>
        <w:t xml:space="preserve">at the current law is obvious in its seriousness. </w:t>
      </w:r>
      <w:r w:rsidR="00B74683" w:rsidRPr="00A12007">
        <w:rPr>
          <w:rFonts w:asciiTheme="minorHAnsi" w:hAnsiTheme="minorHAnsi" w:cstheme="minorHAnsi"/>
          <w:lang w:val="en-US"/>
        </w:rPr>
        <w:t>Hoarde</w:t>
      </w:r>
      <w:r w:rsidR="00B728FA" w:rsidRPr="00A12007">
        <w:rPr>
          <w:rFonts w:asciiTheme="minorHAnsi" w:hAnsiTheme="minorHAnsi" w:cstheme="minorHAnsi"/>
          <w:lang w:val="en-US"/>
        </w:rPr>
        <w:t>r</w:t>
      </w:r>
      <w:r w:rsidR="00B74683" w:rsidRPr="00A12007">
        <w:rPr>
          <w:rFonts w:asciiTheme="minorHAnsi" w:hAnsiTheme="minorHAnsi" w:cstheme="minorHAnsi"/>
          <w:lang w:val="en-US"/>
        </w:rPr>
        <w:t xml:space="preserve"> (1994</w:t>
      </w:r>
      <w:r w:rsidR="00B728FA" w:rsidRPr="00A12007">
        <w:rPr>
          <w:rFonts w:asciiTheme="minorHAnsi" w:hAnsiTheme="minorHAnsi" w:cstheme="minorHAnsi"/>
          <w:lang w:val="en-US"/>
        </w:rPr>
        <w:t>, Cited in Herring 2018</w:t>
      </w:r>
      <w:r w:rsidR="00B74683" w:rsidRPr="00A12007">
        <w:rPr>
          <w:rFonts w:asciiTheme="minorHAnsi" w:hAnsiTheme="minorHAnsi" w:cstheme="minorHAnsi"/>
          <w:lang w:val="en-US"/>
        </w:rPr>
        <w:t xml:space="preserve">) offers an alternative hierarchy using the labeling theory however this receives further </w:t>
      </w:r>
      <w:r w:rsidR="00B728FA" w:rsidRPr="00A12007">
        <w:rPr>
          <w:rFonts w:asciiTheme="minorHAnsi" w:hAnsiTheme="minorHAnsi" w:cstheme="minorHAnsi"/>
          <w:lang w:val="en-US"/>
        </w:rPr>
        <w:t>criticism</w:t>
      </w:r>
      <w:r w:rsidR="00B74683" w:rsidRPr="00A12007">
        <w:rPr>
          <w:rFonts w:asciiTheme="minorHAnsi" w:hAnsiTheme="minorHAnsi" w:cstheme="minorHAnsi"/>
          <w:lang w:val="en-US"/>
        </w:rPr>
        <w:t xml:space="preserve"> that defendants will seek to get their convictions quashed on the technicality of </w:t>
      </w:r>
      <w:r w:rsidR="006A699A">
        <w:rPr>
          <w:rFonts w:asciiTheme="minorHAnsi" w:hAnsiTheme="minorHAnsi" w:cstheme="minorHAnsi"/>
          <w:lang w:val="en-US"/>
        </w:rPr>
        <w:t xml:space="preserve">the </w:t>
      </w:r>
      <w:r w:rsidR="00B74683" w:rsidRPr="00A12007">
        <w:rPr>
          <w:rFonts w:asciiTheme="minorHAnsi" w:hAnsiTheme="minorHAnsi" w:cstheme="minorHAnsi"/>
          <w:lang w:val="en-US"/>
        </w:rPr>
        <w:t xml:space="preserve">terminology used. </w:t>
      </w:r>
    </w:p>
    <w:p w14:paraId="3EC9874C" w14:textId="1695FCC5" w:rsidR="00D35E4B" w:rsidRPr="00A12007" w:rsidRDefault="00D35E4B" w:rsidP="00A12007">
      <w:pPr>
        <w:spacing w:line="360" w:lineRule="auto"/>
        <w:rPr>
          <w:rFonts w:asciiTheme="minorHAnsi" w:hAnsiTheme="minorHAnsi" w:cstheme="minorHAnsi"/>
        </w:rPr>
      </w:pPr>
    </w:p>
    <w:p w14:paraId="4A89182F" w14:textId="06F6BB37" w:rsidR="00D35E4B" w:rsidRPr="00A12007" w:rsidRDefault="00D35E4B" w:rsidP="00A12007">
      <w:pPr>
        <w:pBdr>
          <w:bottom w:val="single" w:sz="6" w:space="1" w:color="auto"/>
        </w:pBdr>
        <w:autoSpaceDE w:val="0"/>
        <w:autoSpaceDN w:val="0"/>
        <w:adjustRightInd w:val="0"/>
        <w:spacing w:line="360" w:lineRule="auto"/>
        <w:rPr>
          <w:rFonts w:asciiTheme="minorHAnsi" w:hAnsiTheme="minorHAnsi" w:cstheme="minorHAnsi"/>
        </w:rPr>
      </w:pPr>
      <w:r w:rsidRPr="00A12007">
        <w:rPr>
          <w:rFonts w:asciiTheme="minorHAnsi" w:hAnsiTheme="minorHAnsi" w:cstheme="minorHAnsi"/>
        </w:rPr>
        <w:t xml:space="preserve">Most legal professionals will agree that reform of the current law is needed to simplify it and make it ‘trap free’ (R v Lynsey 1995). The attempt made by the Law Commissions Report (2015) to offer corrections for the </w:t>
      </w:r>
      <w:proofErr w:type="gramStart"/>
      <w:r w:rsidRPr="00A12007">
        <w:rPr>
          <w:rFonts w:asciiTheme="minorHAnsi" w:hAnsiTheme="minorHAnsi" w:cstheme="minorHAnsi"/>
        </w:rPr>
        <w:t>so called</w:t>
      </w:r>
      <w:proofErr w:type="gramEnd"/>
      <w:r w:rsidRPr="00A12007">
        <w:rPr>
          <w:rFonts w:asciiTheme="minorHAnsi" w:hAnsiTheme="minorHAnsi" w:cstheme="minorHAnsi"/>
        </w:rPr>
        <w:t xml:space="preserve"> short comings in the current law offers valid improvements needed but however it lacks conversation on other more ‘controversial’ areas of the Offence Against the Person Act (1861); it is a good start to answer the call for reform but more work is needed to create a comprehensive reform of the law on Non-fatal offences against the person (Demetriou 2016). It is unclear whether a full reform of the Act (OAPA 1861) will come to fruition</w:t>
      </w:r>
      <w:r w:rsidR="000A79D8" w:rsidRPr="00A12007">
        <w:rPr>
          <w:rFonts w:asciiTheme="minorHAnsi" w:hAnsiTheme="minorHAnsi" w:cstheme="minorHAnsi"/>
        </w:rPr>
        <w:t xml:space="preserve"> as the last attempt at reform was in 2015, 6 years ago</w:t>
      </w:r>
      <w:r w:rsidRPr="00A12007">
        <w:rPr>
          <w:rFonts w:asciiTheme="minorHAnsi" w:hAnsiTheme="minorHAnsi" w:cstheme="minorHAnsi"/>
        </w:rPr>
        <w:t>. Although there is a large amount of support there is also a large wave of support from the legal professionals that the current law should remain the same</w:t>
      </w:r>
      <w:r w:rsidR="000A79D8" w:rsidRPr="00A12007">
        <w:rPr>
          <w:rFonts w:asciiTheme="minorHAnsi" w:hAnsiTheme="minorHAnsi" w:cstheme="minorHAnsi"/>
        </w:rPr>
        <w:t xml:space="preserve"> as it has been successfully </w:t>
      </w:r>
      <w:r w:rsidR="000A79D8" w:rsidRPr="00A12007">
        <w:rPr>
          <w:rFonts w:asciiTheme="minorHAnsi" w:hAnsiTheme="minorHAnsi" w:cstheme="minorHAnsi"/>
        </w:rPr>
        <w:lastRenderedPageBreak/>
        <w:t>applied, interpreted and modernised through case law to remain relevant</w:t>
      </w:r>
      <w:r w:rsidRPr="00A12007">
        <w:rPr>
          <w:rFonts w:asciiTheme="minorHAnsi" w:hAnsiTheme="minorHAnsi" w:cstheme="minorHAnsi"/>
        </w:rPr>
        <w:t>. There is recognition that some areas could be updated but in general a reform on whole is criticised as a waste of time and money (Criminal Bar Association 2015).</w:t>
      </w:r>
    </w:p>
    <w:p w14:paraId="130ECA11" w14:textId="0871AA67" w:rsidR="00D35E4B" w:rsidRPr="00A12007" w:rsidRDefault="00D35E4B" w:rsidP="00A12007">
      <w:pPr>
        <w:spacing w:line="360" w:lineRule="auto"/>
        <w:rPr>
          <w:rFonts w:asciiTheme="minorHAnsi" w:hAnsiTheme="minorHAnsi" w:cstheme="minorHAnsi"/>
        </w:rPr>
      </w:pPr>
    </w:p>
    <w:p w14:paraId="0BA2F768" w14:textId="05F9F6EC" w:rsidR="00D35E4B" w:rsidRPr="00A12007" w:rsidRDefault="00D35E4B" w:rsidP="00A12007">
      <w:pPr>
        <w:spacing w:line="360" w:lineRule="auto"/>
        <w:rPr>
          <w:rFonts w:asciiTheme="minorHAnsi" w:hAnsiTheme="minorHAnsi" w:cstheme="minorHAnsi"/>
        </w:rPr>
      </w:pPr>
    </w:p>
    <w:p w14:paraId="618280AB" w14:textId="483EDDB1" w:rsidR="00D35E4B" w:rsidRPr="00A12007" w:rsidRDefault="00D35E4B" w:rsidP="00A12007">
      <w:pPr>
        <w:spacing w:line="360" w:lineRule="auto"/>
        <w:rPr>
          <w:rFonts w:asciiTheme="minorHAnsi" w:hAnsiTheme="minorHAnsi" w:cstheme="minorHAnsi"/>
          <w:b/>
          <w:bCs/>
        </w:rPr>
      </w:pPr>
      <w:r w:rsidRPr="00A12007">
        <w:rPr>
          <w:rFonts w:asciiTheme="minorHAnsi" w:hAnsiTheme="minorHAnsi" w:cstheme="minorHAnsi"/>
          <w:b/>
          <w:bCs/>
        </w:rPr>
        <w:t>Reference List:</w:t>
      </w:r>
    </w:p>
    <w:p w14:paraId="6074FDEE" w14:textId="77777777" w:rsidR="00A12007" w:rsidRPr="00A12007" w:rsidRDefault="00A12007" w:rsidP="00A12007">
      <w:pPr>
        <w:spacing w:line="360" w:lineRule="auto"/>
        <w:rPr>
          <w:rFonts w:asciiTheme="minorHAnsi" w:hAnsiTheme="minorHAnsi" w:cstheme="minorHAnsi"/>
        </w:rPr>
      </w:pPr>
    </w:p>
    <w:p w14:paraId="033E75FF" w14:textId="77777777" w:rsidR="00A12007" w:rsidRPr="00A12007" w:rsidRDefault="00A12007" w:rsidP="00A12007">
      <w:pPr>
        <w:spacing w:after="139" w:line="360" w:lineRule="auto"/>
        <w:outlineLvl w:val="0"/>
        <w:rPr>
          <w:rFonts w:asciiTheme="minorHAnsi" w:hAnsiTheme="minorHAnsi" w:cstheme="minorHAnsi"/>
          <w:color w:val="333333"/>
          <w:kern w:val="36"/>
        </w:rPr>
      </w:pPr>
      <w:r w:rsidRPr="00A12007">
        <w:rPr>
          <w:rFonts w:asciiTheme="minorHAnsi" w:hAnsiTheme="minorHAnsi" w:cstheme="minorHAnsi"/>
          <w:color w:val="333333"/>
          <w:kern w:val="36"/>
        </w:rPr>
        <w:t xml:space="preserve">Child. J (2017) </w:t>
      </w:r>
      <w:r w:rsidRPr="00A12007">
        <w:rPr>
          <w:rFonts w:asciiTheme="minorHAnsi" w:hAnsiTheme="minorHAnsi" w:cstheme="minorHAnsi"/>
          <w:i/>
          <w:iCs/>
          <w:color w:val="333333"/>
          <w:kern w:val="36"/>
        </w:rPr>
        <w:t>Smith, Hogan, and Ormerod's essentials of criminal law </w:t>
      </w:r>
      <w:r w:rsidRPr="00A12007">
        <w:rPr>
          <w:rFonts w:asciiTheme="minorHAnsi" w:hAnsiTheme="minorHAnsi" w:cstheme="minorHAnsi"/>
          <w:color w:val="333333"/>
          <w:kern w:val="36"/>
        </w:rPr>
        <w:t>Oxford: Oxford University Press</w:t>
      </w:r>
    </w:p>
    <w:p w14:paraId="0E4165A5" w14:textId="77777777" w:rsidR="00A12007" w:rsidRPr="00A12007" w:rsidRDefault="00A12007" w:rsidP="00A12007">
      <w:pPr>
        <w:pStyle w:val="NormalWeb"/>
        <w:shd w:val="clear" w:color="auto" w:fill="FFFFFF"/>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Demetriou. S (2016) ‘Not giving up the fight: A review of the law commission’s scoping report on non-fatal offenses against the person’ The Journal of Criminal Law 80 188 - 200</w:t>
      </w:r>
    </w:p>
    <w:p w14:paraId="7DE532A6" w14:textId="77777777" w:rsidR="00A12007" w:rsidRPr="00A12007" w:rsidRDefault="00A12007" w:rsidP="00A12007">
      <w:pPr>
        <w:pStyle w:val="NormalWeb"/>
        <w:shd w:val="clear" w:color="auto" w:fill="FFFFFF"/>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spacing w:val="-5"/>
          <w:shd w:val="clear" w:color="auto" w:fill="FFFFFF"/>
        </w:rPr>
        <w:t>Fauvarque-Cosson. B (2001) ‘Comparative Law and Conflict of Laws: Allies or Enemies? New Perspectives on an Old Couple</w:t>
      </w:r>
      <w:r w:rsidRPr="00A12007">
        <w:rPr>
          <w:rFonts w:asciiTheme="minorHAnsi" w:hAnsiTheme="minorHAnsi" w:cstheme="minorHAnsi"/>
          <w:color w:val="000000" w:themeColor="text1"/>
        </w:rPr>
        <w:t>’ 49 407 - 427</w:t>
      </w:r>
    </w:p>
    <w:p w14:paraId="5CD4F4A0" w14:textId="77777777" w:rsidR="00A12007" w:rsidRPr="00A12007" w:rsidRDefault="00A12007" w:rsidP="00A12007">
      <w:pPr>
        <w:spacing w:line="360" w:lineRule="auto"/>
        <w:rPr>
          <w:rFonts w:asciiTheme="minorHAnsi" w:hAnsiTheme="minorHAnsi" w:cstheme="minorHAnsi"/>
        </w:rPr>
      </w:pPr>
      <w:r w:rsidRPr="00A12007">
        <w:rPr>
          <w:rFonts w:asciiTheme="minorHAnsi" w:hAnsiTheme="minorHAnsi" w:cstheme="minorHAnsi"/>
          <w:color w:val="333333"/>
          <w:kern w:val="36"/>
        </w:rPr>
        <w:t xml:space="preserve">Gardner. J (1994) ‘Rationality and the Rule of Law in Offences against the person’ </w:t>
      </w:r>
      <w:r w:rsidRPr="00A12007">
        <w:rPr>
          <w:rFonts w:asciiTheme="minorHAnsi" w:hAnsiTheme="minorHAnsi" w:cstheme="minorHAnsi"/>
          <w:i/>
          <w:iCs/>
          <w:color w:val="333333"/>
          <w:kern w:val="36"/>
        </w:rPr>
        <w:t xml:space="preserve">The Cambridge Law </w:t>
      </w:r>
      <w:proofErr w:type="gramStart"/>
      <w:r w:rsidRPr="00A12007">
        <w:rPr>
          <w:rFonts w:asciiTheme="minorHAnsi" w:hAnsiTheme="minorHAnsi" w:cstheme="minorHAnsi"/>
          <w:i/>
          <w:iCs/>
          <w:color w:val="333333"/>
          <w:kern w:val="36"/>
        </w:rPr>
        <w:t xml:space="preserve">Journal </w:t>
      </w:r>
      <w:r w:rsidRPr="00A12007">
        <w:rPr>
          <w:rFonts w:asciiTheme="minorHAnsi" w:hAnsiTheme="minorHAnsi" w:cstheme="minorHAnsi"/>
          <w:color w:val="333333"/>
          <w:kern w:val="36"/>
        </w:rPr>
        <w:t xml:space="preserve"> 53</w:t>
      </w:r>
      <w:proofErr w:type="gramEnd"/>
      <w:r w:rsidRPr="00A12007">
        <w:rPr>
          <w:rFonts w:asciiTheme="minorHAnsi" w:hAnsiTheme="minorHAnsi" w:cstheme="minorHAnsi"/>
          <w:color w:val="333333"/>
          <w:kern w:val="36"/>
        </w:rPr>
        <w:t xml:space="preserve"> (Nov)  502 - 503</w:t>
      </w:r>
    </w:p>
    <w:p w14:paraId="70B994BC"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Herring. J (2018) </w:t>
      </w:r>
      <w:r w:rsidRPr="00A12007">
        <w:rPr>
          <w:rFonts w:asciiTheme="minorHAnsi" w:hAnsiTheme="minorHAnsi" w:cstheme="minorHAnsi"/>
          <w:i/>
          <w:iCs/>
          <w:color w:val="000000" w:themeColor="text1"/>
        </w:rPr>
        <w:t xml:space="preserve">Criminal Law: text, cases, and materials </w:t>
      </w:r>
      <w:r w:rsidRPr="00A12007">
        <w:rPr>
          <w:rFonts w:asciiTheme="minorHAnsi" w:hAnsiTheme="minorHAnsi" w:cstheme="minorHAnsi"/>
          <w:color w:val="000000" w:themeColor="text1"/>
        </w:rPr>
        <w:t>Oxford: Oxford University Press 8</w:t>
      </w:r>
      <w:r w:rsidRPr="00A12007">
        <w:rPr>
          <w:rFonts w:asciiTheme="minorHAnsi" w:hAnsiTheme="minorHAnsi" w:cstheme="minorHAnsi"/>
          <w:color w:val="000000" w:themeColor="text1"/>
          <w:vertAlign w:val="superscript"/>
        </w:rPr>
        <w:t>th</w:t>
      </w:r>
      <w:r w:rsidRPr="00A12007">
        <w:rPr>
          <w:rFonts w:asciiTheme="minorHAnsi" w:hAnsiTheme="minorHAnsi" w:cstheme="minorHAnsi"/>
          <w:color w:val="000000" w:themeColor="text1"/>
        </w:rPr>
        <w:t xml:space="preserve"> Edition</w:t>
      </w:r>
    </w:p>
    <w:p w14:paraId="1A8BDEBE"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Law Commission (2015a) </w:t>
      </w:r>
      <w:r w:rsidRPr="00A12007">
        <w:rPr>
          <w:rFonts w:asciiTheme="minorHAnsi" w:hAnsiTheme="minorHAnsi" w:cstheme="minorHAnsi"/>
          <w:i/>
          <w:iCs/>
          <w:color w:val="000000" w:themeColor="text1"/>
        </w:rPr>
        <w:t xml:space="preserve">Reform of Offences Against The Person Act  </w:t>
      </w:r>
      <w:r w:rsidRPr="00A12007">
        <w:rPr>
          <w:rFonts w:asciiTheme="minorHAnsi" w:hAnsiTheme="minorHAnsi" w:cstheme="minorHAnsi"/>
          <w:color w:val="000000" w:themeColor="text1"/>
        </w:rPr>
        <w:t xml:space="preserve">(Law Com No 361, HC 555) London: Williams Lea Group Available at: </w:t>
      </w:r>
      <w:hyperlink r:id="rId5" w:history="1">
        <w:r w:rsidRPr="00A12007">
          <w:rPr>
            <w:rStyle w:val="Hyperlink"/>
            <w:rFonts w:asciiTheme="minorHAnsi" w:hAnsiTheme="minorHAnsi" w:cstheme="minorHAnsi"/>
          </w:rPr>
          <w:t>https://s3-eu-west-2.amazonaws.com/lawcom-prod-storage-11jsxou24uy7q/uploads/2015/11/51950-LC-HC555_Web.pdf</w:t>
        </w:r>
      </w:hyperlink>
      <w:r w:rsidRPr="00A12007">
        <w:rPr>
          <w:rFonts w:asciiTheme="minorHAnsi" w:hAnsiTheme="minorHAnsi" w:cstheme="minorHAnsi"/>
          <w:color w:val="000000" w:themeColor="text1"/>
        </w:rPr>
        <w:t xml:space="preserve"> (Accessed on: 12</w:t>
      </w:r>
      <w:r w:rsidRPr="00A12007">
        <w:rPr>
          <w:rFonts w:asciiTheme="minorHAnsi" w:hAnsiTheme="minorHAnsi" w:cstheme="minorHAnsi"/>
          <w:color w:val="000000" w:themeColor="text1"/>
          <w:vertAlign w:val="superscript"/>
        </w:rPr>
        <w:t>th</w:t>
      </w:r>
      <w:r w:rsidRPr="00A12007">
        <w:rPr>
          <w:rFonts w:asciiTheme="minorHAnsi" w:hAnsiTheme="minorHAnsi" w:cstheme="minorHAnsi"/>
          <w:color w:val="000000" w:themeColor="text1"/>
        </w:rPr>
        <w:t xml:space="preserve"> February 2021)</w:t>
      </w:r>
    </w:p>
    <w:p w14:paraId="02ECEEFA"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Law Commission (2015b) </w:t>
      </w:r>
      <w:r w:rsidRPr="00A12007">
        <w:rPr>
          <w:rFonts w:asciiTheme="minorHAnsi" w:hAnsiTheme="minorHAnsi" w:cstheme="minorHAnsi"/>
          <w:i/>
          <w:iCs/>
          <w:color w:val="000000" w:themeColor="text1"/>
        </w:rPr>
        <w:t xml:space="preserve">Reform of Offences Against The Person </w:t>
      </w:r>
      <w:proofErr w:type="gramStart"/>
      <w:r w:rsidRPr="00A12007">
        <w:rPr>
          <w:rFonts w:asciiTheme="minorHAnsi" w:hAnsiTheme="minorHAnsi" w:cstheme="minorHAnsi"/>
          <w:i/>
          <w:iCs/>
          <w:color w:val="000000" w:themeColor="text1"/>
        </w:rPr>
        <w:t xml:space="preserve">Act  </w:t>
      </w:r>
      <w:r w:rsidRPr="00A12007">
        <w:rPr>
          <w:rFonts w:asciiTheme="minorHAnsi" w:hAnsiTheme="minorHAnsi" w:cstheme="minorHAnsi"/>
          <w:color w:val="000000" w:themeColor="text1"/>
        </w:rPr>
        <w:t>(</w:t>
      </w:r>
      <w:proofErr w:type="gramEnd"/>
      <w:r w:rsidRPr="00A12007">
        <w:rPr>
          <w:rFonts w:asciiTheme="minorHAnsi" w:hAnsiTheme="minorHAnsi" w:cstheme="minorHAnsi"/>
          <w:color w:val="000000" w:themeColor="text1"/>
        </w:rPr>
        <w:t>Law Com No 361, HC 555) London: Williams Lea Group Available at: https://s3-eu-west-2.amazonaws.com/lawcom-prod-storage-11jsxou24uy7q/uploads/2015/11/lc361_offences_against_the_person_summary_new.pdfAccessed on: 12</w:t>
      </w:r>
      <w:r w:rsidRPr="00A12007">
        <w:rPr>
          <w:rFonts w:asciiTheme="minorHAnsi" w:hAnsiTheme="minorHAnsi" w:cstheme="minorHAnsi"/>
          <w:color w:val="000000" w:themeColor="text1"/>
          <w:vertAlign w:val="superscript"/>
        </w:rPr>
        <w:t>th</w:t>
      </w:r>
      <w:r w:rsidRPr="00A12007">
        <w:rPr>
          <w:rFonts w:asciiTheme="minorHAnsi" w:hAnsiTheme="minorHAnsi" w:cstheme="minorHAnsi"/>
          <w:color w:val="000000" w:themeColor="text1"/>
        </w:rPr>
        <w:t xml:space="preserve"> February 2021)</w:t>
      </w:r>
    </w:p>
    <w:p w14:paraId="56989907"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Rt Hon the Lord Thomas of </w:t>
      </w:r>
      <w:proofErr w:type="spellStart"/>
      <w:r w:rsidRPr="00A12007">
        <w:rPr>
          <w:rFonts w:asciiTheme="minorHAnsi" w:hAnsiTheme="minorHAnsi" w:cstheme="minorHAnsi"/>
          <w:color w:val="000000" w:themeColor="text1"/>
        </w:rPr>
        <w:t>Cwmgiedd</w:t>
      </w:r>
      <w:proofErr w:type="spellEnd"/>
      <w:r w:rsidRPr="00A12007">
        <w:rPr>
          <w:rFonts w:asciiTheme="minorHAnsi" w:hAnsiTheme="minorHAnsi" w:cstheme="minorHAnsi"/>
          <w:color w:val="000000" w:themeColor="text1"/>
        </w:rPr>
        <w:t xml:space="preserve"> Law Commission (2015) </w:t>
      </w:r>
      <w:r w:rsidRPr="00A12007">
        <w:rPr>
          <w:rFonts w:asciiTheme="minorHAnsi" w:hAnsiTheme="minorHAnsi" w:cstheme="minorHAnsi"/>
          <w:i/>
          <w:iCs/>
          <w:color w:val="000000" w:themeColor="text1"/>
        </w:rPr>
        <w:t xml:space="preserve">Reform of Offences Against </w:t>
      </w:r>
      <w:proofErr w:type="gramStart"/>
      <w:r w:rsidRPr="00A12007">
        <w:rPr>
          <w:rFonts w:asciiTheme="minorHAnsi" w:hAnsiTheme="minorHAnsi" w:cstheme="minorHAnsi"/>
          <w:i/>
          <w:iCs/>
          <w:color w:val="000000" w:themeColor="text1"/>
        </w:rPr>
        <w:t>The</w:t>
      </w:r>
      <w:proofErr w:type="gramEnd"/>
      <w:r w:rsidRPr="00A12007">
        <w:rPr>
          <w:rFonts w:asciiTheme="minorHAnsi" w:hAnsiTheme="minorHAnsi" w:cstheme="minorHAnsi"/>
          <w:i/>
          <w:iCs/>
          <w:color w:val="000000" w:themeColor="text1"/>
        </w:rPr>
        <w:t xml:space="preserve"> Person </w:t>
      </w:r>
      <w:r w:rsidRPr="00A12007">
        <w:rPr>
          <w:rFonts w:asciiTheme="minorHAnsi" w:hAnsiTheme="minorHAnsi" w:cstheme="minorHAnsi"/>
          <w:color w:val="000000" w:themeColor="text1"/>
        </w:rPr>
        <w:t xml:space="preserve">(Law Com No 361, HC 555). London: Williams Lea Group Available at: </w:t>
      </w:r>
      <w:hyperlink r:id="rId6" w:history="1">
        <w:r w:rsidRPr="00A12007">
          <w:rPr>
            <w:rStyle w:val="Hyperlink"/>
            <w:rFonts w:asciiTheme="minorHAnsi" w:hAnsiTheme="minorHAnsi" w:cstheme="minorHAnsi"/>
          </w:rPr>
          <w:t>https://s3-eu-west-2.amazonaws.com/lawcom-prod-storage-11jsxou24uy7q/uploads/2015/11/51950-LC-HC555_Web.pdf</w:t>
        </w:r>
      </w:hyperlink>
      <w:r w:rsidRPr="00A12007">
        <w:rPr>
          <w:rFonts w:asciiTheme="minorHAnsi" w:hAnsiTheme="minorHAnsi" w:cstheme="minorHAnsi"/>
          <w:color w:val="000000" w:themeColor="text1"/>
        </w:rPr>
        <w:t xml:space="preserve"> (Accessed </w:t>
      </w:r>
      <w:proofErr w:type="gramStart"/>
      <w:r w:rsidRPr="00A12007">
        <w:rPr>
          <w:rFonts w:asciiTheme="minorHAnsi" w:hAnsiTheme="minorHAnsi" w:cstheme="minorHAnsi"/>
          <w:color w:val="000000" w:themeColor="text1"/>
        </w:rPr>
        <w:t>on:</w:t>
      </w:r>
      <w:proofErr w:type="gramEnd"/>
      <w:r w:rsidRPr="00A12007">
        <w:rPr>
          <w:rFonts w:asciiTheme="minorHAnsi" w:hAnsiTheme="minorHAnsi" w:cstheme="minorHAnsi"/>
          <w:color w:val="000000" w:themeColor="text1"/>
        </w:rPr>
        <w:t xml:space="preserve"> 12</w:t>
      </w:r>
      <w:r w:rsidRPr="00A12007">
        <w:rPr>
          <w:rFonts w:asciiTheme="minorHAnsi" w:hAnsiTheme="minorHAnsi" w:cstheme="minorHAnsi"/>
          <w:color w:val="000000" w:themeColor="text1"/>
          <w:vertAlign w:val="superscript"/>
        </w:rPr>
        <w:t>th</w:t>
      </w:r>
      <w:r w:rsidRPr="00A12007">
        <w:rPr>
          <w:rFonts w:asciiTheme="minorHAnsi" w:hAnsiTheme="minorHAnsi" w:cstheme="minorHAnsi"/>
          <w:color w:val="000000" w:themeColor="text1"/>
        </w:rPr>
        <w:t xml:space="preserve"> February 2021)</w:t>
      </w:r>
    </w:p>
    <w:p w14:paraId="373381D4" w14:textId="77777777" w:rsidR="00A12007" w:rsidRPr="00A12007" w:rsidRDefault="00A12007" w:rsidP="00A12007">
      <w:pPr>
        <w:pStyle w:val="NormalWeb"/>
        <w:shd w:val="clear" w:color="auto" w:fill="FFFFFF"/>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lastRenderedPageBreak/>
        <w:t xml:space="preserve">The Criminal Bar Association of England and Wales (2015) </w:t>
      </w:r>
      <w:r w:rsidRPr="00A12007">
        <w:rPr>
          <w:rFonts w:asciiTheme="minorHAnsi" w:hAnsiTheme="minorHAnsi" w:cstheme="minorHAnsi"/>
          <w:i/>
          <w:iCs/>
          <w:color w:val="000000" w:themeColor="text1"/>
        </w:rPr>
        <w:t xml:space="preserve">Proposed Reform of the Offences Against the Person Act 1861 Consultation by the Law Commission </w:t>
      </w:r>
      <w:r w:rsidRPr="00A12007">
        <w:rPr>
          <w:rFonts w:asciiTheme="minorHAnsi" w:hAnsiTheme="minorHAnsi" w:cstheme="minorHAnsi"/>
          <w:color w:val="000000" w:themeColor="text1"/>
        </w:rPr>
        <w:t xml:space="preserve">Available at: </w:t>
      </w:r>
      <w:hyperlink r:id="rId7" w:history="1">
        <w:r w:rsidRPr="00A12007">
          <w:rPr>
            <w:rStyle w:val="Hyperlink"/>
            <w:rFonts w:asciiTheme="minorHAnsi" w:hAnsiTheme="minorHAnsi" w:cstheme="minorHAnsi"/>
            <w:color w:val="000000" w:themeColor="text1"/>
            <w:u w:val="none"/>
          </w:rPr>
          <w:t>https://www.criminalbar.com/wp-content/uploads/files/cba-responses/150215073348-PROPOSEDREFORMOFTHEOFFENCESAGAINSTTHEPERSONACT18613.pdf</w:t>
        </w:r>
      </w:hyperlink>
      <w:r w:rsidRPr="00A12007">
        <w:rPr>
          <w:rFonts w:asciiTheme="minorHAnsi" w:hAnsiTheme="minorHAnsi" w:cstheme="minorHAnsi"/>
          <w:color w:val="000000" w:themeColor="text1"/>
        </w:rPr>
        <w:t xml:space="preserve"> (Accessed on: 21</w:t>
      </w:r>
      <w:r w:rsidRPr="00A12007">
        <w:rPr>
          <w:rFonts w:asciiTheme="minorHAnsi" w:hAnsiTheme="minorHAnsi" w:cstheme="minorHAnsi"/>
          <w:color w:val="000000" w:themeColor="text1"/>
          <w:vertAlign w:val="superscript"/>
        </w:rPr>
        <w:t>st</w:t>
      </w:r>
      <w:r w:rsidRPr="00A12007">
        <w:rPr>
          <w:rFonts w:asciiTheme="minorHAnsi" w:hAnsiTheme="minorHAnsi" w:cstheme="minorHAnsi"/>
          <w:color w:val="000000" w:themeColor="text1"/>
        </w:rPr>
        <w:t xml:space="preserve"> February 2021)</w:t>
      </w:r>
    </w:p>
    <w:p w14:paraId="4E087C27" w14:textId="77777777" w:rsidR="00A12007" w:rsidRPr="00A12007" w:rsidRDefault="00A12007" w:rsidP="00A12007">
      <w:pPr>
        <w:pStyle w:val="NormalWeb"/>
        <w:shd w:val="clear" w:color="auto" w:fill="FFFFFF"/>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The Crown Prosecution Services (2020) </w:t>
      </w:r>
      <w:r w:rsidRPr="00A12007">
        <w:rPr>
          <w:rFonts w:asciiTheme="minorHAnsi" w:hAnsiTheme="minorHAnsi" w:cstheme="minorHAnsi"/>
          <w:i/>
          <w:iCs/>
          <w:color w:val="000000" w:themeColor="text1"/>
        </w:rPr>
        <w:t xml:space="preserve">Offences Against </w:t>
      </w:r>
      <w:proofErr w:type="gramStart"/>
      <w:r w:rsidRPr="00A12007">
        <w:rPr>
          <w:rFonts w:asciiTheme="minorHAnsi" w:hAnsiTheme="minorHAnsi" w:cstheme="minorHAnsi"/>
          <w:i/>
          <w:iCs/>
          <w:color w:val="000000" w:themeColor="text1"/>
        </w:rPr>
        <w:t>The</w:t>
      </w:r>
      <w:proofErr w:type="gramEnd"/>
      <w:r w:rsidRPr="00A12007">
        <w:rPr>
          <w:rFonts w:asciiTheme="minorHAnsi" w:hAnsiTheme="minorHAnsi" w:cstheme="minorHAnsi"/>
          <w:i/>
          <w:iCs/>
          <w:color w:val="000000" w:themeColor="text1"/>
        </w:rPr>
        <w:t xml:space="preserve"> Person, Incorporating the Charging Standard. </w:t>
      </w:r>
      <w:r w:rsidRPr="00A12007">
        <w:rPr>
          <w:rFonts w:asciiTheme="minorHAnsi" w:hAnsiTheme="minorHAnsi" w:cstheme="minorHAnsi"/>
          <w:color w:val="000000" w:themeColor="text1"/>
        </w:rPr>
        <w:t xml:space="preserve">Available at: </w:t>
      </w:r>
      <w:hyperlink r:id="rId8" w:history="1">
        <w:r w:rsidRPr="00A12007">
          <w:rPr>
            <w:rStyle w:val="Hyperlink"/>
            <w:rFonts w:asciiTheme="minorHAnsi" w:hAnsiTheme="minorHAnsi" w:cstheme="minorHAnsi"/>
            <w:color w:val="000000" w:themeColor="text1"/>
            <w:u w:val="none"/>
          </w:rPr>
          <w:t>https://www.cps.gov.uk/legal-guidance/offences-against-person-incorporating-charging-standard</w:t>
        </w:r>
      </w:hyperlink>
      <w:r w:rsidRPr="00A12007">
        <w:rPr>
          <w:rFonts w:asciiTheme="minorHAnsi" w:hAnsiTheme="minorHAnsi" w:cstheme="minorHAnsi"/>
          <w:color w:val="000000" w:themeColor="text1"/>
        </w:rPr>
        <w:t xml:space="preserve"> (Accessed </w:t>
      </w:r>
      <w:proofErr w:type="gramStart"/>
      <w:r w:rsidRPr="00A12007">
        <w:rPr>
          <w:rFonts w:asciiTheme="minorHAnsi" w:hAnsiTheme="minorHAnsi" w:cstheme="minorHAnsi"/>
          <w:color w:val="000000" w:themeColor="text1"/>
        </w:rPr>
        <w:t>on:</w:t>
      </w:r>
      <w:proofErr w:type="gramEnd"/>
      <w:r w:rsidRPr="00A12007">
        <w:rPr>
          <w:rFonts w:asciiTheme="minorHAnsi" w:hAnsiTheme="minorHAnsi" w:cstheme="minorHAnsi"/>
          <w:color w:val="000000" w:themeColor="text1"/>
        </w:rPr>
        <w:t xml:space="preserve"> 17</w:t>
      </w:r>
      <w:r w:rsidRPr="00A12007">
        <w:rPr>
          <w:rFonts w:asciiTheme="minorHAnsi" w:hAnsiTheme="minorHAnsi" w:cstheme="minorHAnsi"/>
          <w:color w:val="000000" w:themeColor="text1"/>
          <w:vertAlign w:val="superscript"/>
        </w:rPr>
        <w:t>th</w:t>
      </w:r>
      <w:r w:rsidRPr="00A12007">
        <w:rPr>
          <w:rFonts w:asciiTheme="minorHAnsi" w:hAnsiTheme="minorHAnsi" w:cstheme="minorHAnsi"/>
          <w:color w:val="000000" w:themeColor="text1"/>
        </w:rPr>
        <w:t xml:space="preserve"> February 2021)</w:t>
      </w:r>
    </w:p>
    <w:p w14:paraId="368FD1B7"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Topping. A (2021) ‘Urgent Call for new law to tackle non-fatal strangulation in England and Wales’ </w:t>
      </w:r>
      <w:proofErr w:type="gramStart"/>
      <w:r w:rsidRPr="00A12007">
        <w:rPr>
          <w:rFonts w:asciiTheme="minorHAnsi" w:hAnsiTheme="minorHAnsi" w:cstheme="minorHAnsi"/>
          <w:i/>
          <w:iCs/>
          <w:color w:val="000000" w:themeColor="text1"/>
        </w:rPr>
        <w:t>The</w:t>
      </w:r>
      <w:proofErr w:type="gramEnd"/>
      <w:r w:rsidRPr="00A12007">
        <w:rPr>
          <w:rFonts w:asciiTheme="minorHAnsi" w:hAnsiTheme="minorHAnsi" w:cstheme="minorHAnsi"/>
          <w:i/>
          <w:iCs/>
          <w:color w:val="000000" w:themeColor="text1"/>
        </w:rPr>
        <w:t xml:space="preserve"> Guardian </w:t>
      </w:r>
      <w:r w:rsidRPr="00A12007">
        <w:rPr>
          <w:rFonts w:asciiTheme="minorHAnsi" w:hAnsiTheme="minorHAnsi" w:cstheme="minorHAnsi"/>
          <w:color w:val="000000" w:themeColor="text1"/>
        </w:rPr>
        <w:t>5</w:t>
      </w:r>
      <w:r w:rsidRPr="00A12007">
        <w:rPr>
          <w:rFonts w:asciiTheme="minorHAnsi" w:hAnsiTheme="minorHAnsi" w:cstheme="minorHAnsi"/>
          <w:color w:val="000000" w:themeColor="text1"/>
          <w:vertAlign w:val="superscript"/>
        </w:rPr>
        <w:t>th</w:t>
      </w:r>
      <w:r w:rsidRPr="00A12007">
        <w:rPr>
          <w:rFonts w:asciiTheme="minorHAnsi" w:hAnsiTheme="minorHAnsi" w:cstheme="minorHAnsi"/>
          <w:color w:val="000000" w:themeColor="text1"/>
        </w:rPr>
        <w:t xml:space="preserve"> January Available at: </w:t>
      </w:r>
      <w:hyperlink r:id="rId9" w:history="1">
        <w:r w:rsidRPr="00A12007">
          <w:rPr>
            <w:rFonts w:asciiTheme="minorHAnsi" w:hAnsiTheme="minorHAnsi" w:cstheme="minorHAnsi"/>
            <w:color w:val="000000" w:themeColor="text1"/>
          </w:rPr>
          <w:t>https://www.theguardian.com/society/2021/jan/05/urgent-call-for-new-law-to-tackle-non-fatal-strangulation-in-england-and-wales</w:t>
        </w:r>
      </w:hyperlink>
      <w:r w:rsidRPr="00A12007">
        <w:rPr>
          <w:rFonts w:asciiTheme="minorHAnsi" w:hAnsiTheme="minorHAnsi" w:cstheme="minorHAnsi"/>
          <w:color w:val="000000" w:themeColor="text1"/>
        </w:rPr>
        <w:t xml:space="preserve"> (Accessed on:13th February 2021)</w:t>
      </w:r>
    </w:p>
    <w:p w14:paraId="7C049C33" w14:textId="57E94EDB" w:rsidR="00D35E4B" w:rsidRPr="00A12007" w:rsidRDefault="00D35E4B" w:rsidP="00A12007">
      <w:pPr>
        <w:spacing w:line="360" w:lineRule="auto"/>
        <w:rPr>
          <w:rFonts w:asciiTheme="minorHAnsi" w:hAnsiTheme="minorHAnsi" w:cstheme="minorHAnsi"/>
        </w:rPr>
      </w:pPr>
    </w:p>
    <w:p w14:paraId="2C830AFD" w14:textId="52606419" w:rsidR="00D35E4B" w:rsidRPr="00A12007" w:rsidRDefault="00D35E4B" w:rsidP="00A12007">
      <w:pPr>
        <w:spacing w:line="360" w:lineRule="auto"/>
        <w:rPr>
          <w:rFonts w:asciiTheme="minorHAnsi" w:hAnsiTheme="minorHAnsi" w:cstheme="minorHAnsi"/>
          <w:b/>
          <w:bCs/>
        </w:rPr>
      </w:pPr>
      <w:r w:rsidRPr="00A12007">
        <w:rPr>
          <w:rFonts w:asciiTheme="minorHAnsi" w:hAnsiTheme="minorHAnsi" w:cstheme="minorHAnsi"/>
          <w:b/>
          <w:bCs/>
        </w:rPr>
        <w:t>Case List:</w:t>
      </w:r>
    </w:p>
    <w:p w14:paraId="154E85DC" w14:textId="77777777" w:rsidR="00A12007" w:rsidRPr="00A12007" w:rsidRDefault="00A12007" w:rsidP="00A12007">
      <w:pPr>
        <w:spacing w:line="360" w:lineRule="auto"/>
        <w:rPr>
          <w:rFonts w:asciiTheme="minorHAnsi" w:hAnsiTheme="minorHAnsi" w:cstheme="minorHAnsi"/>
          <w:color w:val="FF0000"/>
        </w:rPr>
      </w:pPr>
    </w:p>
    <w:p w14:paraId="0071F3EF" w14:textId="77777777" w:rsidR="00A12007" w:rsidRDefault="00A12007" w:rsidP="00D35E4B"/>
    <w:p w14:paraId="2EA7D557" w14:textId="77777777" w:rsidR="00A12007" w:rsidRPr="00A12007" w:rsidRDefault="00A12007" w:rsidP="00A12007">
      <w:pPr>
        <w:spacing w:line="360" w:lineRule="auto"/>
        <w:rPr>
          <w:rFonts w:asciiTheme="minorHAnsi" w:hAnsiTheme="minorHAnsi" w:cstheme="minorHAnsi"/>
          <w:color w:val="000000" w:themeColor="text1"/>
          <w:lang w:val="en-US"/>
        </w:rPr>
      </w:pPr>
      <w:r w:rsidRPr="00A12007">
        <w:rPr>
          <w:rFonts w:asciiTheme="minorHAnsi" w:hAnsiTheme="minorHAnsi" w:cstheme="minorHAnsi"/>
          <w:color w:val="000000" w:themeColor="text1"/>
          <w:lang w:val="en-US"/>
        </w:rPr>
        <w:t>Clarence (1888) 22 QB 23</w:t>
      </w:r>
    </w:p>
    <w:p w14:paraId="77B04950" w14:textId="77777777" w:rsidR="00A12007" w:rsidRPr="00A12007" w:rsidRDefault="00A12007" w:rsidP="00A12007">
      <w:pPr>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Criminal Justice Act (2003) Available at: </w:t>
      </w:r>
      <w:hyperlink r:id="rId10" w:history="1">
        <w:r w:rsidRPr="00A12007">
          <w:rPr>
            <w:rStyle w:val="Hyperlink"/>
            <w:rFonts w:asciiTheme="minorHAnsi" w:hAnsiTheme="minorHAnsi" w:cstheme="minorHAnsi"/>
            <w:color w:val="000000" w:themeColor="text1"/>
            <w:u w:val="none"/>
          </w:rPr>
          <w:t>https://www.legislation.gov.uk/ukpga/2003/44/contents</w:t>
        </w:r>
      </w:hyperlink>
      <w:r w:rsidRPr="00A12007">
        <w:rPr>
          <w:rFonts w:asciiTheme="minorHAnsi" w:hAnsiTheme="minorHAnsi" w:cstheme="minorHAnsi"/>
          <w:color w:val="000000" w:themeColor="text1"/>
        </w:rPr>
        <w:t xml:space="preserve"> </w:t>
      </w:r>
    </w:p>
    <w:p w14:paraId="40F97E2E"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i/>
          <w:iCs/>
          <w:color w:val="000000" w:themeColor="text1"/>
        </w:rPr>
        <w:t>DDP v Smith</w:t>
      </w:r>
      <w:r w:rsidRPr="00A12007">
        <w:rPr>
          <w:rFonts w:asciiTheme="minorHAnsi" w:hAnsiTheme="minorHAnsi" w:cstheme="minorHAnsi"/>
          <w:color w:val="000000" w:themeColor="text1"/>
        </w:rPr>
        <w:t> [2006] EWHC 94</w:t>
      </w:r>
    </w:p>
    <w:p w14:paraId="3E6A9389"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i/>
          <w:iCs/>
          <w:color w:val="000000" w:themeColor="text1"/>
        </w:rPr>
        <w:t>Fagan v MPC</w:t>
      </w:r>
      <w:r w:rsidRPr="00A12007">
        <w:rPr>
          <w:rFonts w:asciiTheme="minorHAnsi" w:hAnsiTheme="minorHAnsi" w:cstheme="minorHAnsi"/>
          <w:color w:val="000000" w:themeColor="text1"/>
        </w:rPr>
        <w:t xml:space="preserve"> [1969] 1 Q.B. 439</w:t>
      </w:r>
    </w:p>
    <w:p w14:paraId="19AACD08" w14:textId="77777777" w:rsidR="00A12007" w:rsidRPr="00A12007" w:rsidRDefault="00A12007" w:rsidP="00A12007">
      <w:pPr>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JJC v Eisenhower [1984] QB 331</w:t>
      </w:r>
    </w:p>
    <w:p w14:paraId="488872B7"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Offence Against the Persons Act 1961, s.18 Available at: https://www.legislation.gov.uk/ukpga/Vict/24-25/100/section/18</w:t>
      </w:r>
    </w:p>
    <w:p w14:paraId="35A5A2E9"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Offence Against the Persons Act 1961, s.20 Available at: https://www.legislation.gov.uk/ukpga/Vict/24-25/100/section/20</w:t>
      </w:r>
    </w:p>
    <w:p w14:paraId="2E67829D"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Offence Against the Persons Act 1961, s.47 Available at: https://www.legislation.gov.uk/ukpga/Vict/24-25/100/section/47</w:t>
      </w:r>
    </w:p>
    <w:p w14:paraId="540A7CD4"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Offences Against the persons act 1861, s.17Available at: https://www.legislation.gov.uk/ukpga/Vict/24-25/100/section/17</w:t>
      </w:r>
    </w:p>
    <w:p w14:paraId="3163A8E8"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R v Chan Fook [1994] 1 WLR 689</w:t>
      </w:r>
    </w:p>
    <w:p w14:paraId="5753A898" w14:textId="77777777" w:rsidR="00A12007" w:rsidRPr="00A12007" w:rsidRDefault="00A12007" w:rsidP="00A12007">
      <w:pPr>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lastRenderedPageBreak/>
        <w:t>R V Constanza (1997) Crim LR 567</w:t>
      </w:r>
    </w:p>
    <w:p w14:paraId="3F77A0AB" w14:textId="77777777" w:rsidR="00A12007" w:rsidRPr="00A12007" w:rsidRDefault="00A12007" w:rsidP="00A12007">
      <w:pPr>
        <w:spacing w:after="100" w:afterAutospacing="1" w:line="360" w:lineRule="auto"/>
        <w:outlineLvl w:val="0"/>
        <w:rPr>
          <w:rFonts w:asciiTheme="minorHAnsi" w:hAnsiTheme="minorHAnsi" w:cstheme="minorHAnsi"/>
          <w:color w:val="000000" w:themeColor="text1"/>
          <w:kern w:val="36"/>
        </w:rPr>
      </w:pPr>
      <w:r w:rsidRPr="00A12007">
        <w:rPr>
          <w:rFonts w:asciiTheme="minorHAnsi" w:hAnsiTheme="minorHAnsi" w:cstheme="minorHAnsi"/>
          <w:color w:val="000000" w:themeColor="text1"/>
          <w:kern w:val="36"/>
        </w:rPr>
        <w:t>R v Cunningham [1957] 2 QB 396</w:t>
      </w:r>
    </w:p>
    <w:p w14:paraId="6B5B849A" w14:textId="77777777" w:rsidR="00A12007" w:rsidRPr="00A12007" w:rsidRDefault="00A12007" w:rsidP="00A12007">
      <w:pPr>
        <w:spacing w:after="100" w:afterAutospacing="1" w:line="360" w:lineRule="auto"/>
        <w:outlineLvl w:val="0"/>
        <w:rPr>
          <w:rFonts w:asciiTheme="minorHAnsi" w:hAnsiTheme="minorHAnsi" w:cstheme="minorHAnsi"/>
          <w:color w:val="000000" w:themeColor="text1"/>
          <w:kern w:val="36"/>
        </w:rPr>
      </w:pPr>
      <w:r w:rsidRPr="00A12007">
        <w:rPr>
          <w:rFonts w:asciiTheme="minorHAnsi" w:hAnsiTheme="minorHAnsi" w:cstheme="minorHAnsi"/>
          <w:color w:val="000000" w:themeColor="text1"/>
        </w:rPr>
        <w:t xml:space="preserve">R v </w:t>
      </w:r>
      <w:proofErr w:type="spellStart"/>
      <w:r w:rsidRPr="00A12007">
        <w:rPr>
          <w:rFonts w:asciiTheme="minorHAnsi" w:hAnsiTheme="minorHAnsi" w:cstheme="minorHAnsi"/>
          <w:color w:val="000000" w:themeColor="text1"/>
        </w:rPr>
        <w:t>Dica</w:t>
      </w:r>
      <w:proofErr w:type="spellEnd"/>
      <w:r w:rsidRPr="00A12007">
        <w:rPr>
          <w:rFonts w:asciiTheme="minorHAnsi" w:hAnsiTheme="minorHAnsi" w:cstheme="minorHAnsi"/>
          <w:color w:val="000000" w:themeColor="text1"/>
        </w:rPr>
        <w:t xml:space="preserve"> [2004] EWCA Crim 1103 </w:t>
      </w:r>
    </w:p>
    <w:p w14:paraId="30FB08E6" w14:textId="77777777" w:rsidR="00A12007" w:rsidRPr="00A12007" w:rsidRDefault="00A12007" w:rsidP="00A12007">
      <w:pPr>
        <w:spacing w:after="100" w:afterAutospacing="1" w:line="360" w:lineRule="auto"/>
        <w:outlineLvl w:val="0"/>
        <w:rPr>
          <w:rFonts w:asciiTheme="minorHAnsi" w:hAnsiTheme="minorHAnsi" w:cstheme="minorHAnsi"/>
          <w:color w:val="000000" w:themeColor="text1"/>
          <w:kern w:val="36"/>
        </w:rPr>
      </w:pPr>
      <w:r w:rsidRPr="00A12007">
        <w:rPr>
          <w:rFonts w:asciiTheme="minorHAnsi" w:hAnsiTheme="minorHAnsi" w:cstheme="minorHAnsi"/>
          <w:color w:val="000000" w:themeColor="text1"/>
        </w:rPr>
        <w:t>R v Ireland and Burstow [1997] UKHL 34</w:t>
      </w:r>
    </w:p>
    <w:p w14:paraId="29912A43" w14:textId="77777777" w:rsidR="00A12007" w:rsidRPr="00A12007" w:rsidRDefault="00A12007" w:rsidP="00A12007">
      <w:pPr>
        <w:spacing w:line="360" w:lineRule="auto"/>
        <w:rPr>
          <w:rFonts w:asciiTheme="minorHAnsi" w:hAnsiTheme="minorHAnsi" w:cstheme="minorHAnsi"/>
          <w:color w:val="000000" w:themeColor="text1"/>
        </w:rPr>
      </w:pPr>
      <w:r w:rsidRPr="00A12007">
        <w:rPr>
          <w:rStyle w:val="Emphasis"/>
          <w:rFonts w:asciiTheme="minorHAnsi" w:hAnsiTheme="minorHAnsi" w:cstheme="minorHAnsi"/>
          <w:color w:val="000000" w:themeColor="text1"/>
          <w:bdr w:val="none" w:sz="0" w:space="0" w:color="auto" w:frame="1"/>
        </w:rPr>
        <w:t>R v Lynsey</w:t>
      </w:r>
      <w:r w:rsidRPr="00A12007">
        <w:rPr>
          <w:rStyle w:val="apple-converted-space"/>
          <w:rFonts w:asciiTheme="minorHAnsi" w:hAnsiTheme="minorHAnsi" w:cstheme="minorHAnsi"/>
          <w:b/>
          <w:bCs/>
          <w:i/>
          <w:iCs/>
          <w:color w:val="000000" w:themeColor="text1"/>
          <w:bdr w:val="none" w:sz="0" w:space="0" w:color="auto" w:frame="1"/>
        </w:rPr>
        <w:t> </w:t>
      </w:r>
      <w:r w:rsidRPr="00A12007">
        <w:rPr>
          <w:rFonts w:asciiTheme="minorHAnsi" w:hAnsiTheme="minorHAnsi" w:cstheme="minorHAnsi"/>
          <w:color w:val="000000" w:themeColor="text1"/>
          <w:shd w:val="clear" w:color="auto" w:fill="FFFFFF"/>
        </w:rPr>
        <w:t>[1995] 2 Cr App R 667</w:t>
      </w:r>
    </w:p>
    <w:p w14:paraId="410F037D" w14:textId="77777777" w:rsidR="00A12007" w:rsidRPr="00A12007" w:rsidRDefault="00A12007" w:rsidP="00A12007">
      <w:pPr>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shd w:val="clear" w:color="auto" w:fill="FFFFFF"/>
        </w:rPr>
        <w:t>R v </w:t>
      </w:r>
      <w:r w:rsidRPr="00A12007">
        <w:rPr>
          <w:rFonts w:asciiTheme="minorHAnsi" w:hAnsiTheme="minorHAnsi" w:cstheme="minorHAnsi"/>
          <w:i/>
          <w:iCs/>
          <w:color w:val="000000" w:themeColor="text1"/>
        </w:rPr>
        <w:t>Lynsey</w:t>
      </w:r>
      <w:r w:rsidRPr="00A12007">
        <w:rPr>
          <w:rFonts w:asciiTheme="minorHAnsi" w:hAnsiTheme="minorHAnsi" w:cstheme="minorHAnsi"/>
          <w:color w:val="000000" w:themeColor="text1"/>
          <w:shd w:val="clear" w:color="auto" w:fill="FFFFFF"/>
        </w:rPr>
        <w:t> [1995] 3 All ER 654</w:t>
      </w:r>
    </w:p>
    <w:p w14:paraId="7805A042" w14:textId="77777777" w:rsidR="00A12007" w:rsidRPr="00A12007" w:rsidRDefault="00A12007" w:rsidP="00A12007">
      <w:pPr>
        <w:spacing w:line="360" w:lineRule="auto"/>
        <w:rPr>
          <w:rFonts w:asciiTheme="minorHAnsi" w:hAnsiTheme="minorHAnsi" w:cstheme="minorHAnsi"/>
          <w:color w:val="000000" w:themeColor="text1"/>
          <w:shd w:val="clear" w:color="auto" w:fill="FFFFFF"/>
        </w:rPr>
      </w:pPr>
      <w:r w:rsidRPr="00A12007">
        <w:rPr>
          <w:rFonts w:asciiTheme="minorHAnsi" w:hAnsiTheme="minorHAnsi" w:cstheme="minorHAnsi"/>
          <w:color w:val="000000" w:themeColor="text1"/>
          <w:lang w:val="en-US"/>
        </w:rPr>
        <w:t xml:space="preserve">R V Martin (1889) </w:t>
      </w:r>
      <w:r w:rsidRPr="00A12007">
        <w:rPr>
          <w:rFonts w:asciiTheme="minorHAnsi" w:hAnsiTheme="minorHAnsi" w:cstheme="minorHAnsi"/>
          <w:color w:val="000000" w:themeColor="text1"/>
          <w:shd w:val="clear" w:color="auto" w:fill="FFFFFF"/>
        </w:rPr>
        <w:t>8 QBD 54.</w:t>
      </w:r>
    </w:p>
    <w:p w14:paraId="0AE1F99E" w14:textId="77777777" w:rsidR="00A12007" w:rsidRPr="00A12007" w:rsidRDefault="00A12007" w:rsidP="00A12007">
      <w:pPr>
        <w:spacing w:line="360" w:lineRule="auto"/>
        <w:rPr>
          <w:rFonts w:asciiTheme="minorHAnsi" w:hAnsiTheme="minorHAnsi" w:cstheme="minorHAnsi"/>
        </w:rPr>
      </w:pPr>
      <w:r w:rsidRPr="00A12007">
        <w:rPr>
          <w:rFonts w:asciiTheme="minorHAnsi" w:hAnsiTheme="minorHAnsi" w:cstheme="minorHAnsi"/>
          <w:color w:val="323D4F"/>
        </w:rPr>
        <w:t>R v Meade and Belt (1823) 1 Lew. C.C. 184</w:t>
      </w:r>
    </w:p>
    <w:p w14:paraId="1A31DCC5"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i/>
          <w:iCs/>
          <w:color w:val="000000" w:themeColor="text1"/>
        </w:rPr>
        <w:t>R v Miller</w:t>
      </w:r>
      <w:r w:rsidRPr="00A12007">
        <w:rPr>
          <w:rFonts w:asciiTheme="minorHAnsi" w:hAnsiTheme="minorHAnsi" w:cstheme="minorHAnsi"/>
          <w:color w:val="000000" w:themeColor="text1"/>
        </w:rPr>
        <w:t xml:space="preserve"> [1954] 2 All ER 529</w:t>
      </w:r>
    </w:p>
    <w:p w14:paraId="05EF3827" w14:textId="77777777" w:rsidR="00A12007" w:rsidRPr="00A12007" w:rsidRDefault="00A12007" w:rsidP="00A12007">
      <w:pPr>
        <w:spacing w:line="360" w:lineRule="auto"/>
        <w:rPr>
          <w:rStyle w:val="apple-converted-space"/>
          <w:rFonts w:asciiTheme="minorHAnsi" w:hAnsiTheme="minorHAnsi" w:cstheme="minorHAnsi"/>
          <w:b/>
          <w:bCs/>
          <w:color w:val="000000" w:themeColor="text1"/>
        </w:rPr>
      </w:pPr>
      <w:r w:rsidRPr="00A12007">
        <w:rPr>
          <w:rStyle w:val="Emphasis"/>
          <w:rFonts w:asciiTheme="minorHAnsi" w:hAnsiTheme="minorHAnsi" w:cstheme="minorHAnsi"/>
          <w:color w:val="000000" w:themeColor="text1"/>
        </w:rPr>
        <w:t>R v Roberts</w:t>
      </w:r>
      <w:r w:rsidRPr="00A12007">
        <w:rPr>
          <w:rStyle w:val="apple-converted-space"/>
          <w:rFonts w:asciiTheme="minorHAnsi" w:hAnsiTheme="minorHAnsi" w:cstheme="minorHAnsi"/>
          <w:b/>
          <w:bCs/>
          <w:color w:val="000000" w:themeColor="text1"/>
        </w:rPr>
        <w:t> </w:t>
      </w:r>
      <w:r w:rsidRPr="00A12007">
        <w:rPr>
          <w:rStyle w:val="Strong"/>
          <w:rFonts w:asciiTheme="minorHAnsi" w:hAnsiTheme="minorHAnsi" w:cstheme="minorHAnsi"/>
          <w:b w:val="0"/>
          <w:bCs w:val="0"/>
          <w:color w:val="000000" w:themeColor="text1"/>
        </w:rPr>
        <w:t>[1971] EWCA Crim</w:t>
      </w:r>
      <w:r w:rsidRPr="00A12007">
        <w:rPr>
          <w:rStyle w:val="apple-converted-space"/>
          <w:rFonts w:asciiTheme="minorHAnsi" w:hAnsiTheme="minorHAnsi" w:cstheme="minorHAnsi"/>
          <w:b/>
          <w:bCs/>
          <w:color w:val="000000" w:themeColor="text1"/>
        </w:rPr>
        <w:t> </w:t>
      </w:r>
    </w:p>
    <w:p w14:paraId="4549E7B1" w14:textId="77777777" w:rsidR="00A12007" w:rsidRPr="00A12007" w:rsidRDefault="00A12007" w:rsidP="00A12007">
      <w:pPr>
        <w:autoSpaceDE w:val="0"/>
        <w:autoSpaceDN w:val="0"/>
        <w:adjustRightInd w:val="0"/>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 xml:space="preserve">R v Saunders (1985) </w:t>
      </w:r>
    </w:p>
    <w:p w14:paraId="3F4A3BA1" w14:textId="77777777" w:rsidR="00A12007" w:rsidRPr="00A12007" w:rsidRDefault="00A12007" w:rsidP="00A12007">
      <w:pPr>
        <w:spacing w:line="360" w:lineRule="auto"/>
        <w:rPr>
          <w:rFonts w:asciiTheme="minorHAnsi" w:hAnsiTheme="minorHAnsi" w:cstheme="minorHAnsi"/>
          <w:color w:val="000000" w:themeColor="text1"/>
        </w:rPr>
      </w:pPr>
      <w:r w:rsidRPr="00A12007">
        <w:rPr>
          <w:rFonts w:asciiTheme="minorHAnsi" w:hAnsiTheme="minorHAnsi" w:cstheme="minorHAnsi"/>
          <w:color w:val="000000" w:themeColor="text1"/>
        </w:rPr>
        <w:t>Tuberville v Savage (1669) EWHC KB J25</w:t>
      </w:r>
    </w:p>
    <w:sectPr w:rsidR="00A12007" w:rsidRPr="00A12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59495A"/>
    <w:multiLevelType w:val="hybridMultilevel"/>
    <w:tmpl w:val="7AB6F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2B62A7"/>
    <w:multiLevelType w:val="hybridMultilevel"/>
    <w:tmpl w:val="E6D4E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341EFA"/>
    <w:multiLevelType w:val="hybridMultilevel"/>
    <w:tmpl w:val="35508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C52695"/>
    <w:multiLevelType w:val="hybridMultilevel"/>
    <w:tmpl w:val="D76C0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B4067A"/>
    <w:multiLevelType w:val="hybridMultilevel"/>
    <w:tmpl w:val="33524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4B"/>
    <w:rsid w:val="000A79D8"/>
    <w:rsid w:val="000C5942"/>
    <w:rsid w:val="00424FA2"/>
    <w:rsid w:val="004B2AA8"/>
    <w:rsid w:val="005539B2"/>
    <w:rsid w:val="005739D0"/>
    <w:rsid w:val="00650E0A"/>
    <w:rsid w:val="006A699A"/>
    <w:rsid w:val="00A12007"/>
    <w:rsid w:val="00B728FA"/>
    <w:rsid w:val="00B74683"/>
    <w:rsid w:val="00D35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10E0D7"/>
  <w15:chartTrackingRefBased/>
  <w15:docId w15:val="{A056A2A3-A029-AE48-85FF-3B3F1D19A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E4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E4B"/>
    <w:rPr>
      <w:color w:val="0563C1" w:themeColor="hyperlink"/>
      <w:u w:val="single"/>
    </w:rPr>
  </w:style>
  <w:style w:type="paragraph" w:styleId="NormalWeb">
    <w:name w:val="Normal (Web)"/>
    <w:basedOn w:val="Normal"/>
    <w:uiPriority w:val="99"/>
    <w:unhideWhenUsed/>
    <w:rsid w:val="00D35E4B"/>
    <w:pPr>
      <w:spacing w:before="100" w:beforeAutospacing="1" w:after="100" w:afterAutospacing="1"/>
    </w:pPr>
  </w:style>
  <w:style w:type="character" w:styleId="Emphasis">
    <w:name w:val="Emphasis"/>
    <w:basedOn w:val="DefaultParagraphFont"/>
    <w:uiPriority w:val="20"/>
    <w:qFormat/>
    <w:rsid w:val="00D35E4B"/>
    <w:rPr>
      <w:i/>
      <w:iCs/>
    </w:rPr>
  </w:style>
  <w:style w:type="character" w:customStyle="1" w:styleId="apple-converted-space">
    <w:name w:val="apple-converted-space"/>
    <w:basedOn w:val="DefaultParagraphFont"/>
    <w:rsid w:val="00D35E4B"/>
  </w:style>
  <w:style w:type="character" w:styleId="FollowedHyperlink">
    <w:name w:val="FollowedHyperlink"/>
    <w:basedOn w:val="DefaultParagraphFont"/>
    <w:uiPriority w:val="99"/>
    <w:semiHidden/>
    <w:unhideWhenUsed/>
    <w:rsid w:val="00D35E4B"/>
    <w:rPr>
      <w:color w:val="954F72" w:themeColor="followedHyperlink"/>
      <w:u w:val="single"/>
    </w:rPr>
  </w:style>
  <w:style w:type="paragraph" w:styleId="ListParagraph">
    <w:name w:val="List Paragraph"/>
    <w:basedOn w:val="Normal"/>
    <w:uiPriority w:val="34"/>
    <w:qFormat/>
    <w:rsid w:val="00D35E4B"/>
    <w:pPr>
      <w:ind w:left="720"/>
      <w:contextualSpacing/>
    </w:pPr>
  </w:style>
  <w:style w:type="character" w:styleId="Strong">
    <w:name w:val="Strong"/>
    <w:basedOn w:val="DefaultParagraphFont"/>
    <w:uiPriority w:val="22"/>
    <w:qFormat/>
    <w:rsid w:val="00D35E4B"/>
    <w:rPr>
      <w:b/>
      <w:bCs/>
    </w:rPr>
  </w:style>
  <w:style w:type="character" w:styleId="UnresolvedMention">
    <w:name w:val="Unresolved Mention"/>
    <w:basedOn w:val="DefaultParagraphFont"/>
    <w:uiPriority w:val="99"/>
    <w:semiHidden/>
    <w:unhideWhenUsed/>
    <w:rsid w:val="00B72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147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offences-against-person-incorporating-charging-standard" TargetMode="External"/><Relationship Id="rId3" Type="http://schemas.openxmlformats.org/officeDocument/2006/relationships/settings" Target="settings.xml"/><Relationship Id="rId7" Type="http://schemas.openxmlformats.org/officeDocument/2006/relationships/hyperlink" Target="https://www.criminalbar.com/wp-content/uploads/files/cba-responses/150215073348-PROPOSEDREFORMOFTHEOFFENCESAGAINSTTHEPERSONACT18613.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3-eu-west-2.amazonaws.com/lawcom-prod-storage-11jsxou24uy7q/uploads/2015/11/51950-LC-HC555_Web.pdf" TargetMode="External"/><Relationship Id="rId11" Type="http://schemas.openxmlformats.org/officeDocument/2006/relationships/fontTable" Target="fontTable.xml"/><Relationship Id="rId5" Type="http://schemas.openxmlformats.org/officeDocument/2006/relationships/hyperlink" Target="https://s3-eu-west-2.amazonaws.com/lawcom-prod-storage-11jsxou24uy7q/uploads/2015/11/51950-LC-HC555_Web.pdf" TargetMode="External"/><Relationship Id="rId10" Type="http://schemas.openxmlformats.org/officeDocument/2006/relationships/hyperlink" Target="https://www.legislation.gov.uk/ukpga/2003/44/contents" TargetMode="External"/><Relationship Id="rId4" Type="http://schemas.openxmlformats.org/officeDocument/2006/relationships/webSettings" Target="webSettings.xml"/><Relationship Id="rId9" Type="http://schemas.openxmlformats.org/officeDocument/2006/relationships/hyperlink" Target="%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7</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5</cp:revision>
  <dcterms:created xsi:type="dcterms:W3CDTF">2021-03-02T12:48:00Z</dcterms:created>
  <dcterms:modified xsi:type="dcterms:W3CDTF">2021-03-04T11:09:00Z</dcterms:modified>
</cp:coreProperties>
</file>