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62214F" w:rsidRPr="004A1148" w14:paraId="166CE3E7" w14:textId="77777777" w:rsidTr="005554AB">
        <w:trPr>
          <w:cantSplit/>
          <w:trHeight w:val="510"/>
          <w:jc w:val="center"/>
        </w:trPr>
        <w:tc>
          <w:tcPr>
            <w:tcW w:w="1412" w:type="dxa"/>
            <w:vAlign w:val="bottom"/>
          </w:tcPr>
          <w:p w14:paraId="2C3618AC" w14:textId="463DC4BE" w:rsidR="0062214F" w:rsidRPr="004A1148" w:rsidRDefault="0062214F" w:rsidP="0062214F">
            <w:pPr>
              <w:pStyle w:val="TableText"/>
              <w:ind w:left="284"/>
              <w:rPr>
                <w:rFonts w:cs="Arial"/>
              </w:rPr>
            </w:pPr>
            <w:r>
              <w:rPr>
                <w:rFonts w:cs="Arial"/>
              </w:rPr>
              <w:t>B/21</w:t>
            </w:r>
          </w:p>
        </w:tc>
        <w:tc>
          <w:tcPr>
            <w:tcW w:w="2561" w:type="dxa"/>
            <w:vAlign w:val="bottom"/>
          </w:tcPr>
          <w:p w14:paraId="325D5AA6" w14:textId="617DBD20" w:rsidR="0062214F" w:rsidRPr="004A1148" w:rsidRDefault="0062214F" w:rsidP="0062214F">
            <w:pPr>
              <w:pStyle w:val="TableText"/>
              <w:rPr>
                <w:rFonts w:cs="Arial"/>
              </w:rPr>
            </w:pPr>
            <w:r>
              <w:rPr>
                <w:rFonts w:cs="Arial"/>
              </w:rPr>
              <w:t>172.16.2.0</w:t>
            </w:r>
          </w:p>
        </w:tc>
        <w:tc>
          <w:tcPr>
            <w:tcW w:w="2552" w:type="dxa"/>
          </w:tcPr>
          <w:p w14:paraId="64D79944" w14:textId="51C73B26" w:rsidR="0062214F" w:rsidRPr="004A1148" w:rsidRDefault="0062214F" w:rsidP="0062214F">
            <w:pPr>
              <w:pStyle w:val="TableText"/>
              <w:rPr>
                <w:rFonts w:cs="Arial"/>
              </w:rPr>
            </w:pPr>
            <w:r>
              <w:rPr>
                <w:rFonts w:cs="Arial"/>
              </w:rPr>
              <w:t>255.255.248.0</w:t>
            </w:r>
          </w:p>
        </w:tc>
        <w:tc>
          <w:tcPr>
            <w:tcW w:w="2724" w:type="dxa"/>
            <w:vAlign w:val="bottom"/>
          </w:tcPr>
          <w:p w14:paraId="426B55D1" w14:textId="5D2CF4CF" w:rsidR="0062214F" w:rsidRPr="004A1148" w:rsidRDefault="0062214F" w:rsidP="0062214F">
            <w:pPr>
              <w:pStyle w:val="TableText"/>
              <w:rPr>
                <w:rFonts w:cs="Arial"/>
              </w:rPr>
            </w:pPr>
            <w:r>
              <w:rPr>
                <w:rFonts w:cs="Arial"/>
              </w:rPr>
              <w:t>172.16.2.1</w:t>
            </w:r>
          </w:p>
        </w:tc>
        <w:tc>
          <w:tcPr>
            <w:tcW w:w="2922" w:type="dxa"/>
            <w:vAlign w:val="bottom"/>
          </w:tcPr>
          <w:p w14:paraId="2AC7FFA7" w14:textId="53B9F29C" w:rsidR="0062214F" w:rsidRPr="004A1148" w:rsidRDefault="0062214F" w:rsidP="0062214F">
            <w:pPr>
              <w:pStyle w:val="TableText"/>
              <w:rPr>
                <w:rFonts w:cs="Arial"/>
              </w:rPr>
            </w:pPr>
            <w:r>
              <w:rPr>
                <w:rFonts w:cs="Arial"/>
              </w:rPr>
              <w:t>172.16.9.254</w:t>
            </w:r>
          </w:p>
        </w:tc>
        <w:tc>
          <w:tcPr>
            <w:tcW w:w="2905" w:type="dxa"/>
            <w:vAlign w:val="bottom"/>
          </w:tcPr>
          <w:p w14:paraId="55A78382" w14:textId="56D94F9A" w:rsidR="0062214F" w:rsidRPr="004A1148" w:rsidRDefault="0062214F" w:rsidP="0062214F">
            <w:pPr>
              <w:pStyle w:val="TableText"/>
              <w:ind w:left="284"/>
              <w:rPr>
                <w:rFonts w:cs="Arial"/>
              </w:rPr>
            </w:pPr>
            <w:r>
              <w:rPr>
                <w:rFonts w:cs="Arial"/>
              </w:rPr>
              <w:t>172.16.9.255</w:t>
            </w:r>
          </w:p>
        </w:tc>
      </w:tr>
      <w:tr w:rsidR="0062214F" w:rsidRPr="004A1148" w14:paraId="25431512" w14:textId="77777777" w:rsidTr="005554AB">
        <w:trPr>
          <w:cantSplit/>
          <w:trHeight w:val="510"/>
          <w:jc w:val="center"/>
        </w:trPr>
        <w:tc>
          <w:tcPr>
            <w:tcW w:w="1412" w:type="dxa"/>
            <w:vAlign w:val="bottom"/>
          </w:tcPr>
          <w:p w14:paraId="6A6FC7F1" w14:textId="517E0037" w:rsidR="0062214F" w:rsidRPr="004A1148" w:rsidRDefault="0062214F" w:rsidP="0062214F">
            <w:pPr>
              <w:pStyle w:val="TableText"/>
              <w:ind w:left="284"/>
              <w:rPr>
                <w:rFonts w:cs="Arial"/>
              </w:rPr>
            </w:pPr>
            <w:r>
              <w:rPr>
                <w:rFonts w:cs="Arial"/>
              </w:rPr>
              <w:t>D/23</w:t>
            </w:r>
          </w:p>
        </w:tc>
        <w:tc>
          <w:tcPr>
            <w:tcW w:w="2561" w:type="dxa"/>
            <w:vAlign w:val="bottom"/>
          </w:tcPr>
          <w:p w14:paraId="5D565D23" w14:textId="21F76473" w:rsidR="0062214F" w:rsidRPr="004A1148" w:rsidRDefault="0062214F" w:rsidP="0062214F">
            <w:pPr>
              <w:pStyle w:val="TableText"/>
              <w:rPr>
                <w:rFonts w:cs="Arial"/>
              </w:rPr>
            </w:pPr>
            <w:r>
              <w:rPr>
                <w:rFonts w:cs="Arial"/>
              </w:rPr>
              <w:t>172.16.10.0</w:t>
            </w:r>
          </w:p>
        </w:tc>
        <w:tc>
          <w:tcPr>
            <w:tcW w:w="2552" w:type="dxa"/>
          </w:tcPr>
          <w:p w14:paraId="5E77A652" w14:textId="7C4A1062" w:rsidR="0062214F" w:rsidRPr="004A1148" w:rsidRDefault="0062214F" w:rsidP="0062214F">
            <w:pPr>
              <w:pStyle w:val="TableText"/>
              <w:rPr>
                <w:rFonts w:cs="Arial"/>
              </w:rPr>
            </w:pPr>
            <w:r>
              <w:rPr>
                <w:rFonts w:cs="Arial"/>
              </w:rPr>
              <w:t>255.255.254.0</w:t>
            </w:r>
          </w:p>
        </w:tc>
        <w:tc>
          <w:tcPr>
            <w:tcW w:w="2724" w:type="dxa"/>
            <w:vAlign w:val="bottom"/>
          </w:tcPr>
          <w:p w14:paraId="553FF9D4" w14:textId="64060B98" w:rsidR="0062214F" w:rsidRPr="004A1148" w:rsidRDefault="0062214F" w:rsidP="0062214F">
            <w:pPr>
              <w:pStyle w:val="TableText"/>
              <w:rPr>
                <w:rFonts w:cs="Arial"/>
              </w:rPr>
            </w:pPr>
            <w:r>
              <w:rPr>
                <w:rFonts w:cs="Arial"/>
              </w:rPr>
              <w:t>172.16.10.1</w:t>
            </w:r>
          </w:p>
        </w:tc>
        <w:tc>
          <w:tcPr>
            <w:tcW w:w="2922" w:type="dxa"/>
            <w:vAlign w:val="bottom"/>
          </w:tcPr>
          <w:p w14:paraId="12602C5C" w14:textId="6B0772AD" w:rsidR="0062214F" w:rsidRPr="004A1148" w:rsidRDefault="0062214F" w:rsidP="0062214F">
            <w:pPr>
              <w:pStyle w:val="TableText"/>
              <w:rPr>
                <w:rFonts w:cs="Arial"/>
              </w:rPr>
            </w:pPr>
            <w:r>
              <w:rPr>
                <w:rFonts w:cs="Arial"/>
              </w:rPr>
              <w:t>172.16.10.254</w:t>
            </w:r>
          </w:p>
        </w:tc>
        <w:tc>
          <w:tcPr>
            <w:tcW w:w="2905" w:type="dxa"/>
            <w:vAlign w:val="bottom"/>
          </w:tcPr>
          <w:p w14:paraId="0E927FF2" w14:textId="5FDBF3B9" w:rsidR="0062214F" w:rsidRPr="004A1148" w:rsidRDefault="0062214F" w:rsidP="0062214F">
            <w:pPr>
              <w:pStyle w:val="TableText"/>
              <w:ind w:left="284"/>
              <w:rPr>
                <w:rFonts w:cs="Arial"/>
              </w:rPr>
            </w:pPr>
            <w:r>
              <w:rPr>
                <w:rFonts w:cs="Arial"/>
              </w:rPr>
              <w:t>172.16.10.255</w:t>
            </w:r>
          </w:p>
        </w:tc>
      </w:tr>
      <w:tr w:rsidR="0062214F" w:rsidRPr="004A1148" w14:paraId="1804910C" w14:textId="77777777" w:rsidTr="005554AB">
        <w:trPr>
          <w:cantSplit/>
          <w:trHeight w:val="510"/>
          <w:jc w:val="center"/>
        </w:trPr>
        <w:tc>
          <w:tcPr>
            <w:tcW w:w="1412" w:type="dxa"/>
            <w:vAlign w:val="bottom"/>
          </w:tcPr>
          <w:p w14:paraId="198C292F" w14:textId="47382F5E" w:rsidR="0062214F" w:rsidRPr="004A1148" w:rsidRDefault="0062214F" w:rsidP="0062214F">
            <w:pPr>
              <w:pStyle w:val="TableText"/>
              <w:ind w:left="284"/>
              <w:rPr>
                <w:rFonts w:cs="Arial"/>
              </w:rPr>
            </w:pPr>
            <w:r>
              <w:rPr>
                <w:rFonts w:cs="Arial"/>
              </w:rPr>
              <w:t>F/24</w:t>
            </w:r>
          </w:p>
        </w:tc>
        <w:tc>
          <w:tcPr>
            <w:tcW w:w="2561" w:type="dxa"/>
            <w:vAlign w:val="bottom"/>
          </w:tcPr>
          <w:p w14:paraId="3114BB27" w14:textId="1A4AB04C" w:rsidR="0062214F" w:rsidRPr="004A1148" w:rsidRDefault="0062214F" w:rsidP="0062214F">
            <w:pPr>
              <w:pStyle w:val="TableText"/>
              <w:rPr>
                <w:rFonts w:cs="Arial"/>
              </w:rPr>
            </w:pPr>
            <w:r>
              <w:rPr>
                <w:rFonts w:cs="Arial"/>
              </w:rPr>
              <w:t>172.16.12.0</w:t>
            </w:r>
          </w:p>
        </w:tc>
        <w:tc>
          <w:tcPr>
            <w:tcW w:w="2552" w:type="dxa"/>
          </w:tcPr>
          <w:p w14:paraId="0D8FD5C7" w14:textId="69371428" w:rsidR="0062214F" w:rsidRPr="004A1148" w:rsidRDefault="0062214F" w:rsidP="0062214F">
            <w:pPr>
              <w:pStyle w:val="TableText"/>
              <w:rPr>
                <w:rFonts w:cs="Arial"/>
              </w:rPr>
            </w:pPr>
            <w:r>
              <w:rPr>
                <w:rFonts w:cs="Arial"/>
              </w:rPr>
              <w:t>255.255.255.0</w:t>
            </w:r>
          </w:p>
        </w:tc>
        <w:tc>
          <w:tcPr>
            <w:tcW w:w="2724" w:type="dxa"/>
            <w:vAlign w:val="bottom"/>
          </w:tcPr>
          <w:p w14:paraId="035CA129" w14:textId="759327CF" w:rsidR="0062214F" w:rsidRPr="004A1148" w:rsidRDefault="0062214F" w:rsidP="0062214F">
            <w:pPr>
              <w:pStyle w:val="TableText"/>
              <w:rPr>
                <w:rFonts w:cs="Arial"/>
              </w:rPr>
            </w:pPr>
            <w:r>
              <w:rPr>
                <w:rFonts w:cs="Arial"/>
              </w:rPr>
              <w:t>172.16.12.1</w:t>
            </w:r>
          </w:p>
        </w:tc>
        <w:tc>
          <w:tcPr>
            <w:tcW w:w="2922" w:type="dxa"/>
            <w:vAlign w:val="bottom"/>
          </w:tcPr>
          <w:p w14:paraId="139F5B25" w14:textId="62EC97F2" w:rsidR="0062214F" w:rsidRPr="004A1148" w:rsidRDefault="0062214F" w:rsidP="0062214F">
            <w:pPr>
              <w:pStyle w:val="TableText"/>
              <w:rPr>
                <w:rFonts w:cs="Arial"/>
              </w:rPr>
            </w:pPr>
            <w:r>
              <w:rPr>
                <w:rFonts w:cs="Arial"/>
              </w:rPr>
              <w:t>172.16.12.254</w:t>
            </w:r>
          </w:p>
        </w:tc>
        <w:tc>
          <w:tcPr>
            <w:tcW w:w="2905" w:type="dxa"/>
            <w:vAlign w:val="bottom"/>
          </w:tcPr>
          <w:p w14:paraId="63784539" w14:textId="714994F1" w:rsidR="0062214F" w:rsidRPr="004A1148" w:rsidRDefault="0062214F" w:rsidP="0062214F">
            <w:pPr>
              <w:pStyle w:val="TableText"/>
              <w:ind w:left="284"/>
              <w:rPr>
                <w:rFonts w:cs="Arial"/>
              </w:rPr>
            </w:pPr>
            <w:r>
              <w:rPr>
                <w:rFonts w:cs="Arial"/>
              </w:rPr>
              <w:t>172.16.12.255</w:t>
            </w:r>
          </w:p>
        </w:tc>
      </w:tr>
      <w:tr w:rsidR="0062214F" w:rsidRPr="004A1148" w14:paraId="6FCEA750" w14:textId="77777777" w:rsidTr="005554AB">
        <w:trPr>
          <w:cantSplit/>
          <w:trHeight w:val="510"/>
          <w:jc w:val="center"/>
        </w:trPr>
        <w:tc>
          <w:tcPr>
            <w:tcW w:w="1412" w:type="dxa"/>
            <w:vAlign w:val="bottom"/>
          </w:tcPr>
          <w:p w14:paraId="023D3E13" w14:textId="70CD97D8" w:rsidR="0062214F" w:rsidRPr="004A1148" w:rsidRDefault="0062214F" w:rsidP="0062214F">
            <w:pPr>
              <w:pStyle w:val="TableText"/>
              <w:ind w:left="284"/>
              <w:rPr>
                <w:rFonts w:cs="Arial"/>
              </w:rPr>
            </w:pPr>
            <w:r>
              <w:rPr>
                <w:rFonts w:cs="Arial"/>
              </w:rPr>
              <w:t>E/26</w:t>
            </w:r>
          </w:p>
        </w:tc>
        <w:tc>
          <w:tcPr>
            <w:tcW w:w="2561" w:type="dxa"/>
            <w:vAlign w:val="bottom"/>
          </w:tcPr>
          <w:p w14:paraId="028301AC" w14:textId="16EF0BD3" w:rsidR="0062214F" w:rsidRPr="004A1148" w:rsidRDefault="0062214F" w:rsidP="0062214F">
            <w:pPr>
              <w:pStyle w:val="TableText"/>
              <w:rPr>
                <w:rFonts w:cs="Arial"/>
              </w:rPr>
            </w:pPr>
            <w:r>
              <w:rPr>
                <w:rFonts w:cs="Arial"/>
              </w:rPr>
              <w:t>172.16.13.0</w:t>
            </w:r>
          </w:p>
        </w:tc>
        <w:tc>
          <w:tcPr>
            <w:tcW w:w="2552" w:type="dxa"/>
          </w:tcPr>
          <w:p w14:paraId="0E107CA2" w14:textId="2930A3C6" w:rsidR="0062214F" w:rsidRPr="004A1148" w:rsidRDefault="0062214F" w:rsidP="0062214F">
            <w:pPr>
              <w:pStyle w:val="TableText"/>
              <w:rPr>
                <w:rFonts w:cs="Arial"/>
              </w:rPr>
            </w:pPr>
            <w:r>
              <w:rPr>
                <w:rFonts w:cs="Arial"/>
              </w:rPr>
              <w:t>255.255.255.192</w:t>
            </w:r>
          </w:p>
        </w:tc>
        <w:tc>
          <w:tcPr>
            <w:tcW w:w="2724" w:type="dxa"/>
            <w:vAlign w:val="bottom"/>
          </w:tcPr>
          <w:p w14:paraId="76E3E1C0" w14:textId="0BE2A292" w:rsidR="0062214F" w:rsidRPr="004A1148" w:rsidRDefault="0062214F" w:rsidP="0062214F">
            <w:pPr>
              <w:pStyle w:val="TableText"/>
              <w:rPr>
                <w:rFonts w:cs="Arial"/>
              </w:rPr>
            </w:pPr>
            <w:r>
              <w:rPr>
                <w:rFonts w:cs="Arial"/>
              </w:rPr>
              <w:t>172.16.13.1</w:t>
            </w:r>
          </w:p>
        </w:tc>
        <w:tc>
          <w:tcPr>
            <w:tcW w:w="2922" w:type="dxa"/>
            <w:vAlign w:val="bottom"/>
          </w:tcPr>
          <w:p w14:paraId="1F58716B" w14:textId="7C34F0A2" w:rsidR="0062214F" w:rsidRPr="004A1148" w:rsidRDefault="0062214F" w:rsidP="0062214F">
            <w:pPr>
              <w:pStyle w:val="TableText"/>
              <w:rPr>
                <w:rFonts w:cs="Arial"/>
              </w:rPr>
            </w:pPr>
            <w:r>
              <w:rPr>
                <w:rFonts w:cs="Arial"/>
              </w:rPr>
              <w:t>172.16.13.62</w:t>
            </w:r>
          </w:p>
        </w:tc>
        <w:tc>
          <w:tcPr>
            <w:tcW w:w="2905" w:type="dxa"/>
            <w:vAlign w:val="bottom"/>
          </w:tcPr>
          <w:p w14:paraId="1F03CCA5" w14:textId="77BFF634" w:rsidR="0062214F" w:rsidRPr="004A1148" w:rsidRDefault="0062214F" w:rsidP="0062214F">
            <w:pPr>
              <w:pStyle w:val="TableText"/>
              <w:ind w:left="284"/>
              <w:rPr>
                <w:rFonts w:cs="Arial"/>
              </w:rPr>
            </w:pPr>
            <w:r>
              <w:rPr>
                <w:rFonts w:cs="Arial"/>
              </w:rPr>
              <w:t>172.16.13.63</w:t>
            </w:r>
          </w:p>
        </w:tc>
      </w:tr>
      <w:tr w:rsidR="0062214F" w:rsidRPr="004A1148" w14:paraId="6B34B8B1" w14:textId="77777777" w:rsidTr="005554AB">
        <w:trPr>
          <w:cantSplit/>
          <w:trHeight w:val="510"/>
          <w:jc w:val="center"/>
        </w:trPr>
        <w:tc>
          <w:tcPr>
            <w:tcW w:w="1412" w:type="dxa"/>
            <w:vAlign w:val="bottom"/>
          </w:tcPr>
          <w:p w14:paraId="65F58BF1" w14:textId="1DB70082" w:rsidR="0062214F" w:rsidRPr="004A1148" w:rsidRDefault="0062214F" w:rsidP="0062214F">
            <w:pPr>
              <w:pStyle w:val="TableText"/>
              <w:ind w:left="284"/>
              <w:rPr>
                <w:rFonts w:cs="Arial"/>
              </w:rPr>
            </w:pPr>
            <w:r>
              <w:rPr>
                <w:rFonts w:cs="Arial"/>
              </w:rPr>
              <w:t>A/27</w:t>
            </w:r>
          </w:p>
        </w:tc>
        <w:tc>
          <w:tcPr>
            <w:tcW w:w="2561" w:type="dxa"/>
            <w:vAlign w:val="bottom"/>
          </w:tcPr>
          <w:p w14:paraId="18067B56" w14:textId="72B19192" w:rsidR="0062214F" w:rsidRPr="004A1148" w:rsidRDefault="0062214F" w:rsidP="0062214F">
            <w:pPr>
              <w:pStyle w:val="TableText"/>
              <w:rPr>
                <w:rFonts w:cs="Arial"/>
              </w:rPr>
            </w:pPr>
            <w:r>
              <w:rPr>
                <w:rFonts w:cs="Arial"/>
              </w:rPr>
              <w:t>172.16.13.64</w:t>
            </w:r>
          </w:p>
        </w:tc>
        <w:tc>
          <w:tcPr>
            <w:tcW w:w="2552" w:type="dxa"/>
          </w:tcPr>
          <w:p w14:paraId="309D051E" w14:textId="44B2D524" w:rsidR="0062214F" w:rsidRPr="004A1148" w:rsidRDefault="0062214F" w:rsidP="0062214F">
            <w:pPr>
              <w:pStyle w:val="TableText"/>
              <w:rPr>
                <w:rFonts w:cs="Arial"/>
              </w:rPr>
            </w:pPr>
            <w:r>
              <w:rPr>
                <w:rFonts w:cs="Arial"/>
              </w:rPr>
              <w:t>255.255.255.224</w:t>
            </w:r>
          </w:p>
        </w:tc>
        <w:tc>
          <w:tcPr>
            <w:tcW w:w="2724" w:type="dxa"/>
            <w:vAlign w:val="bottom"/>
          </w:tcPr>
          <w:p w14:paraId="4BB66377" w14:textId="1E61620C" w:rsidR="0062214F" w:rsidRPr="004A1148" w:rsidRDefault="0062214F" w:rsidP="0062214F">
            <w:pPr>
              <w:pStyle w:val="TableText"/>
              <w:rPr>
                <w:rFonts w:cs="Arial"/>
              </w:rPr>
            </w:pPr>
            <w:r>
              <w:rPr>
                <w:rFonts w:cs="Arial"/>
              </w:rPr>
              <w:t>172.16.13.65</w:t>
            </w:r>
          </w:p>
        </w:tc>
        <w:tc>
          <w:tcPr>
            <w:tcW w:w="2922" w:type="dxa"/>
            <w:vAlign w:val="bottom"/>
          </w:tcPr>
          <w:p w14:paraId="2F12A22D" w14:textId="53059438" w:rsidR="0062214F" w:rsidRPr="004A1148" w:rsidRDefault="0062214F" w:rsidP="0062214F">
            <w:pPr>
              <w:pStyle w:val="TableText"/>
              <w:rPr>
                <w:rFonts w:cs="Arial"/>
              </w:rPr>
            </w:pPr>
            <w:r>
              <w:rPr>
                <w:rFonts w:cs="Arial"/>
              </w:rPr>
              <w:t>172.16.13.94</w:t>
            </w:r>
          </w:p>
        </w:tc>
        <w:tc>
          <w:tcPr>
            <w:tcW w:w="2905" w:type="dxa"/>
            <w:vAlign w:val="bottom"/>
          </w:tcPr>
          <w:p w14:paraId="78E458EF" w14:textId="4C141DB6" w:rsidR="0062214F" w:rsidRPr="004A1148" w:rsidRDefault="0062214F" w:rsidP="0062214F">
            <w:pPr>
              <w:pStyle w:val="TableText"/>
              <w:ind w:left="284"/>
              <w:rPr>
                <w:rFonts w:cs="Arial"/>
              </w:rPr>
            </w:pPr>
            <w:r>
              <w:rPr>
                <w:rFonts w:cs="Arial"/>
              </w:rPr>
              <w:t>172.16.13.95</w:t>
            </w:r>
          </w:p>
        </w:tc>
      </w:tr>
      <w:tr w:rsidR="0062214F" w:rsidRPr="004A1148" w14:paraId="0B4ED2B0" w14:textId="77777777" w:rsidTr="005554AB">
        <w:trPr>
          <w:cantSplit/>
          <w:trHeight w:val="510"/>
          <w:jc w:val="center"/>
        </w:trPr>
        <w:tc>
          <w:tcPr>
            <w:tcW w:w="1412" w:type="dxa"/>
            <w:vAlign w:val="bottom"/>
          </w:tcPr>
          <w:p w14:paraId="609E3F7B" w14:textId="12B7B8F9" w:rsidR="0062214F" w:rsidRPr="004A1148" w:rsidRDefault="0062214F" w:rsidP="0062214F">
            <w:pPr>
              <w:pStyle w:val="TableText"/>
              <w:ind w:left="284"/>
              <w:rPr>
                <w:rFonts w:cs="Arial"/>
              </w:rPr>
            </w:pPr>
            <w:r>
              <w:rPr>
                <w:rFonts w:cs="Arial"/>
              </w:rPr>
              <w:t>C/29</w:t>
            </w:r>
          </w:p>
        </w:tc>
        <w:tc>
          <w:tcPr>
            <w:tcW w:w="2561" w:type="dxa"/>
            <w:vAlign w:val="bottom"/>
          </w:tcPr>
          <w:p w14:paraId="31F64227" w14:textId="74194650" w:rsidR="0062214F" w:rsidRPr="004A1148" w:rsidRDefault="0062214F" w:rsidP="0062214F">
            <w:pPr>
              <w:pStyle w:val="TableText"/>
              <w:rPr>
                <w:rFonts w:cs="Arial"/>
              </w:rPr>
            </w:pPr>
            <w:r>
              <w:rPr>
                <w:rFonts w:cs="Arial"/>
              </w:rPr>
              <w:t>172.16.13.96</w:t>
            </w:r>
          </w:p>
        </w:tc>
        <w:tc>
          <w:tcPr>
            <w:tcW w:w="2552" w:type="dxa"/>
          </w:tcPr>
          <w:p w14:paraId="55665601" w14:textId="07456951" w:rsidR="0062214F" w:rsidRPr="004A1148" w:rsidRDefault="0062214F" w:rsidP="0062214F">
            <w:pPr>
              <w:pStyle w:val="TableText"/>
              <w:rPr>
                <w:rFonts w:cs="Arial"/>
              </w:rPr>
            </w:pPr>
            <w:r>
              <w:rPr>
                <w:rFonts w:cs="Arial"/>
              </w:rPr>
              <w:t>255.255.255.248</w:t>
            </w:r>
          </w:p>
        </w:tc>
        <w:tc>
          <w:tcPr>
            <w:tcW w:w="2724" w:type="dxa"/>
            <w:vAlign w:val="bottom"/>
          </w:tcPr>
          <w:p w14:paraId="4F549E4B" w14:textId="782E6977" w:rsidR="0062214F" w:rsidRPr="004A1148" w:rsidRDefault="0062214F" w:rsidP="0062214F">
            <w:pPr>
              <w:pStyle w:val="TableText"/>
              <w:rPr>
                <w:rFonts w:cs="Arial"/>
              </w:rPr>
            </w:pPr>
            <w:r>
              <w:rPr>
                <w:rFonts w:cs="Arial"/>
              </w:rPr>
              <w:t>172.16.13.97</w:t>
            </w:r>
          </w:p>
        </w:tc>
        <w:tc>
          <w:tcPr>
            <w:tcW w:w="2922" w:type="dxa"/>
            <w:vAlign w:val="bottom"/>
          </w:tcPr>
          <w:p w14:paraId="7C499210" w14:textId="09AD3E60" w:rsidR="0062214F" w:rsidRPr="004A1148" w:rsidRDefault="0062214F" w:rsidP="0062214F">
            <w:pPr>
              <w:pStyle w:val="TableText"/>
              <w:rPr>
                <w:rFonts w:cs="Arial"/>
              </w:rPr>
            </w:pPr>
            <w:r>
              <w:rPr>
                <w:rFonts w:cs="Arial"/>
              </w:rPr>
              <w:t>172.16.13.102</w:t>
            </w:r>
          </w:p>
        </w:tc>
        <w:tc>
          <w:tcPr>
            <w:tcW w:w="2905" w:type="dxa"/>
            <w:vAlign w:val="bottom"/>
          </w:tcPr>
          <w:p w14:paraId="2D756274" w14:textId="23DAC477" w:rsidR="0062214F" w:rsidRPr="004A1148" w:rsidRDefault="0062214F" w:rsidP="0062214F">
            <w:pPr>
              <w:pStyle w:val="TableText"/>
              <w:ind w:left="284"/>
              <w:rPr>
                <w:rFonts w:cs="Arial"/>
              </w:rPr>
            </w:pPr>
            <w:r>
              <w:rPr>
                <w:rFonts w:cs="Arial"/>
              </w:rPr>
              <w:t>172.16.13.103</w:t>
            </w:r>
          </w:p>
        </w:tc>
      </w:tr>
      <w:tr w:rsidR="0062214F" w:rsidRPr="004A1148" w14:paraId="27709968" w14:textId="77777777" w:rsidTr="005554AB">
        <w:trPr>
          <w:cantSplit/>
          <w:trHeight w:val="510"/>
          <w:jc w:val="center"/>
        </w:trPr>
        <w:tc>
          <w:tcPr>
            <w:tcW w:w="1412" w:type="dxa"/>
            <w:vAlign w:val="bottom"/>
          </w:tcPr>
          <w:p w14:paraId="20984A5F" w14:textId="5D8AB3E9" w:rsidR="0062214F" w:rsidRPr="004A1148" w:rsidRDefault="0062214F" w:rsidP="0062214F">
            <w:pPr>
              <w:pStyle w:val="TableText"/>
              <w:ind w:left="284"/>
              <w:rPr>
                <w:rFonts w:cs="Arial"/>
              </w:rPr>
            </w:pPr>
            <w:r>
              <w:rPr>
                <w:rFonts w:cs="Arial"/>
              </w:rPr>
              <w:t>G/30</w:t>
            </w:r>
          </w:p>
        </w:tc>
        <w:tc>
          <w:tcPr>
            <w:tcW w:w="2561" w:type="dxa"/>
            <w:vAlign w:val="bottom"/>
          </w:tcPr>
          <w:p w14:paraId="0D69D9DC" w14:textId="1AE0175B" w:rsidR="0062214F" w:rsidRPr="004A1148" w:rsidRDefault="0062214F" w:rsidP="0062214F">
            <w:pPr>
              <w:pStyle w:val="TableText"/>
              <w:rPr>
                <w:rFonts w:cs="Arial"/>
              </w:rPr>
            </w:pPr>
            <w:r>
              <w:rPr>
                <w:rFonts w:cs="Arial"/>
              </w:rPr>
              <w:t>172.16.13.104</w:t>
            </w:r>
          </w:p>
        </w:tc>
        <w:tc>
          <w:tcPr>
            <w:tcW w:w="2552" w:type="dxa"/>
          </w:tcPr>
          <w:p w14:paraId="30D77B01" w14:textId="1031C431" w:rsidR="0062214F" w:rsidRPr="004A1148" w:rsidRDefault="0062214F" w:rsidP="0062214F">
            <w:pPr>
              <w:pStyle w:val="TableText"/>
              <w:rPr>
                <w:rFonts w:cs="Arial"/>
              </w:rPr>
            </w:pPr>
            <w:r>
              <w:rPr>
                <w:rFonts w:cs="Arial"/>
              </w:rPr>
              <w:t>255.255.255.252</w:t>
            </w:r>
          </w:p>
        </w:tc>
        <w:tc>
          <w:tcPr>
            <w:tcW w:w="2724" w:type="dxa"/>
            <w:vAlign w:val="bottom"/>
          </w:tcPr>
          <w:p w14:paraId="5596A409" w14:textId="7FDBA661" w:rsidR="0062214F" w:rsidRPr="004A1148" w:rsidRDefault="0062214F" w:rsidP="0062214F">
            <w:pPr>
              <w:pStyle w:val="TableText"/>
              <w:rPr>
                <w:rFonts w:cs="Arial"/>
              </w:rPr>
            </w:pPr>
            <w:r>
              <w:rPr>
                <w:rFonts w:cs="Arial"/>
              </w:rPr>
              <w:t>172.16.13.105</w:t>
            </w:r>
          </w:p>
        </w:tc>
        <w:tc>
          <w:tcPr>
            <w:tcW w:w="2922" w:type="dxa"/>
            <w:vAlign w:val="bottom"/>
          </w:tcPr>
          <w:p w14:paraId="0F1FE2D6" w14:textId="7405C03B" w:rsidR="0062214F" w:rsidRPr="004A1148" w:rsidRDefault="0062214F" w:rsidP="0062214F">
            <w:pPr>
              <w:pStyle w:val="TableText"/>
              <w:rPr>
                <w:rFonts w:cs="Arial"/>
              </w:rPr>
            </w:pPr>
            <w:r>
              <w:rPr>
                <w:rFonts w:cs="Arial"/>
              </w:rPr>
              <w:t>172.16.13.106</w:t>
            </w:r>
          </w:p>
        </w:tc>
        <w:tc>
          <w:tcPr>
            <w:tcW w:w="2905" w:type="dxa"/>
            <w:vAlign w:val="bottom"/>
          </w:tcPr>
          <w:p w14:paraId="554DDEFE" w14:textId="6557015C" w:rsidR="0062214F" w:rsidRPr="004A1148" w:rsidRDefault="0062214F" w:rsidP="0062214F">
            <w:pPr>
              <w:pStyle w:val="TableText"/>
              <w:ind w:left="284"/>
              <w:rPr>
                <w:rFonts w:cs="Arial"/>
              </w:rPr>
            </w:pPr>
            <w:r>
              <w:rPr>
                <w:rFonts w:cs="Arial"/>
              </w:rPr>
              <w:t>172.16.13.107</w:t>
            </w:r>
          </w:p>
        </w:tc>
      </w:tr>
      <w:tr w:rsidR="0062214F" w:rsidRPr="004A1148" w14:paraId="0B6C4A12" w14:textId="77777777" w:rsidTr="005554AB">
        <w:trPr>
          <w:cantSplit/>
          <w:trHeight w:val="510"/>
          <w:jc w:val="center"/>
        </w:trPr>
        <w:tc>
          <w:tcPr>
            <w:tcW w:w="1412" w:type="dxa"/>
            <w:vAlign w:val="bottom"/>
          </w:tcPr>
          <w:p w14:paraId="61BCB553" w14:textId="181E2565" w:rsidR="0062214F" w:rsidRPr="004A1148" w:rsidRDefault="0062214F" w:rsidP="0062214F">
            <w:pPr>
              <w:pStyle w:val="TableText"/>
              <w:ind w:left="284"/>
              <w:rPr>
                <w:rFonts w:cs="Arial"/>
              </w:rPr>
            </w:pPr>
            <w:r>
              <w:rPr>
                <w:rFonts w:cs="Arial"/>
              </w:rPr>
              <w:t>H/30</w:t>
            </w:r>
          </w:p>
        </w:tc>
        <w:tc>
          <w:tcPr>
            <w:tcW w:w="2561" w:type="dxa"/>
            <w:vAlign w:val="bottom"/>
          </w:tcPr>
          <w:p w14:paraId="1F850D77" w14:textId="24E77139" w:rsidR="0062214F" w:rsidRPr="004A1148" w:rsidRDefault="0062214F" w:rsidP="0062214F">
            <w:pPr>
              <w:pStyle w:val="TableText"/>
              <w:rPr>
                <w:rFonts w:cs="Arial"/>
              </w:rPr>
            </w:pPr>
            <w:r>
              <w:rPr>
                <w:rFonts w:cs="Arial"/>
              </w:rPr>
              <w:t>172.16.13.108</w:t>
            </w:r>
          </w:p>
        </w:tc>
        <w:tc>
          <w:tcPr>
            <w:tcW w:w="2552" w:type="dxa"/>
          </w:tcPr>
          <w:p w14:paraId="4E625FAD" w14:textId="3A2FE615" w:rsidR="0062214F" w:rsidRPr="004A1148" w:rsidRDefault="0062214F" w:rsidP="0062214F">
            <w:pPr>
              <w:pStyle w:val="TableText"/>
              <w:rPr>
                <w:rFonts w:cs="Arial"/>
              </w:rPr>
            </w:pPr>
            <w:r>
              <w:rPr>
                <w:rFonts w:cs="Arial"/>
              </w:rPr>
              <w:t>255.255.255.252</w:t>
            </w:r>
          </w:p>
        </w:tc>
        <w:tc>
          <w:tcPr>
            <w:tcW w:w="2724" w:type="dxa"/>
            <w:vAlign w:val="bottom"/>
          </w:tcPr>
          <w:p w14:paraId="2EFD5AB2" w14:textId="7340E74F" w:rsidR="0062214F" w:rsidRPr="004A1148" w:rsidRDefault="0062214F" w:rsidP="0062214F">
            <w:pPr>
              <w:pStyle w:val="TableText"/>
              <w:rPr>
                <w:rFonts w:cs="Arial"/>
              </w:rPr>
            </w:pPr>
            <w:r>
              <w:rPr>
                <w:rFonts w:cs="Arial"/>
              </w:rPr>
              <w:t>172.16.13.109</w:t>
            </w:r>
          </w:p>
        </w:tc>
        <w:tc>
          <w:tcPr>
            <w:tcW w:w="2922" w:type="dxa"/>
            <w:vAlign w:val="bottom"/>
          </w:tcPr>
          <w:p w14:paraId="488D3941" w14:textId="02D7E849" w:rsidR="0062214F" w:rsidRPr="004A1148" w:rsidRDefault="0062214F" w:rsidP="0062214F">
            <w:pPr>
              <w:pStyle w:val="TableText"/>
              <w:rPr>
                <w:rFonts w:cs="Arial"/>
              </w:rPr>
            </w:pPr>
            <w:r>
              <w:rPr>
                <w:rFonts w:cs="Arial"/>
              </w:rPr>
              <w:t>172.16.13.110</w:t>
            </w:r>
          </w:p>
        </w:tc>
        <w:tc>
          <w:tcPr>
            <w:tcW w:w="2905" w:type="dxa"/>
            <w:vAlign w:val="bottom"/>
          </w:tcPr>
          <w:p w14:paraId="6CDA3D3D" w14:textId="77E84F22" w:rsidR="0062214F" w:rsidRPr="004A1148" w:rsidRDefault="0062214F" w:rsidP="0062214F">
            <w:pPr>
              <w:pStyle w:val="TableText"/>
              <w:ind w:left="284"/>
              <w:rPr>
                <w:rFonts w:cs="Arial"/>
              </w:rPr>
            </w:pPr>
            <w:r>
              <w:rPr>
                <w:rFonts w:cs="Arial"/>
              </w:rPr>
              <w:t>172.16.13.111</w:t>
            </w:r>
          </w:p>
        </w:tc>
      </w:tr>
      <w:tr w:rsidR="0062214F" w:rsidRPr="004A1148" w14:paraId="7FC18FDC" w14:textId="77777777" w:rsidTr="005554AB">
        <w:trPr>
          <w:cantSplit/>
          <w:trHeight w:val="510"/>
          <w:jc w:val="center"/>
        </w:trPr>
        <w:tc>
          <w:tcPr>
            <w:tcW w:w="1412" w:type="dxa"/>
            <w:vAlign w:val="bottom"/>
          </w:tcPr>
          <w:p w14:paraId="1FB33D0A" w14:textId="77777777" w:rsidR="0062214F" w:rsidRPr="004A1148" w:rsidRDefault="0062214F" w:rsidP="0062214F">
            <w:pPr>
              <w:pStyle w:val="TableText"/>
              <w:ind w:left="284"/>
              <w:rPr>
                <w:rFonts w:cs="Arial"/>
              </w:rPr>
            </w:pPr>
          </w:p>
        </w:tc>
        <w:tc>
          <w:tcPr>
            <w:tcW w:w="2561" w:type="dxa"/>
            <w:vAlign w:val="bottom"/>
          </w:tcPr>
          <w:p w14:paraId="3A3974FC" w14:textId="77777777" w:rsidR="0062214F" w:rsidRPr="004A1148" w:rsidRDefault="0062214F" w:rsidP="0062214F">
            <w:pPr>
              <w:pStyle w:val="TableText"/>
              <w:rPr>
                <w:rFonts w:cs="Arial"/>
              </w:rPr>
            </w:pPr>
          </w:p>
        </w:tc>
        <w:tc>
          <w:tcPr>
            <w:tcW w:w="2552" w:type="dxa"/>
          </w:tcPr>
          <w:p w14:paraId="4949C4E8" w14:textId="77777777" w:rsidR="0062214F" w:rsidRPr="004A1148" w:rsidRDefault="0062214F" w:rsidP="0062214F">
            <w:pPr>
              <w:pStyle w:val="TableText"/>
              <w:rPr>
                <w:rFonts w:cs="Arial"/>
              </w:rPr>
            </w:pPr>
          </w:p>
        </w:tc>
        <w:tc>
          <w:tcPr>
            <w:tcW w:w="2724" w:type="dxa"/>
            <w:vAlign w:val="bottom"/>
          </w:tcPr>
          <w:p w14:paraId="2E13DE8F" w14:textId="77777777" w:rsidR="0062214F" w:rsidRPr="004A1148" w:rsidRDefault="0062214F" w:rsidP="0062214F">
            <w:pPr>
              <w:pStyle w:val="TableText"/>
              <w:rPr>
                <w:rFonts w:cs="Arial"/>
              </w:rPr>
            </w:pPr>
          </w:p>
        </w:tc>
        <w:tc>
          <w:tcPr>
            <w:tcW w:w="2922" w:type="dxa"/>
            <w:vAlign w:val="bottom"/>
          </w:tcPr>
          <w:p w14:paraId="4B4DEB77" w14:textId="77777777" w:rsidR="0062214F" w:rsidRPr="004A1148" w:rsidRDefault="0062214F" w:rsidP="0062214F">
            <w:pPr>
              <w:pStyle w:val="TableText"/>
              <w:rPr>
                <w:rFonts w:cs="Arial"/>
              </w:rPr>
            </w:pPr>
          </w:p>
        </w:tc>
        <w:tc>
          <w:tcPr>
            <w:tcW w:w="2905" w:type="dxa"/>
            <w:vAlign w:val="bottom"/>
          </w:tcPr>
          <w:p w14:paraId="074F1411" w14:textId="77777777" w:rsidR="0062214F" w:rsidRPr="004A1148" w:rsidRDefault="0062214F" w:rsidP="0062214F">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6F3A5C42" w14:textId="77777777" w:rsidR="005C6E5B" w:rsidRPr="00C22628" w:rsidRDefault="005C6E5B" w:rsidP="005C6E5B">
      <w:pPr>
        <w:jc w:val="center"/>
        <w:rPr>
          <w:sz w:val="32"/>
          <w:szCs w:val="32"/>
        </w:rPr>
      </w:pPr>
      <w:r w:rsidRPr="00C22628">
        <w:rPr>
          <w:b/>
          <w:bCs/>
          <w:sz w:val="32"/>
          <w:szCs w:val="32"/>
          <w:u w:val="single"/>
        </w:rPr>
        <w:lastRenderedPageBreak/>
        <w:t>Report on the Features of IPv6</w:t>
      </w:r>
    </w:p>
    <w:p w14:paraId="2CF24C82" w14:textId="77777777" w:rsidR="005C6E5B" w:rsidRDefault="005C6E5B" w:rsidP="005C6E5B">
      <w:pPr>
        <w:rPr>
          <w:sz w:val="24"/>
          <w:szCs w:val="24"/>
        </w:rPr>
      </w:pPr>
      <w:r>
        <w:rPr>
          <w:b/>
          <w:bCs/>
          <w:sz w:val="24"/>
          <w:szCs w:val="24"/>
          <w:u w:val="single"/>
        </w:rPr>
        <w:t>Abstract</w:t>
      </w:r>
    </w:p>
    <w:p w14:paraId="666DECDE" w14:textId="77777777" w:rsidR="005C6E5B" w:rsidRPr="00111BB6" w:rsidRDefault="005C6E5B" w:rsidP="005C6E5B">
      <w:pPr>
        <w:rPr>
          <w:sz w:val="22"/>
          <w:szCs w:val="22"/>
        </w:rPr>
      </w:pPr>
      <w:r w:rsidRPr="00111BB6">
        <w:rPr>
          <w:sz w:val="22"/>
          <w:szCs w:val="22"/>
        </w:rPr>
        <w:t>This report will cover the reason why IPv6 has come to fruition over IPv4 and its downfall by highlighting the numerous advantages it has over its predecessor such as architecture, addressing, features, quality of life and security improvements.</w:t>
      </w:r>
    </w:p>
    <w:p w14:paraId="2224F218" w14:textId="77777777" w:rsidR="005C6E5B" w:rsidRPr="005142FA" w:rsidRDefault="005C6E5B" w:rsidP="005C6E5B">
      <w:pPr>
        <w:jc w:val="center"/>
        <w:rPr>
          <w:b/>
          <w:bCs/>
          <w:sz w:val="28"/>
          <w:szCs w:val="28"/>
          <w:u w:val="single"/>
        </w:rPr>
      </w:pPr>
      <w:r w:rsidRPr="005142FA">
        <w:rPr>
          <w:b/>
          <w:bCs/>
          <w:sz w:val="28"/>
          <w:szCs w:val="28"/>
          <w:u w:val="single"/>
        </w:rPr>
        <w:t>Introduction</w:t>
      </w:r>
    </w:p>
    <w:p w14:paraId="7E683657" w14:textId="77777777" w:rsidR="005C6E5B" w:rsidRPr="00111BB6" w:rsidRDefault="005C6E5B" w:rsidP="005C6E5B">
      <w:pPr>
        <w:rPr>
          <w:sz w:val="22"/>
          <w:szCs w:val="22"/>
        </w:rPr>
      </w:pPr>
      <w:r w:rsidRPr="00111BB6">
        <w:rPr>
          <w:sz w:val="22"/>
          <w:szCs w:val="22"/>
        </w:rPr>
        <w:t>To begin with, IPv6 is the result of having to step in to replace the previous system of IPv4. IPv4 at the time of its release to the public, owning a computer was a luxury for personal use and thus a pool of 4 billion IP addresses for use is incredibly large. However, jumping to the present all available addresses have now been taken, leaving no more in the pool to be used without someone first giving up theirs.</w:t>
      </w:r>
    </w:p>
    <w:p w14:paraId="7EF9AD93" w14:textId="77777777" w:rsidR="005C6E5B" w:rsidRPr="00111BB6" w:rsidRDefault="005C6E5B" w:rsidP="005C6E5B">
      <w:pPr>
        <w:rPr>
          <w:sz w:val="22"/>
          <w:szCs w:val="22"/>
        </w:rPr>
      </w:pPr>
      <w:r w:rsidRPr="00111BB6">
        <w:rPr>
          <w:sz w:val="22"/>
          <w:szCs w:val="22"/>
        </w:rPr>
        <w:t>The main issue with this is that although 4 billion IP addresses is a lot, the way that they are allocated and used shows that it ends up being much smaller in more recent years. A corporation will use a space of 254 addresses but hardly use any of them - only using 13 and reserving the rest – and no one else can use those addresses but the corporation. The Internet Engineering Task Force (IETF) had to come to a solution to solve what would be a crisis and thankfully came up with the Classless Internet Domain Router which allowed networks to be split into smaller subnetworks.</w:t>
      </w:r>
      <w:sdt>
        <w:sdtPr>
          <w:rPr>
            <w:sz w:val="22"/>
            <w:szCs w:val="22"/>
          </w:rPr>
          <w:id w:val="-655602584"/>
          <w:citation/>
        </w:sdtPr>
        <w:sdtContent>
          <w:r w:rsidRPr="00111BB6">
            <w:rPr>
              <w:sz w:val="22"/>
              <w:szCs w:val="22"/>
            </w:rPr>
            <w:fldChar w:fldCharType="begin"/>
          </w:r>
          <w:r w:rsidRPr="00111BB6">
            <w:rPr>
              <w:sz w:val="22"/>
              <w:szCs w:val="22"/>
            </w:rPr>
            <w:instrText xml:space="preserve"> CITATION Jef14 \l 2057 </w:instrText>
          </w:r>
          <w:r w:rsidRPr="00111BB6">
            <w:rPr>
              <w:sz w:val="22"/>
              <w:szCs w:val="22"/>
            </w:rPr>
            <w:fldChar w:fldCharType="separate"/>
          </w:r>
          <w:r>
            <w:rPr>
              <w:noProof/>
            </w:rPr>
            <w:t xml:space="preserve"> </w:t>
          </w:r>
          <w:r w:rsidRPr="000A3E63">
            <w:rPr>
              <w:rFonts w:eastAsiaTheme="minorHAnsi"/>
              <w:noProof/>
            </w:rPr>
            <w:t>[1]</w:t>
          </w:r>
          <w:r w:rsidRPr="00111BB6">
            <w:rPr>
              <w:sz w:val="22"/>
              <w:szCs w:val="22"/>
            </w:rPr>
            <w:fldChar w:fldCharType="end"/>
          </w:r>
        </w:sdtContent>
      </w:sdt>
    </w:p>
    <w:p w14:paraId="4B84D7EA" w14:textId="77777777" w:rsidR="005C6E5B" w:rsidRDefault="005C6E5B" w:rsidP="005C6E5B">
      <w:pPr>
        <w:jc w:val="center"/>
        <w:rPr>
          <w:b/>
          <w:bCs/>
          <w:sz w:val="28"/>
          <w:szCs w:val="28"/>
          <w:u w:val="single"/>
        </w:rPr>
      </w:pPr>
      <w:r w:rsidRPr="005142FA">
        <w:rPr>
          <w:b/>
          <w:bCs/>
          <w:sz w:val="28"/>
          <w:szCs w:val="28"/>
          <w:u w:val="single"/>
        </w:rPr>
        <w:t>The Advantages IPv6 Brings</w:t>
      </w:r>
    </w:p>
    <w:p w14:paraId="425BFB0F" w14:textId="77777777" w:rsidR="005C6E5B" w:rsidRPr="005142FA" w:rsidRDefault="005C6E5B" w:rsidP="005C6E5B">
      <w:pPr>
        <w:rPr>
          <w:b/>
          <w:bCs/>
          <w:sz w:val="24"/>
          <w:szCs w:val="24"/>
          <w:u w:val="single"/>
        </w:rPr>
      </w:pPr>
      <w:r>
        <w:rPr>
          <w:b/>
          <w:bCs/>
          <w:sz w:val="24"/>
          <w:szCs w:val="24"/>
          <w:u w:val="single"/>
        </w:rPr>
        <w:t>IPv6 Addressing</w:t>
      </w:r>
    </w:p>
    <w:p w14:paraId="5DBB3A20" w14:textId="77777777" w:rsidR="005C6E5B" w:rsidRPr="00111BB6" w:rsidRDefault="005C6E5B" w:rsidP="005C6E5B">
      <w:pPr>
        <w:rPr>
          <w:sz w:val="22"/>
          <w:szCs w:val="22"/>
        </w:rPr>
      </w:pPr>
      <w:r w:rsidRPr="00111BB6">
        <w:rPr>
          <w:sz w:val="22"/>
          <w:szCs w:val="22"/>
        </w:rPr>
        <w:t xml:space="preserve">First and foremost, IPv6 solves the addressing problem IPv4 had by increasing the size of IP addresses from the original 32-bit to a 128-bit system, leading to a whopping 340 sextillion (British Sextillion 10^36) unique addresses. But due to the sheer amount it requires a hierarchy which causes it to be not as efficient when assigning addresses. With the ever-increasing number of computers and devices, IPv6s capability should last long into the future. </w:t>
      </w:r>
      <w:sdt>
        <w:sdtPr>
          <w:rPr>
            <w:sz w:val="22"/>
            <w:szCs w:val="22"/>
          </w:rPr>
          <w:id w:val="-732242153"/>
          <w:citation/>
        </w:sdtPr>
        <w:sdtContent>
          <w:r w:rsidRPr="00111BB6">
            <w:rPr>
              <w:sz w:val="22"/>
              <w:szCs w:val="22"/>
            </w:rPr>
            <w:fldChar w:fldCharType="begin"/>
          </w:r>
          <w:r w:rsidRPr="00111BB6">
            <w:rPr>
              <w:sz w:val="22"/>
              <w:szCs w:val="22"/>
            </w:rPr>
            <w:instrText xml:space="preserve"> CITATION Ora10 \l 2057 </w:instrText>
          </w:r>
          <w:r w:rsidRPr="00111BB6">
            <w:rPr>
              <w:sz w:val="22"/>
              <w:szCs w:val="22"/>
            </w:rPr>
            <w:fldChar w:fldCharType="separate"/>
          </w:r>
          <w:r w:rsidRPr="000A3E63">
            <w:rPr>
              <w:rFonts w:eastAsiaTheme="minorHAnsi"/>
              <w:noProof/>
            </w:rPr>
            <w:t>[2]</w:t>
          </w:r>
          <w:r w:rsidRPr="00111BB6">
            <w:rPr>
              <w:sz w:val="22"/>
              <w:szCs w:val="22"/>
            </w:rPr>
            <w:fldChar w:fldCharType="end"/>
          </w:r>
        </w:sdtContent>
      </w:sdt>
    </w:p>
    <w:p w14:paraId="72B1C8FF" w14:textId="77777777" w:rsidR="005C6E5B" w:rsidRPr="00111BB6" w:rsidRDefault="005C6E5B" w:rsidP="005C6E5B">
      <w:pPr>
        <w:rPr>
          <w:sz w:val="22"/>
          <w:szCs w:val="22"/>
        </w:rPr>
      </w:pPr>
      <w:r w:rsidRPr="00111BB6">
        <w:rPr>
          <w:sz w:val="22"/>
          <w:szCs w:val="22"/>
        </w:rPr>
        <w:t xml:space="preserve">IPv6 also has an Anycast and Multicast system, where an address that is ‘anycast’ that receives packets is then sent to the nearest interface known and configured by the anycast address. Whereas a Multicast system delivers packets to each interface in its assigned group whilst replacing the broadcast address that would normally be present. </w:t>
      </w:r>
      <w:sdt>
        <w:sdtPr>
          <w:rPr>
            <w:sz w:val="22"/>
            <w:szCs w:val="22"/>
          </w:rPr>
          <w:id w:val="-915319645"/>
          <w:citation/>
        </w:sdtPr>
        <w:sdtContent>
          <w:r w:rsidRPr="00111BB6">
            <w:rPr>
              <w:sz w:val="22"/>
              <w:szCs w:val="22"/>
            </w:rPr>
            <w:fldChar w:fldCharType="begin"/>
          </w:r>
          <w:r w:rsidRPr="00111BB6">
            <w:rPr>
              <w:sz w:val="22"/>
              <w:szCs w:val="22"/>
            </w:rPr>
            <w:instrText xml:space="preserve"> CITATION Ora10 \l 2057 </w:instrText>
          </w:r>
          <w:r w:rsidRPr="00111BB6">
            <w:rPr>
              <w:sz w:val="22"/>
              <w:szCs w:val="22"/>
            </w:rPr>
            <w:fldChar w:fldCharType="separate"/>
          </w:r>
          <w:r w:rsidRPr="000A3E63">
            <w:rPr>
              <w:rFonts w:eastAsiaTheme="minorHAnsi"/>
              <w:noProof/>
            </w:rPr>
            <w:t>[2]</w:t>
          </w:r>
          <w:r w:rsidRPr="00111BB6">
            <w:rPr>
              <w:sz w:val="22"/>
              <w:szCs w:val="22"/>
            </w:rPr>
            <w:fldChar w:fldCharType="end"/>
          </w:r>
        </w:sdtContent>
      </w:sdt>
      <w:sdt>
        <w:sdtPr>
          <w:rPr>
            <w:sz w:val="22"/>
            <w:szCs w:val="22"/>
          </w:rPr>
          <w:id w:val="-1534269574"/>
          <w:citation/>
        </w:sdtPr>
        <w:sdtContent>
          <w:r w:rsidRPr="00111BB6">
            <w:rPr>
              <w:sz w:val="22"/>
              <w:szCs w:val="22"/>
            </w:rPr>
            <w:fldChar w:fldCharType="begin"/>
          </w:r>
          <w:r w:rsidRPr="00111BB6">
            <w:rPr>
              <w:sz w:val="22"/>
              <w:szCs w:val="22"/>
            </w:rPr>
            <w:instrText xml:space="preserve"> CITATION Cis12 \l 2057 </w:instrText>
          </w:r>
          <w:r w:rsidRPr="00111BB6">
            <w:rPr>
              <w:sz w:val="22"/>
              <w:szCs w:val="22"/>
            </w:rPr>
            <w:fldChar w:fldCharType="separate"/>
          </w:r>
          <w:r>
            <w:rPr>
              <w:noProof/>
            </w:rPr>
            <w:t xml:space="preserve"> </w:t>
          </w:r>
          <w:r w:rsidRPr="000A3E63">
            <w:rPr>
              <w:rFonts w:eastAsiaTheme="minorHAnsi"/>
              <w:noProof/>
            </w:rPr>
            <w:t>[3]</w:t>
          </w:r>
          <w:r w:rsidRPr="00111BB6">
            <w:rPr>
              <w:sz w:val="22"/>
              <w:szCs w:val="22"/>
            </w:rPr>
            <w:fldChar w:fldCharType="end"/>
          </w:r>
        </w:sdtContent>
      </w:sdt>
    </w:p>
    <w:p w14:paraId="2978C3A4" w14:textId="77777777" w:rsidR="005C6E5B" w:rsidRDefault="005C6E5B" w:rsidP="005C6E5B">
      <w:pPr>
        <w:rPr>
          <w:b/>
          <w:bCs/>
          <w:sz w:val="24"/>
          <w:szCs w:val="24"/>
          <w:u w:val="single"/>
        </w:rPr>
      </w:pPr>
      <w:r>
        <w:rPr>
          <w:b/>
          <w:bCs/>
          <w:sz w:val="24"/>
          <w:szCs w:val="24"/>
          <w:u w:val="single"/>
        </w:rPr>
        <w:t>Security Improvements with IPv6</w:t>
      </w:r>
    </w:p>
    <w:p w14:paraId="18F63EBA" w14:textId="77777777" w:rsidR="005C6E5B" w:rsidRPr="00111BB6" w:rsidRDefault="005C6E5B" w:rsidP="005C6E5B">
      <w:pPr>
        <w:rPr>
          <w:sz w:val="22"/>
          <w:szCs w:val="22"/>
        </w:rPr>
      </w:pPr>
      <w:r w:rsidRPr="00111BB6">
        <w:rPr>
          <w:sz w:val="22"/>
          <w:szCs w:val="22"/>
        </w:rPr>
        <w:t>IPv6 offers two solutions to remedy the lack of good security online, and you can either use them individually or take them both on together to suit your security needs. The first of the two is called IPv6 Authentication Header which is independent from algorithm and helps create authenticated integrity. It helps to deal with a notable amount of attacks including ones where an attacker poses with a fake identity to gain access through a legitimate access point, so the IPv6 Header helps provide authentication of an original host to prevent such a thing from happening.</w:t>
      </w:r>
      <w:sdt>
        <w:sdtPr>
          <w:rPr>
            <w:sz w:val="22"/>
            <w:szCs w:val="22"/>
          </w:rPr>
          <w:id w:val="-873460213"/>
          <w:citation/>
        </w:sdtPr>
        <w:sdtContent>
          <w:r w:rsidRPr="00111BB6">
            <w:rPr>
              <w:sz w:val="22"/>
              <w:szCs w:val="22"/>
            </w:rPr>
            <w:fldChar w:fldCharType="begin"/>
          </w:r>
          <w:r w:rsidRPr="00111BB6">
            <w:rPr>
              <w:sz w:val="22"/>
              <w:szCs w:val="22"/>
            </w:rPr>
            <w:instrText xml:space="preserve"> CITATION Ora10 \l 2057 </w:instrText>
          </w:r>
          <w:r w:rsidRPr="00111BB6">
            <w:rPr>
              <w:sz w:val="22"/>
              <w:szCs w:val="22"/>
            </w:rPr>
            <w:fldChar w:fldCharType="separate"/>
          </w:r>
          <w:r>
            <w:rPr>
              <w:noProof/>
            </w:rPr>
            <w:t xml:space="preserve"> </w:t>
          </w:r>
          <w:r w:rsidRPr="000A3E63">
            <w:rPr>
              <w:rFonts w:eastAsiaTheme="minorHAnsi"/>
              <w:noProof/>
            </w:rPr>
            <w:t>[2]</w:t>
          </w:r>
          <w:r w:rsidRPr="00111BB6">
            <w:rPr>
              <w:sz w:val="22"/>
              <w:szCs w:val="22"/>
            </w:rPr>
            <w:fldChar w:fldCharType="end"/>
          </w:r>
        </w:sdtContent>
      </w:sdt>
    </w:p>
    <w:p w14:paraId="39D1185F" w14:textId="77777777" w:rsidR="005C6E5B" w:rsidRDefault="005C6E5B" w:rsidP="005C6E5B">
      <w:r w:rsidRPr="00111BB6">
        <w:rPr>
          <w:sz w:val="22"/>
          <w:szCs w:val="22"/>
        </w:rPr>
        <w:t xml:space="preserve">The latter method is also an extension header named Encapsulating Security Payload (ESP) is a symmetric encryption algorithm made up of several processes, one of which is the Security Parameter Index (SPI) that holds a 32-bit value that informs the device receiving packets what protocols the sender has in place, such as key information and what algorithm is in use. The Payload Data of the ESP is what contains the sent data in the IP packet. </w:t>
      </w:r>
      <w:sdt>
        <w:sdtPr>
          <w:rPr>
            <w:sz w:val="22"/>
            <w:szCs w:val="22"/>
          </w:rPr>
          <w:id w:val="1544864300"/>
          <w:citation/>
        </w:sdtPr>
        <w:sdtContent>
          <w:r w:rsidRPr="00111BB6">
            <w:rPr>
              <w:sz w:val="22"/>
              <w:szCs w:val="22"/>
            </w:rPr>
            <w:fldChar w:fldCharType="begin"/>
          </w:r>
          <w:r w:rsidRPr="00111BB6">
            <w:rPr>
              <w:sz w:val="22"/>
              <w:szCs w:val="22"/>
            </w:rPr>
            <w:instrText xml:space="preserve"> CITATION Cis07 \l 2057 </w:instrText>
          </w:r>
          <w:r w:rsidRPr="00111BB6">
            <w:rPr>
              <w:sz w:val="22"/>
              <w:szCs w:val="22"/>
            </w:rPr>
            <w:fldChar w:fldCharType="separate"/>
          </w:r>
          <w:r w:rsidRPr="000A3E63">
            <w:rPr>
              <w:rFonts w:eastAsiaTheme="minorHAnsi"/>
              <w:noProof/>
            </w:rPr>
            <w:t>[4]</w:t>
          </w:r>
          <w:r w:rsidRPr="00111BB6">
            <w:rPr>
              <w:sz w:val="22"/>
              <w:szCs w:val="22"/>
            </w:rPr>
            <w:fldChar w:fldCharType="end"/>
          </w:r>
        </w:sdtContent>
      </w:sdt>
    </w:p>
    <w:p w14:paraId="25A0D432" w14:textId="77777777" w:rsidR="005C6E5B" w:rsidRPr="00DF6593" w:rsidRDefault="005C6E5B" w:rsidP="005C6E5B">
      <w:pPr>
        <w:rPr>
          <w:b/>
          <w:bCs/>
          <w:sz w:val="24"/>
          <w:szCs w:val="24"/>
          <w:u w:val="single"/>
        </w:rPr>
      </w:pPr>
      <w:r w:rsidRPr="00DF6593">
        <w:rPr>
          <w:b/>
          <w:bCs/>
          <w:sz w:val="24"/>
          <w:szCs w:val="24"/>
          <w:u w:val="single"/>
        </w:rPr>
        <w:t>IPv6 Routing</w:t>
      </w:r>
    </w:p>
    <w:p w14:paraId="25F95A48" w14:textId="77777777" w:rsidR="005C6E5B" w:rsidRPr="00111BB6" w:rsidRDefault="005C6E5B" w:rsidP="005C6E5B">
      <w:pPr>
        <w:rPr>
          <w:sz w:val="22"/>
          <w:szCs w:val="22"/>
        </w:rPr>
      </w:pPr>
      <w:r>
        <w:t xml:space="preserve">Although routing is very much the same to IPv4 under the Classless Internet Domain Router, the only change is that they are in 128-bits and use new capabilities of being able to Auto-readdress. IPv6 is also able to use a ‘6to4’ tunnel which enables compatibility to send across packets from and to both IPv4 and IPv6 to make the transition more comfortable. However, both IPv6 sites require being isolated for use, using an IPv4 address as a middleman. Neither can be connected to the Internet for 6to4 tunnelling. </w:t>
      </w:r>
      <w:sdt>
        <w:sdtPr>
          <w:id w:val="872265605"/>
          <w:citation/>
        </w:sdtPr>
        <w:sdtContent>
          <w:r>
            <w:fldChar w:fldCharType="begin"/>
          </w:r>
          <w:r>
            <w:instrText xml:space="preserve"> CITATION Ora10 \l 2057 </w:instrText>
          </w:r>
          <w:r>
            <w:fldChar w:fldCharType="separate"/>
          </w:r>
          <w:r w:rsidRPr="000A3E63">
            <w:rPr>
              <w:rFonts w:eastAsiaTheme="minorHAnsi"/>
              <w:noProof/>
            </w:rPr>
            <w:t>[2]</w:t>
          </w:r>
          <w:r>
            <w:fldChar w:fldCharType="end"/>
          </w:r>
        </w:sdtContent>
      </w:sdt>
    </w:p>
    <w:p w14:paraId="6A094702" w14:textId="77777777" w:rsidR="005C6E5B" w:rsidRDefault="005C6E5B" w:rsidP="005C6E5B">
      <w:pPr>
        <w:rPr>
          <w:sz w:val="24"/>
          <w:szCs w:val="24"/>
        </w:rPr>
      </w:pPr>
      <w:r>
        <w:rPr>
          <w:b/>
          <w:bCs/>
          <w:sz w:val="24"/>
          <w:szCs w:val="24"/>
          <w:u w:val="single"/>
        </w:rPr>
        <w:t>Advertisement of Routers when using IPv6</w:t>
      </w:r>
    </w:p>
    <w:p w14:paraId="00F6032E" w14:textId="77777777" w:rsidR="005C6E5B" w:rsidRDefault="005C6E5B" w:rsidP="005C6E5B">
      <w:r>
        <w:t>When using multicast enabled linkage, routers connected to the overall network will occasionally send out a signal that lets the host know that it is present and ready for use. This process is achieved through using Neighbour Discovery so nodes can interact amongst each other. This helps automatically build a list of routers by default to the general network within a short time. They can also inform hosts of what type of autoconfiguration of addresses to perform as well as advertise messages and link parameters. Once a host is connected, rather than have the router send advertisements periodically, they may solicit them to instead announce their presence immediately rather than the next time they would send a packet.</w:t>
      </w:r>
      <w:sdt>
        <w:sdtPr>
          <w:id w:val="629135849"/>
          <w:citation/>
        </w:sdtPr>
        <w:sdtContent>
          <w:r>
            <w:fldChar w:fldCharType="begin"/>
          </w:r>
          <w:r>
            <w:instrText xml:space="preserve"> CITATION Ora10 \l 2057 </w:instrText>
          </w:r>
          <w:r>
            <w:fldChar w:fldCharType="separate"/>
          </w:r>
          <w:r>
            <w:rPr>
              <w:noProof/>
            </w:rPr>
            <w:t xml:space="preserve"> </w:t>
          </w:r>
          <w:r w:rsidRPr="000A3E63">
            <w:rPr>
              <w:rFonts w:eastAsiaTheme="minorHAnsi"/>
              <w:noProof/>
            </w:rPr>
            <w:t>[2]</w:t>
          </w:r>
          <w:r>
            <w:fldChar w:fldCharType="end"/>
          </w:r>
        </w:sdtContent>
      </w:sdt>
    </w:p>
    <w:p w14:paraId="78E49AF4" w14:textId="77777777" w:rsidR="005C6E5B" w:rsidRPr="006D510D" w:rsidRDefault="005C6E5B" w:rsidP="005C6E5B">
      <w:pPr>
        <w:jc w:val="center"/>
        <w:rPr>
          <w:b/>
          <w:bCs/>
          <w:sz w:val="28"/>
          <w:szCs w:val="28"/>
          <w:u w:val="single"/>
        </w:rPr>
      </w:pPr>
      <w:r w:rsidRPr="006D510D">
        <w:rPr>
          <w:b/>
          <w:bCs/>
          <w:sz w:val="28"/>
          <w:szCs w:val="28"/>
          <w:u w:val="single"/>
        </w:rPr>
        <w:lastRenderedPageBreak/>
        <w:t>Conclusion</w:t>
      </w:r>
    </w:p>
    <w:p w14:paraId="75197907" w14:textId="77777777" w:rsidR="005C6E5B" w:rsidRPr="00A123A1" w:rsidRDefault="005C6E5B" w:rsidP="005C6E5B">
      <w:pPr>
        <w:rPr>
          <w:sz w:val="22"/>
          <w:szCs w:val="22"/>
        </w:rPr>
      </w:pPr>
      <w:r>
        <w:t>Unsurprisingly most of the advantages IPv6 brings such as integrated header security features makes it seem like no surprise that it won’t be long before IPv4 becomes entirely obsolete when IPv6 gains more traction, however some Internet Service Providers remain stubborn with the addresses they have invested into with IPv4. As a result, IPv4 may last longer than anticipated, but is somewhat beneficial when using 6to4 tunnelling to send information to isolated sites with IPv6.</w:t>
      </w:r>
    </w:p>
    <w:sdt>
      <w:sdtPr>
        <w:id w:val="-702246299"/>
        <w:docPartObj>
          <w:docPartGallery w:val="Bibliographies"/>
          <w:docPartUnique/>
        </w:docPartObj>
      </w:sdtPr>
      <w:sdtEndPr>
        <w:rPr>
          <w:b w:val="0"/>
          <w:sz w:val="20"/>
        </w:rPr>
      </w:sdtEndPr>
      <w:sdtContent>
        <w:p w14:paraId="6D44E69E" w14:textId="77777777" w:rsidR="005C6E5B" w:rsidRPr="00C22628" w:rsidRDefault="005C6E5B" w:rsidP="005C6E5B">
          <w:pPr>
            <w:pStyle w:val="Heading1"/>
            <w:rPr>
              <w:rFonts w:asciiTheme="minorHAnsi" w:hAnsiTheme="minorHAnsi" w:cstheme="minorHAnsi"/>
              <w:b w:val="0"/>
              <w:bCs/>
              <w:sz w:val="28"/>
              <w:szCs w:val="28"/>
              <w:u w:val="single"/>
            </w:rPr>
          </w:pPr>
          <w:r w:rsidRPr="00C22628">
            <w:rPr>
              <w:rFonts w:asciiTheme="minorHAnsi" w:hAnsiTheme="minorHAnsi" w:cstheme="minorHAnsi"/>
              <w:b w:val="0"/>
              <w:bCs/>
              <w:sz w:val="28"/>
              <w:szCs w:val="28"/>
              <w:u w:val="single"/>
            </w:rPr>
            <w:t>References</w:t>
          </w:r>
        </w:p>
        <w:sdt>
          <w:sdtPr>
            <w:id w:val="-573587230"/>
            <w:bibliography/>
          </w:sdtPr>
          <w:sdtContent>
            <w:p w14:paraId="07503CF4" w14:textId="77777777" w:rsidR="005C6E5B" w:rsidRDefault="005C6E5B" w:rsidP="005C6E5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8"/>
                <w:gridCol w:w="8928"/>
              </w:tblGrid>
              <w:tr w:rsidR="005C6E5B" w14:paraId="2AE0C326" w14:textId="77777777" w:rsidTr="00A20F4A">
                <w:trPr>
                  <w:tblCellSpacing w:w="15" w:type="dxa"/>
                </w:trPr>
                <w:tc>
                  <w:tcPr>
                    <w:tcW w:w="50" w:type="pct"/>
                    <w:hideMark/>
                  </w:tcPr>
                  <w:p w14:paraId="2C3F125E" w14:textId="77777777" w:rsidR="005C6E5B" w:rsidRDefault="005C6E5B" w:rsidP="00A20F4A">
                    <w:pPr>
                      <w:pStyle w:val="Bibliography"/>
                      <w:rPr>
                        <w:noProof/>
                        <w:sz w:val="24"/>
                        <w:szCs w:val="24"/>
                        <w:lang w:val="en-US"/>
                      </w:rPr>
                    </w:pPr>
                    <w:r>
                      <w:rPr>
                        <w:noProof/>
                        <w:lang w:val="en-US"/>
                      </w:rPr>
                      <w:t xml:space="preserve">[1] </w:t>
                    </w:r>
                  </w:p>
                </w:tc>
                <w:tc>
                  <w:tcPr>
                    <w:tcW w:w="0" w:type="auto"/>
                    <w:hideMark/>
                  </w:tcPr>
                  <w:p w14:paraId="0AB05CB2" w14:textId="77777777" w:rsidR="005C6E5B" w:rsidRDefault="005C6E5B" w:rsidP="00A20F4A">
                    <w:pPr>
                      <w:pStyle w:val="Bibliography"/>
                      <w:rPr>
                        <w:noProof/>
                        <w:lang w:val="en-US"/>
                      </w:rPr>
                    </w:pPr>
                    <w:r>
                      <w:rPr>
                        <w:noProof/>
                        <w:lang w:val="en-US"/>
                      </w:rPr>
                      <w:t>J. Silverman, "What's Wrong with IPv4 and Why we are moving to IPv6," 11 September 2014. [Online]. Available: https://www.tecmint.com/ipv4-and-ipv6-comparison/#:~:targetText=Another%20problem%20with%20IPv4%20is,routing%20was%20done%20by%20software.&amp;targetText=Still%20another%20problem%20with%20IPv4,of%20the%20world%20are%20fragmented.. [Accessed 11 December 2019].</w:t>
                    </w:r>
                  </w:p>
                </w:tc>
              </w:tr>
              <w:tr w:rsidR="005C6E5B" w14:paraId="31F3BFF9" w14:textId="77777777" w:rsidTr="00A20F4A">
                <w:trPr>
                  <w:tblCellSpacing w:w="15" w:type="dxa"/>
                </w:trPr>
                <w:tc>
                  <w:tcPr>
                    <w:tcW w:w="50" w:type="pct"/>
                    <w:hideMark/>
                  </w:tcPr>
                  <w:p w14:paraId="0BAB6246" w14:textId="77777777" w:rsidR="005C6E5B" w:rsidRDefault="005C6E5B" w:rsidP="00A20F4A">
                    <w:pPr>
                      <w:pStyle w:val="Bibliography"/>
                      <w:rPr>
                        <w:noProof/>
                        <w:lang w:val="en-US"/>
                      </w:rPr>
                    </w:pPr>
                    <w:r>
                      <w:rPr>
                        <w:noProof/>
                        <w:lang w:val="en-US"/>
                      </w:rPr>
                      <w:t xml:space="preserve">[2] </w:t>
                    </w:r>
                  </w:p>
                </w:tc>
                <w:tc>
                  <w:tcPr>
                    <w:tcW w:w="0" w:type="auto"/>
                    <w:hideMark/>
                  </w:tcPr>
                  <w:p w14:paraId="48E5C642" w14:textId="77777777" w:rsidR="005C6E5B" w:rsidRDefault="005C6E5B" w:rsidP="00A20F4A">
                    <w:pPr>
                      <w:pStyle w:val="Bibliography"/>
                      <w:rPr>
                        <w:noProof/>
                        <w:lang w:val="en-US"/>
                      </w:rPr>
                    </w:pPr>
                    <w:r>
                      <w:rPr>
                        <w:noProof/>
                        <w:lang w:val="en-US"/>
                      </w:rPr>
                      <w:t>Oracle Corporation, "Chapter 1 IPv6 (Overview)," 2010. [Online]. Available: https://docs.oracle.com/cd/E19683-01/817-0573/chapter1-1/index.html#:~:targetText=IPv6%20Features,-Changes%20from%20IPv4&amp;targetText=Expanded%20routing%20and%20addressing%20capabilities,employs%20simpler%20autoconfiguration%20of%20addresses.. [Accessed 11 December 2019].</w:t>
                    </w:r>
                  </w:p>
                </w:tc>
              </w:tr>
              <w:tr w:rsidR="005C6E5B" w14:paraId="0E9E2561" w14:textId="77777777" w:rsidTr="00A20F4A">
                <w:trPr>
                  <w:tblCellSpacing w:w="15" w:type="dxa"/>
                </w:trPr>
                <w:tc>
                  <w:tcPr>
                    <w:tcW w:w="50" w:type="pct"/>
                    <w:hideMark/>
                  </w:tcPr>
                  <w:p w14:paraId="6F187FCE" w14:textId="77777777" w:rsidR="005C6E5B" w:rsidRDefault="005C6E5B" w:rsidP="00A20F4A">
                    <w:pPr>
                      <w:pStyle w:val="Bibliography"/>
                      <w:rPr>
                        <w:noProof/>
                        <w:lang w:val="en-US"/>
                      </w:rPr>
                    </w:pPr>
                    <w:r>
                      <w:rPr>
                        <w:noProof/>
                        <w:lang w:val="en-US"/>
                      </w:rPr>
                      <w:t xml:space="preserve">[3] </w:t>
                    </w:r>
                  </w:p>
                </w:tc>
                <w:tc>
                  <w:tcPr>
                    <w:tcW w:w="0" w:type="auto"/>
                    <w:hideMark/>
                  </w:tcPr>
                  <w:p w14:paraId="19EC0590" w14:textId="77777777" w:rsidR="005C6E5B" w:rsidRDefault="005C6E5B" w:rsidP="00A20F4A">
                    <w:pPr>
                      <w:pStyle w:val="Bibliography"/>
                      <w:rPr>
                        <w:noProof/>
                        <w:lang w:val="en-US"/>
                      </w:rPr>
                    </w:pPr>
                    <w:r>
                      <w:rPr>
                        <w:noProof/>
                        <w:lang w:val="en-US"/>
                      </w:rPr>
                      <w:t>Cisco, "IPv6 Anycast Address," 18 November 2012. [Online]. Available: https://www.cisco.com/c/en/us/td/docs/ios-xml/ios/ipv6_basic/configuration/xe-3se/5700/ip6-anycast-add-xe.html. [Accessed 11 December 2019].</w:t>
                    </w:r>
                  </w:p>
                </w:tc>
              </w:tr>
              <w:tr w:rsidR="005C6E5B" w14:paraId="3334299C" w14:textId="77777777" w:rsidTr="00A20F4A">
                <w:trPr>
                  <w:tblCellSpacing w:w="15" w:type="dxa"/>
                </w:trPr>
                <w:tc>
                  <w:tcPr>
                    <w:tcW w:w="50" w:type="pct"/>
                    <w:hideMark/>
                  </w:tcPr>
                  <w:p w14:paraId="640CB953" w14:textId="77777777" w:rsidR="005C6E5B" w:rsidRDefault="005C6E5B" w:rsidP="00A20F4A">
                    <w:pPr>
                      <w:pStyle w:val="Bibliography"/>
                      <w:rPr>
                        <w:noProof/>
                        <w:lang w:val="en-US"/>
                      </w:rPr>
                    </w:pPr>
                    <w:r>
                      <w:rPr>
                        <w:noProof/>
                        <w:lang w:val="en-US"/>
                      </w:rPr>
                      <w:t xml:space="preserve">[4] </w:t>
                    </w:r>
                  </w:p>
                </w:tc>
                <w:tc>
                  <w:tcPr>
                    <w:tcW w:w="0" w:type="auto"/>
                    <w:hideMark/>
                  </w:tcPr>
                  <w:p w14:paraId="572EA31B" w14:textId="77777777" w:rsidR="005C6E5B" w:rsidRDefault="005C6E5B" w:rsidP="00A20F4A">
                    <w:pPr>
                      <w:pStyle w:val="Bibliography"/>
                      <w:rPr>
                        <w:noProof/>
                        <w:lang w:val="en-US"/>
                      </w:rPr>
                    </w:pPr>
                    <w:r>
                      <w:rPr>
                        <w:noProof/>
                        <w:lang w:val="en-US"/>
                      </w:rPr>
                      <w:t>Cisco, "Introduction to Cisco IPsec Technology," 3 August 2007. [Online]. Available: https://www.cisco.com/c/en/us/td/docs/net_mgmt/vpn_solutions_center/2-0/ip_security/provisioning/guide/IPsecPG1.html#wp1022606. [Accessed 12 December 2019].</w:t>
                    </w:r>
                  </w:p>
                </w:tc>
              </w:tr>
            </w:tbl>
            <w:p w14:paraId="732D279A" w14:textId="77777777" w:rsidR="005C6E5B" w:rsidRDefault="005C6E5B" w:rsidP="005C6E5B">
              <w:pPr>
                <w:rPr>
                  <w:noProof/>
                </w:rPr>
              </w:pPr>
            </w:p>
            <w:p w14:paraId="2655284C" w14:textId="77777777" w:rsidR="005C6E5B" w:rsidRPr="00EF2528" w:rsidRDefault="005C6E5B" w:rsidP="005C6E5B">
              <w:pPr>
                <w:rPr>
                  <w:sz w:val="22"/>
                  <w:szCs w:val="22"/>
                </w:rPr>
              </w:pPr>
              <w:r>
                <w:rPr>
                  <w:b/>
                  <w:bCs/>
                  <w:noProof/>
                </w:rPr>
                <w:fldChar w:fldCharType="end"/>
              </w:r>
            </w:p>
          </w:sdtContent>
        </w:sdt>
      </w:sdtContent>
    </w:sdt>
    <w:p w14:paraId="46804FC5" w14:textId="77777777" w:rsidR="006D5DA8" w:rsidRPr="004A1148" w:rsidRDefault="006D5DA8" w:rsidP="00771EE2">
      <w:pPr>
        <w:rPr>
          <w:rFonts w:ascii="Arial" w:hAnsi="Arial" w:cs="Arial"/>
          <w:b/>
          <w:sz w:val="32"/>
          <w:szCs w:val="22"/>
          <w:u w:val="single"/>
        </w:rPr>
      </w:pPr>
      <w:bookmarkStart w:id="0" w:name="_GoBack"/>
      <w:bookmarkEnd w:id="0"/>
    </w:p>
    <w:sectPr w:rsidR="006D5DA8" w:rsidRPr="004A11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2F617" w14:textId="77777777" w:rsidR="00E63146" w:rsidRDefault="00E63146">
      <w:r>
        <w:separator/>
      </w:r>
    </w:p>
  </w:endnote>
  <w:endnote w:type="continuationSeparator" w:id="0">
    <w:p w14:paraId="00518C18" w14:textId="77777777" w:rsidR="00E63146" w:rsidRDefault="00E63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79048" w14:textId="77777777" w:rsidR="00E63146" w:rsidRDefault="00E63146">
      <w:r>
        <w:separator/>
      </w:r>
    </w:p>
  </w:footnote>
  <w:footnote w:type="continuationSeparator" w:id="0">
    <w:p w14:paraId="0439E8D4" w14:textId="77777777" w:rsidR="00E63146" w:rsidRDefault="00E631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77EEC"/>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1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A7D5D"/>
    <w:rsid w:val="002B4A4E"/>
    <w:rsid w:val="002C17D7"/>
    <w:rsid w:val="002C6040"/>
    <w:rsid w:val="002C70F7"/>
    <w:rsid w:val="002D5B3F"/>
    <w:rsid w:val="002E272E"/>
    <w:rsid w:val="002E4123"/>
    <w:rsid w:val="002F4886"/>
    <w:rsid w:val="002F5778"/>
    <w:rsid w:val="00302C6F"/>
    <w:rsid w:val="00303DB7"/>
    <w:rsid w:val="003114DE"/>
    <w:rsid w:val="003207AF"/>
    <w:rsid w:val="00326476"/>
    <w:rsid w:val="0033182A"/>
    <w:rsid w:val="003358D9"/>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C6E5B"/>
    <w:rsid w:val="005D1D58"/>
    <w:rsid w:val="005D4035"/>
    <w:rsid w:val="005E11AB"/>
    <w:rsid w:val="005E316F"/>
    <w:rsid w:val="005E6E27"/>
    <w:rsid w:val="005F3E76"/>
    <w:rsid w:val="005F526A"/>
    <w:rsid w:val="00603190"/>
    <w:rsid w:val="00605FFC"/>
    <w:rsid w:val="006140BF"/>
    <w:rsid w:val="006211CC"/>
    <w:rsid w:val="00621AEA"/>
    <w:rsid w:val="0062214F"/>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63CF"/>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1B25"/>
    <w:rsid w:val="00B829D8"/>
    <w:rsid w:val="00B84688"/>
    <w:rsid w:val="00B84B5B"/>
    <w:rsid w:val="00B85106"/>
    <w:rsid w:val="00B85B00"/>
    <w:rsid w:val="00B92BCE"/>
    <w:rsid w:val="00B92F75"/>
    <w:rsid w:val="00B943CE"/>
    <w:rsid w:val="00BA1309"/>
    <w:rsid w:val="00BA2586"/>
    <w:rsid w:val="00BA590F"/>
    <w:rsid w:val="00BA7EFD"/>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60E8B"/>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3146"/>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D5ED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Bibliography">
    <w:name w:val="Bibliography"/>
    <w:basedOn w:val="Normal"/>
    <w:next w:val="Normal"/>
    <w:uiPriority w:val="37"/>
    <w:unhideWhenUsed/>
    <w:rsid w:val="005C6E5B"/>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Jef14</b:Tag>
    <b:SourceType>InternetSite</b:SourceType>
    <b:Guid>{55CD4985-DF6D-44FE-AD15-C482DE9C3754}</b:Guid>
    <b:Author>
      <b:Author>
        <b:NameList>
          <b:Person>
            <b:Last>Silverman</b:Last>
            <b:First>Jeff</b:First>
          </b:Person>
        </b:NameList>
      </b:Author>
    </b:Author>
    <b:Title>What's Wrong with IPv4 and Why we are moving to IPv6</b:Title>
    <b:Year>2014</b:Year>
    <b:Month>September</b:Month>
    <b:Day>11</b:Day>
    <b:YearAccessed>2019</b:YearAccessed>
    <b:MonthAccessed>December</b:MonthAccessed>
    <b:DayAccessed>11</b:DayAccessed>
    <b:URL>https://www.tecmint.com/ipv4-and-ipv6-comparison/#:~:targetText=Another%20problem%20with%20IPv4%20is,routing%20was%20done%20by%20software.&amp;targetText=Still%20another%20problem%20with%20IPv4,of%20the%20world%20are%20fragmented.</b:URL>
    <b:RefOrder>1</b:RefOrder>
  </b:Source>
  <b:Source>
    <b:Tag>Ora10</b:Tag>
    <b:SourceType>DocumentFromInternetSite</b:SourceType>
    <b:Guid>{732A3FE0-77A5-4E8F-802E-B0D3BE368452}</b:Guid>
    <b:Title>Chapter 1 IPv6 (Overview)</b:Title>
    <b:Year>2010</b:Year>
    <b:YearAccessed>2019</b:YearAccessed>
    <b:MonthAccessed>December</b:MonthAccessed>
    <b:DayAccessed>11</b:DayAccessed>
    <b:URL>https://docs.oracle.com/cd/E19683-01/817-0573/chapter1-1/index.html#:~:targetText=IPv6%20Features,-Changes%20from%20IPv4&amp;targetText=Expanded%20routing%20and%20addressing%20capabilities,employs%20simpler%20autoconfiguration%20of%20addresses.</b:URL>
    <b:Author>
      <b:Author>
        <b:Corporate>Oracle Corporation</b:Corporate>
      </b:Author>
    </b:Author>
    <b:RefOrder>2</b:RefOrder>
  </b:Source>
  <b:Source>
    <b:Tag>Cis12</b:Tag>
    <b:SourceType>DocumentFromInternetSite</b:SourceType>
    <b:Guid>{87051EA2-881D-4EC6-AF28-CB066B125C5B}</b:Guid>
    <b:Author>
      <b:Author>
        <b:Corporate>Cisco</b:Corporate>
      </b:Author>
    </b:Author>
    <b:Title>IPv6 Anycast Address</b:Title>
    <b:Year>2012</b:Year>
    <b:Month>November</b:Month>
    <b:Day>18</b:Day>
    <b:YearAccessed>2019</b:YearAccessed>
    <b:MonthAccessed>December</b:MonthAccessed>
    <b:DayAccessed>11</b:DayAccessed>
    <b:URL>https://www.cisco.com/c/en/us/td/docs/ios-xml/ios/ipv6_basic/configuration/xe-3se/5700/ip6-anycast-add-xe.html</b:URL>
    <b:RefOrder>3</b:RefOrder>
  </b:Source>
  <b:Source>
    <b:Tag>Cis07</b:Tag>
    <b:SourceType>DocumentFromInternetSite</b:SourceType>
    <b:Guid>{ADF4F648-AB27-459F-9EAC-C6DA6A626E3B}</b:Guid>
    <b:Author>
      <b:Author>
        <b:Corporate>Cisco</b:Corporate>
      </b:Author>
    </b:Author>
    <b:Title>Introduction to Cisco IPsec Technology</b:Title>
    <b:Year>2007</b:Year>
    <b:Month>August</b:Month>
    <b:Day>3</b:Day>
    <b:YearAccessed>2019</b:YearAccessed>
    <b:MonthAccessed>December</b:MonthAccessed>
    <b:DayAccessed>12</b:DayAccessed>
    <b:URL>https://www.cisco.com/c/en/us/td/docs/net_mgmt/vpn_solutions_center/2-0/ip_security/provisioning/guide/IPsecPG1.html#wp1022606</b:URL>
    <b:RefOrder>4</b:RefOrder>
  </b:Source>
</b:Sources>
</file>

<file path=customXml/itemProps1.xml><?xml version="1.0" encoding="utf-8"?>
<ds:datastoreItem xmlns:ds="http://schemas.openxmlformats.org/officeDocument/2006/customXml" ds:itemID="{63D986D1-CF42-4321-A03B-B10B142F2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1381</TotalTime>
  <Pages>4</Pages>
  <Words>1175</Words>
  <Characters>6698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7858</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Kai Jennings</cp:lastModifiedBy>
  <cp:revision>159</cp:revision>
  <cp:lastPrinted>2014-11-07T14:47:00Z</cp:lastPrinted>
  <dcterms:created xsi:type="dcterms:W3CDTF">2014-11-07T15:09:00Z</dcterms:created>
  <dcterms:modified xsi:type="dcterms:W3CDTF">2019-12-12T23:19:00Z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