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0000001" w14:textId="77777777" w:rsidR="00CC358E" w:rsidRDefault="00000000">
      <w:pPr>
        <w:spacing w:before="1400" w:after="100"/>
        <w:jc w:val="center"/>
      </w:pPr>
      <w:r>
        <w:rPr>
          <w:b/>
          <w:bCs/>
          <w:sz w:val="36"/>
          <w:szCs w:val="36"/>
        </w:rPr>
        <w:t>An Investigation into Elderly Care and Provision</w:t>
      </w:r>
    </w:p>
    <w:p w14:paraId="00000002" w14:textId="77777777" w:rsidR="00CC358E" w:rsidRDefault="00000000">
      <w:pPr>
        <w:spacing w:after="400"/>
        <w:jc w:val="center"/>
      </w:pPr>
      <w:r>
        <w:rPr>
          <w:b/>
          <w:bCs/>
          <w:sz w:val="36"/>
          <w:szCs w:val="36"/>
        </w:rPr>
        <w:t>in Residential Care Homes in West Midlands</w:t>
      </w:r>
    </w:p>
    <w:p w14:paraId="00000003" w14:textId="77777777" w:rsidR="00CC358E" w:rsidRDefault="00000000">
      <w:pPr>
        <w:spacing w:after="800"/>
        <w:jc w:val="center"/>
        <w:rPr>
          <w:b/>
          <w:bCs/>
        </w:rPr>
      </w:pPr>
      <w:r>
        <w:rPr>
          <w:b/>
          <w:bCs/>
          <w:sz w:val="26"/>
          <w:szCs w:val="26"/>
        </w:rPr>
        <w:t>Independent Project</w:t>
      </w:r>
    </w:p>
    <w:p w14:paraId="00000004" w14:textId="77777777" w:rsidR="00CC358E" w:rsidRDefault="00000000">
      <w:pPr>
        <w:spacing w:after="60"/>
        <w:jc w:val="center"/>
      </w:pPr>
      <w:r>
        <w:t>Course: BSc (Hons) Health and Social Care</w:t>
      </w:r>
    </w:p>
    <w:p w14:paraId="00000005" w14:textId="77777777" w:rsidR="00CC358E" w:rsidRDefault="00000000">
      <w:pPr>
        <w:spacing w:after="60"/>
        <w:jc w:val="center"/>
      </w:pPr>
      <w:r>
        <w:t>Module: Independent Project (BMHP6020 BIRM)</w:t>
      </w:r>
    </w:p>
    <w:p w14:paraId="00000006" w14:textId="77777777" w:rsidR="00CC358E" w:rsidRDefault="00CC358E">
      <w:pPr>
        <w:spacing w:after="60"/>
        <w:jc w:val="center"/>
      </w:pPr>
    </w:p>
    <w:p w14:paraId="00000007" w14:textId="77777777" w:rsidR="00CC358E" w:rsidRDefault="00000000">
      <w:pPr>
        <w:spacing w:after="60"/>
        <w:jc w:val="center"/>
      </w:pPr>
      <w:r>
        <w:t xml:space="preserve"> </w:t>
      </w:r>
    </w:p>
    <w:p w14:paraId="00000008" w14:textId="24A9E5E3" w:rsidR="00CC358E" w:rsidRDefault="00000000">
      <w:pPr>
        <w:spacing w:after="60"/>
        <w:jc w:val="center"/>
      </w:pPr>
      <w:r>
        <w:t>Student Name: Rache</w:t>
      </w:r>
      <w:r w:rsidR="008937CF">
        <w:t>a</w:t>
      </w:r>
      <w:r>
        <w:t>l Monisola Becker</w:t>
      </w:r>
    </w:p>
    <w:p w14:paraId="6913BD4B" w14:textId="77777777" w:rsidR="008937CF" w:rsidRDefault="008937CF">
      <w:pPr>
        <w:spacing w:after="60"/>
        <w:jc w:val="center"/>
      </w:pPr>
    </w:p>
    <w:p w14:paraId="2181D4B7" w14:textId="67ACA881" w:rsidR="008937CF" w:rsidRDefault="008937CF">
      <w:pPr>
        <w:spacing w:after="60"/>
        <w:jc w:val="center"/>
        <w:rPr>
          <w:color w:val="000000"/>
        </w:rPr>
      </w:pPr>
      <w:r>
        <w:t>Student Number 2310797</w:t>
      </w:r>
    </w:p>
    <w:p w14:paraId="00000009" w14:textId="77777777" w:rsidR="00CC358E" w:rsidRDefault="00CC358E">
      <w:pPr>
        <w:pStyle w:val="Heading1"/>
        <w:rPr>
          <w:color w:val="000000"/>
        </w:rPr>
      </w:pPr>
    </w:p>
    <w:p w14:paraId="0000000A" w14:textId="77777777" w:rsidR="00CC358E" w:rsidRDefault="00CC358E">
      <w:pPr>
        <w:pStyle w:val="Heading1"/>
        <w:rPr>
          <w:color w:val="000000"/>
        </w:rPr>
      </w:pPr>
    </w:p>
    <w:p w14:paraId="0000000B" w14:textId="77777777" w:rsidR="00CC358E" w:rsidRDefault="00CC358E">
      <w:pPr>
        <w:pStyle w:val="Heading1"/>
        <w:rPr>
          <w:color w:val="000000"/>
        </w:rPr>
      </w:pPr>
    </w:p>
    <w:p w14:paraId="0000000C" w14:textId="77777777" w:rsidR="00CC358E" w:rsidRDefault="00CC358E">
      <w:pPr>
        <w:pStyle w:val="Heading1"/>
        <w:rPr>
          <w:color w:val="000000"/>
        </w:rPr>
      </w:pPr>
    </w:p>
    <w:p w14:paraId="0000000D" w14:textId="77777777" w:rsidR="00CC358E" w:rsidRDefault="00CC358E">
      <w:pPr>
        <w:pStyle w:val="Heading1"/>
        <w:rPr>
          <w:color w:val="000000"/>
        </w:rPr>
      </w:pPr>
    </w:p>
    <w:p w14:paraId="0000000E" w14:textId="77777777" w:rsidR="00CC358E" w:rsidRDefault="00CC358E">
      <w:pPr>
        <w:pStyle w:val="Heading1"/>
        <w:rPr>
          <w:color w:val="000000"/>
        </w:rPr>
      </w:pPr>
    </w:p>
    <w:p w14:paraId="0000000F" w14:textId="77777777" w:rsidR="00CC358E" w:rsidRDefault="00CC358E">
      <w:pPr>
        <w:pStyle w:val="Heading1"/>
        <w:rPr>
          <w:color w:val="000000"/>
        </w:rPr>
      </w:pPr>
    </w:p>
    <w:p w14:paraId="00000010" w14:textId="77777777" w:rsidR="00CC358E" w:rsidRDefault="00CC358E">
      <w:pPr>
        <w:pStyle w:val="Heading1"/>
        <w:rPr>
          <w:color w:val="000000"/>
        </w:rPr>
      </w:pPr>
    </w:p>
    <w:p w14:paraId="00000011" w14:textId="77777777" w:rsidR="00CC358E" w:rsidRDefault="00CC358E">
      <w:pPr>
        <w:pStyle w:val="Heading1"/>
        <w:rPr>
          <w:color w:val="000000"/>
        </w:rPr>
      </w:pPr>
    </w:p>
    <w:p w14:paraId="00000012" w14:textId="77777777" w:rsidR="00CC358E" w:rsidRDefault="00CC358E">
      <w:pPr>
        <w:pStyle w:val="Heading1"/>
        <w:rPr>
          <w:color w:val="000000"/>
        </w:rPr>
      </w:pPr>
    </w:p>
    <w:p w14:paraId="00000013" w14:textId="77777777" w:rsidR="00CC358E" w:rsidRDefault="00CC358E">
      <w:pPr>
        <w:pStyle w:val="Heading1"/>
        <w:rPr>
          <w:color w:val="000000"/>
        </w:rPr>
      </w:pPr>
    </w:p>
    <w:p w14:paraId="00000014" w14:textId="77777777" w:rsidR="00CC358E" w:rsidRDefault="00CC358E">
      <w:pPr>
        <w:pStyle w:val="Heading1"/>
        <w:rPr>
          <w:color w:val="000000"/>
        </w:rPr>
      </w:pPr>
    </w:p>
    <w:p w14:paraId="00000015" w14:textId="77777777" w:rsidR="00CC358E" w:rsidRPr="008937CF" w:rsidRDefault="00000000">
      <w:pPr>
        <w:pStyle w:val="Heading1"/>
        <w:rPr>
          <w:color w:val="000000"/>
          <w:sz w:val="22"/>
          <w:szCs w:val="22"/>
        </w:rPr>
      </w:pPr>
      <w:r w:rsidRPr="008937CF">
        <w:rPr>
          <w:color w:val="000000"/>
          <w:sz w:val="22"/>
          <w:szCs w:val="22"/>
        </w:rPr>
        <w:t>Table of Contents</w:t>
      </w:r>
    </w:p>
    <w:p w14:paraId="00000016" w14:textId="77777777" w:rsidR="00CC358E" w:rsidRPr="008937CF" w:rsidRDefault="00000000">
      <w:pPr>
        <w:tabs>
          <w:tab w:val="right" w:pos="9026"/>
        </w:tabs>
        <w:spacing w:after="120"/>
        <w:rPr>
          <w:sz w:val="22"/>
          <w:szCs w:val="22"/>
        </w:rPr>
      </w:pPr>
      <w:r w:rsidRPr="008937CF">
        <w:rPr>
          <w:sz w:val="22"/>
          <w:szCs w:val="22"/>
        </w:rPr>
        <w:t>1. Introduction3</w:t>
      </w:r>
    </w:p>
    <w:p w14:paraId="00000017" w14:textId="77777777" w:rsidR="00CC358E" w:rsidRPr="008937CF" w:rsidRDefault="00000000">
      <w:pPr>
        <w:tabs>
          <w:tab w:val="right" w:pos="9026"/>
        </w:tabs>
        <w:spacing w:after="120"/>
        <w:ind w:left="432"/>
        <w:rPr>
          <w:sz w:val="22"/>
          <w:szCs w:val="22"/>
        </w:rPr>
      </w:pPr>
      <w:r w:rsidRPr="008937CF">
        <w:rPr>
          <w:sz w:val="22"/>
          <w:szCs w:val="22"/>
        </w:rPr>
        <w:t>1.1 Aim and Objectives… 3</w:t>
      </w:r>
    </w:p>
    <w:p w14:paraId="00000018" w14:textId="77777777" w:rsidR="00CC358E" w:rsidRPr="008937CF" w:rsidRDefault="00000000">
      <w:pPr>
        <w:tabs>
          <w:tab w:val="right" w:pos="9026"/>
        </w:tabs>
        <w:spacing w:after="120"/>
        <w:ind w:left="432"/>
        <w:rPr>
          <w:sz w:val="22"/>
          <w:szCs w:val="22"/>
        </w:rPr>
      </w:pPr>
      <w:r w:rsidRPr="008937CF">
        <w:rPr>
          <w:sz w:val="22"/>
          <w:szCs w:val="22"/>
        </w:rPr>
        <w:t>1.2 Significance of the Study… 3</w:t>
      </w:r>
    </w:p>
    <w:p w14:paraId="00000019" w14:textId="77777777" w:rsidR="00CC358E" w:rsidRPr="008937CF" w:rsidRDefault="00000000">
      <w:pPr>
        <w:tabs>
          <w:tab w:val="right" w:pos="9026"/>
        </w:tabs>
        <w:spacing w:after="120"/>
        <w:ind w:left="432"/>
        <w:rPr>
          <w:sz w:val="22"/>
          <w:szCs w:val="22"/>
        </w:rPr>
      </w:pPr>
      <w:r w:rsidRPr="008937CF">
        <w:rPr>
          <w:sz w:val="22"/>
          <w:szCs w:val="22"/>
        </w:rPr>
        <w:t>1.3 Structure of the Report …3</w:t>
      </w:r>
    </w:p>
    <w:p w14:paraId="0000001A" w14:textId="77777777" w:rsidR="00CC358E" w:rsidRPr="008937CF" w:rsidRDefault="00000000">
      <w:pPr>
        <w:tabs>
          <w:tab w:val="right" w:pos="9026"/>
        </w:tabs>
        <w:spacing w:after="120"/>
        <w:rPr>
          <w:sz w:val="22"/>
          <w:szCs w:val="22"/>
        </w:rPr>
      </w:pPr>
      <w:r w:rsidRPr="008937CF">
        <w:rPr>
          <w:sz w:val="22"/>
          <w:szCs w:val="22"/>
        </w:rPr>
        <w:t>2. Literature Review…6</w:t>
      </w:r>
    </w:p>
    <w:p w14:paraId="0000001B" w14:textId="77777777" w:rsidR="00CC358E" w:rsidRPr="008937CF" w:rsidRDefault="00000000">
      <w:pPr>
        <w:tabs>
          <w:tab w:val="right" w:pos="9026"/>
        </w:tabs>
        <w:spacing w:after="120"/>
        <w:ind w:left="432"/>
        <w:rPr>
          <w:sz w:val="22"/>
          <w:szCs w:val="22"/>
        </w:rPr>
      </w:pPr>
      <w:r w:rsidRPr="008937CF">
        <w:rPr>
          <w:sz w:val="22"/>
          <w:szCs w:val="22"/>
        </w:rPr>
        <w:t>2.1 Theoretical Frameworks: Person-Centred Care and Dignity…6</w:t>
      </w:r>
    </w:p>
    <w:p w14:paraId="0000001C" w14:textId="77777777" w:rsidR="00CC358E" w:rsidRPr="008937CF" w:rsidRDefault="00000000">
      <w:pPr>
        <w:tabs>
          <w:tab w:val="right" w:pos="9026"/>
        </w:tabs>
        <w:spacing w:after="120"/>
        <w:ind w:left="432"/>
        <w:rPr>
          <w:sz w:val="22"/>
          <w:szCs w:val="22"/>
        </w:rPr>
      </w:pPr>
      <w:r w:rsidRPr="008937CF">
        <w:rPr>
          <w:sz w:val="22"/>
          <w:szCs w:val="22"/>
        </w:rPr>
        <w:t>2.2 The Demographic and Policy Context…6</w:t>
      </w:r>
    </w:p>
    <w:p w14:paraId="0000001D" w14:textId="77777777" w:rsidR="00CC358E" w:rsidRPr="008937CF" w:rsidRDefault="00000000">
      <w:pPr>
        <w:tabs>
          <w:tab w:val="right" w:pos="9026"/>
        </w:tabs>
        <w:spacing w:after="120"/>
        <w:ind w:left="432"/>
        <w:rPr>
          <w:sz w:val="22"/>
          <w:szCs w:val="22"/>
        </w:rPr>
      </w:pPr>
      <w:r w:rsidRPr="008937CF">
        <w:rPr>
          <w:sz w:val="22"/>
          <w:szCs w:val="22"/>
        </w:rPr>
        <w:t>2.3 Regulatory Oversight: The Role and Effectiveness of the CQC…6</w:t>
      </w:r>
    </w:p>
    <w:p w14:paraId="0000001E" w14:textId="77777777" w:rsidR="00CC358E" w:rsidRPr="008937CF" w:rsidRDefault="00000000">
      <w:pPr>
        <w:tabs>
          <w:tab w:val="right" w:pos="9026"/>
        </w:tabs>
        <w:spacing w:after="120"/>
        <w:ind w:left="432"/>
        <w:rPr>
          <w:sz w:val="22"/>
          <w:szCs w:val="22"/>
        </w:rPr>
      </w:pPr>
      <w:r w:rsidRPr="008937CF">
        <w:rPr>
          <w:sz w:val="22"/>
          <w:szCs w:val="22"/>
        </w:rPr>
        <w:t>2.4 Workforce and Staffing Challenges…6</w:t>
      </w:r>
    </w:p>
    <w:p w14:paraId="0000001F" w14:textId="77777777" w:rsidR="00CC358E" w:rsidRPr="008937CF" w:rsidRDefault="00000000">
      <w:pPr>
        <w:tabs>
          <w:tab w:val="right" w:pos="9026"/>
        </w:tabs>
        <w:spacing w:after="120"/>
        <w:ind w:left="432"/>
        <w:rPr>
          <w:sz w:val="22"/>
          <w:szCs w:val="22"/>
        </w:rPr>
      </w:pPr>
      <w:r w:rsidRPr="008937CF">
        <w:rPr>
          <w:sz w:val="22"/>
          <w:szCs w:val="22"/>
        </w:rPr>
        <w:t>2.5 Social and Psychological Wellbeing: Loneliness and Isolation…6</w:t>
      </w:r>
    </w:p>
    <w:p w14:paraId="00000020" w14:textId="77777777" w:rsidR="00CC358E" w:rsidRPr="008937CF" w:rsidRDefault="00000000">
      <w:pPr>
        <w:tabs>
          <w:tab w:val="right" w:pos="9026"/>
        </w:tabs>
        <w:spacing w:after="120"/>
        <w:ind w:left="432"/>
        <w:rPr>
          <w:sz w:val="22"/>
          <w:szCs w:val="22"/>
        </w:rPr>
      </w:pPr>
      <w:r w:rsidRPr="008937CF">
        <w:rPr>
          <w:sz w:val="22"/>
          <w:szCs w:val="22"/>
        </w:rPr>
        <w:t>2.6 Gaps in the Existing Literature…6</w:t>
      </w:r>
    </w:p>
    <w:p w14:paraId="00000021" w14:textId="77777777" w:rsidR="00CC358E" w:rsidRPr="008937CF" w:rsidRDefault="00000000">
      <w:pPr>
        <w:tabs>
          <w:tab w:val="right" w:pos="9026"/>
        </w:tabs>
        <w:spacing w:after="120"/>
        <w:rPr>
          <w:sz w:val="22"/>
          <w:szCs w:val="22"/>
        </w:rPr>
      </w:pPr>
      <w:r w:rsidRPr="008937CF">
        <w:rPr>
          <w:sz w:val="22"/>
          <w:szCs w:val="22"/>
        </w:rPr>
        <w:t>3. Methodology…12</w:t>
      </w:r>
    </w:p>
    <w:p w14:paraId="00000022" w14:textId="77777777" w:rsidR="00CC358E" w:rsidRPr="008937CF" w:rsidRDefault="00000000">
      <w:pPr>
        <w:tabs>
          <w:tab w:val="right" w:pos="9026"/>
        </w:tabs>
        <w:spacing w:after="120"/>
        <w:ind w:left="432"/>
        <w:rPr>
          <w:sz w:val="22"/>
          <w:szCs w:val="22"/>
        </w:rPr>
      </w:pPr>
      <w:r w:rsidRPr="008937CF">
        <w:rPr>
          <w:sz w:val="22"/>
          <w:szCs w:val="22"/>
        </w:rPr>
        <w:t>3.1 Research Design12</w:t>
      </w:r>
    </w:p>
    <w:p w14:paraId="00000023" w14:textId="77777777" w:rsidR="00CC358E" w:rsidRPr="008937CF" w:rsidRDefault="00000000">
      <w:pPr>
        <w:tabs>
          <w:tab w:val="right" w:pos="9026"/>
        </w:tabs>
        <w:spacing w:after="120"/>
        <w:ind w:left="432"/>
        <w:rPr>
          <w:sz w:val="22"/>
          <w:szCs w:val="22"/>
        </w:rPr>
      </w:pPr>
      <w:r w:rsidRPr="008937CF">
        <w:rPr>
          <w:sz w:val="22"/>
          <w:szCs w:val="22"/>
        </w:rPr>
        <w:t>3.2 Search Strategy…12</w:t>
      </w:r>
    </w:p>
    <w:p w14:paraId="00000024" w14:textId="77777777" w:rsidR="00CC358E" w:rsidRPr="008937CF" w:rsidRDefault="00000000">
      <w:pPr>
        <w:tabs>
          <w:tab w:val="right" w:pos="9026"/>
        </w:tabs>
        <w:spacing w:after="120"/>
        <w:ind w:left="432"/>
        <w:rPr>
          <w:sz w:val="22"/>
          <w:szCs w:val="22"/>
        </w:rPr>
      </w:pPr>
      <w:r w:rsidRPr="008937CF">
        <w:rPr>
          <w:sz w:val="22"/>
          <w:szCs w:val="22"/>
        </w:rPr>
        <w:t>3.3 Inclusion and Exclusion Criteria…12</w:t>
      </w:r>
    </w:p>
    <w:p w14:paraId="00000025" w14:textId="77777777" w:rsidR="00CC358E" w:rsidRPr="008937CF" w:rsidRDefault="00000000">
      <w:pPr>
        <w:tabs>
          <w:tab w:val="right" w:pos="9026"/>
        </w:tabs>
        <w:spacing w:after="120"/>
        <w:ind w:left="432"/>
        <w:rPr>
          <w:sz w:val="22"/>
          <w:szCs w:val="22"/>
        </w:rPr>
      </w:pPr>
      <w:r w:rsidRPr="008937CF">
        <w:rPr>
          <w:sz w:val="22"/>
          <w:szCs w:val="22"/>
        </w:rPr>
        <w:t>3.4 Quality Appraisal…12</w:t>
      </w:r>
    </w:p>
    <w:p w14:paraId="00000026" w14:textId="77777777" w:rsidR="00CC358E" w:rsidRPr="008937CF" w:rsidRDefault="00000000">
      <w:pPr>
        <w:tabs>
          <w:tab w:val="right" w:pos="9026"/>
        </w:tabs>
        <w:spacing w:after="120"/>
        <w:ind w:left="432"/>
        <w:rPr>
          <w:sz w:val="22"/>
          <w:szCs w:val="22"/>
        </w:rPr>
      </w:pPr>
      <w:r w:rsidRPr="008937CF">
        <w:rPr>
          <w:sz w:val="22"/>
          <w:szCs w:val="22"/>
        </w:rPr>
        <w:t>3.5 Data Analysis: Thematic Synthesis…12</w:t>
      </w:r>
    </w:p>
    <w:p w14:paraId="00000027" w14:textId="77777777" w:rsidR="00CC358E" w:rsidRPr="008937CF" w:rsidRDefault="00000000">
      <w:pPr>
        <w:tabs>
          <w:tab w:val="right" w:pos="9026"/>
        </w:tabs>
        <w:spacing w:after="120"/>
        <w:ind w:left="432"/>
        <w:rPr>
          <w:sz w:val="22"/>
          <w:szCs w:val="22"/>
        </w:rPr>
      </w:pPr>
      <w:r w:rsidRPr="008937CF">
        <w:rPr>
          <w:sz w:val="22"/>
          <w:szCs w:val="22"/>
        </w:rPr>
        <w:t>3.6 Ethical Considerations…12</w:t>
      </w:r>
    </w:p>
    <w:p w14:paraId="00000028" w14:textId="77777777" w:rsidR="00CC358E" w:rsidRPr="008937CF" w:rsidRDefault="00000000">
      <w:pPr>
        <w:tabs>
          <w:tab w:val="right" w:pos="9026"/>
        </w:tabs>
        <w:spacing w:after="120"/>
        <w:ind w:left="432"/>
        <w:rPr>
          <w:sz w:val="22"/>
          <w:szCs w:val="22"/>
        </w:rPr>
      </w:pPr>
      <w:r w:rsidRPr="008937CF">
        <w:rPr>
          <w:sz w:val="22"/>
          <w:szCs w:val="22"/>
        </w:rPr>
        <w:t>3.7 Limitations of the Methodology…12</w:t>
      </w:r>
    </w:p>
    <w:p w14:paraId="00000029" w14:textId="77777777" w:rsidR="00CC358E" w:rsidRPr="008937CF" w:rsidRDefault="00000000">
      <w:pPr>
        <w:tabs>
          <w:tab w:val="right" w:pos="9026"/>
        </w:tabs>
        <w:spacing w:after="120"/>
        <w:rPr>
          <w:sz w:val="22"/>
          <w:szCs w:val="22"/>
        </w:rPr>
      </w:pPr>
      <w:r w:rsidRPr="008937CF">
        <w:rPr>
          <w:sz w:val="22"/>
          <w:szCs w:val="22"/>
        </w:rPr>
        <w:t>4. Findings and Discussion…17</w:t>
      </w:r>
    </w:p>
    <w:p w14:paraId="0000002A" w14:textId="77777777" w:rsidR="00CC358E" w:rsidRPr="008937CF" w:rsidRDefault="00000000">
      <w:pPr>
        <w:tabs>
          <w:tab w:val="right" w:pos="9026"/>
        </w:tabs>
        <w:spacing w:after="120"/>
        <w:ind w:left="432"/>
        <w:rPr>
          <w:sz w:val="22"/>
          <w:szCs w:val="22"/>
        </w:rPr>
      </w:pPr>
      <w:r w:rsidRPr="008937CF">
        <w:rPr>
          <w:sz w:val="22"/>
          <w:szCs w:val="22"/>
        </w:rPr>
        <w:t>4.1 Theme One: The Policy-Practice Gap in Regulatory Oversight…17</w:t>
      </w:r>
    </w:p>
    <w:p w14:paraId="0000002B" w14:textId="77777777" w:rsidR="00CC358E" w:rsidRPr="008937CF" w:rsidRDefault="00000000">
      <w:pPr>
        <w:tabs>
          <w:tab w:val="right" w:pos="9026"/>
        </w:tabs>
        <w:spacing w:after="120"/>
        <w:ind w:left="432"/>
        <w:rPr>
          <w:sz w:val="22"/>
          <w:szCs w:val="22"/>
        </w:rPr>
      </w:pPr>
      <w:r w:rsidRPr="008937CF">
        <w:rPr>
          <w:sz w:val="22"/>
          <w:szCs w:val="22"/>
        </w:rPr>
        <w:t>4.2 Theme Two: Workforce, Staffing, and Quality of Care…17</w:t>
      </w:r>
    </w:p>
    <w:p w14:paraId="0000002C" w14:textId="77777777" w:rsidR="00CC358E" w:rsidRPr="008937CF" w:rsidRDefault="00000000">
      <w:pPr>
        <w:tabs>
          <w:tab w:val="right" w:pos="9026"/>
        </w:tabs>
        <w:spacing w:after="120"/>
        <w:ind w:left="432"/>
        <w:rPr>
          <w:sz w:val="22"/>
          <w:szCs w:val="22"/>
        </w:rPr>
      </w:pPr>
      <w:r w:rsidRPr="008937CF">
        <w:rPr>
          <w:sz w:val="22"/>
          <w:szCs w:val="22"/>
        </w:rPr>
        <w:t>4.3 Theme Three: Person-Centred Care in Practice…17</w:t>
      </w:r>
    </w:p>
    <w:p w14:paraId="0000002D" w14:textId="77777777" w:rsidR="00CC358E" w:rsidRPr="008937CF" w:rsidRDefault="00000000">
      <w:pPr>
        <w:tabs>
          <w:tab w:val="right" w:pos="9026"/>
        </w:tabs>
        <w:spacing w:after="120"/>
        <w:ind w:left="432"/>
        <w:rPr>
          <w:sz w:val="22"/>
          <w:szCs w:val="22"/>
        </w:rPr>
      </w:pPr>
      <w:r w:rsidRPr="008937CF">
        <w:rPr>
          <w:sz w:val="22"/>
          <w:szCs w:val="22"/>
        </w:rPr>
        <w:t>4.4 Theme Four: Social Wellbeing, Loneliness, and Quality of Life…17</w:t>
      </w:r>
    </w:p>
    <w:p w14:paraId="0000002E" w14:textId="77777777" w:rsidR="00CC358E" w:rsidRPr="008937CF" w:rsidRDefault="00000000">
      <w:pPr>
        <w:tabs>
          <w:tab w:val="right" w:pos="9026"/>
        </w:tabs>
        <w:spacing w:after="120"/>
        <w:ind w:left="432"/>
        <w:rPr>
          <w:sz w:val="22"/>
          <w:szCs w:val="22"/>
        </w:rPr>
      </w:pPr>
      <w:r w:rsidRPr="008937CF">
        <w:rPr>
          <w:sz w:val="22"/>
          <w:szCs w:val="22"/>
        </w:rPr>
        <w:t>4.5 Synthesis Across Themes…17</w:t>
      </w:r>
    </w:p>
    <w:p w14:paraId="0000002F" w14:textId="77777777" w:rsidR="00CC358E" w:rsidRPr="008937CF" w:rsidRDefault="00000000">
      <w:pPr>
        <w:tabs>
          <w:tab w:val="right" w:pos="9026"/>
        </w:tabs>
        <w:spacing w:after="120"/>
        <w:rPr>
          <w:sz w:val="22"/>
          <w:szCs w:val="22"/>
        </w:rPr>
      </w:pPr>
      <w:r w:rsidRPr="008937CF">
        <w:rPr>
          <w:sz w:val="22"/>
          <w:szCs w:val="22"/>
        </w:rPr>
        <w:t>5. Conclusion and Recommendations…24</w:t>
      </w:r>
    </w:p>
    <w:p w14:paraId="00000030" w14:textId="77777777" w:rsidR="00CC358E" w:rsidRPr="008937CF" w:rsidRDefault="00000000">
      <w:pPr>
        <w:tabs>
          <w:tab w:val="right" w:pos="9026"/>
        </w:tabs>
        <w:spacing w:after="120"/>
        <w:ind w:left="432"/>
        <w:rPr>
          <w:sz w:val="22"/>
          <w:szCs w:val="22"/>
        </w:rPr>
      </w:pPr>
      <w:r w:rsidRPr="008937CF">
        <w:rPr>
          <w:sz w:val="22"/>
          <w:szCs w:val="22"/>
        </w:rPr>
        <w:t>5.1 Summary of Key Findings…24</w:t>
      </w:r>
    </w:p>
    <w:p w14:paraId="00000031" w14:textId="77777777" w:rsidR="00CC358E" w:rsidRPr="008937CF" w:rsidRDefault="00000000">
      <w:pPr>
        <w:tabs>
          <w:tab w:val="right" w:pos="9026"/>
        </w:tabs>
        <w:spacing w:after="120"/>
        <w:ind w:left="432"/>
        <w:rPr>
          <w:sz w:val="22"/>
          <w:szCs w:val="22"/>
        </w:rPr>
      </w:pPr>
      <w:r w:rsidRPr="008937CF">
        <w:rPr>
          <w:sz w:val="22"/>
          <w:szCs w:val="22"/>
        </w:rPr>
        <w:t>5.2 Recommendations…24</w:t>
      </w:r>
    </w:p>
    <w:p w14:paraId="00000032" w14:textId="77777777" w:rsidR="00CC358E" w:rsidRPr="008937CF" w:rsidRDefault="00000000">
      <w:pPr>
        <w:tabs>
          <w:tab w:val="right" w:pos="9026"/>
        </w:tabs>
        <w:spacing w:after="120"/>
        <w:ind w:left="432"/>
        <w:rPr>
          <w:sz w:val="22"/>
          <w:szCs w:val="22"/>
        </w:rPr>
      </w:pPr>
      <w:r w:rsidRPr="008937CF">
        <w:rPr>
          <w:sz w:val="22"/>
          <w:szCs w:val="22"/>
        </w:rPr>
        <w:t>5.3 Limitations…24</w:t>
      </w:r>
    </w:p>
    <w:p w14:paraId="00000033" w14:textId="77777777" w:rsidR="00CC358E" w:rsidRPr="008937CF" w:rsidRDefault="00000000">
      <w:pPr>
        <w:tabs>
          <w:tab w:val="right" w:pos="9026"/>
        </w:tabs>
        <w:spacing w:after="120"/>
        <w:ind w:left="432"/>
        <w:rPr>
          <w:sz w:val="22"/>
          <w:szCs w:val="22"/>
        </w:rPr>
      </w:pPr>
      <w:r w:rsidRPr="008937CF">
        <w:rPr>
          <w:sz w:val="22"/>
          <w:szCs w:val="22"/>
        </w:rPr>
        <w:t>5.4 Reflection and Areas for Future Research…24</w:t>
      </w:r>
    </w:p>
    <w:p w14:paraId="00000034" w14:textId="77777777" w:rsidR="00CC358E" w:rsidRPr="008937CF" w:rsidRDefault="00000000">
      <w:pPr>
        <w:tabs>
          <w:tab w:val="right" w:pos="9026"/>
        </w:tabs>
        <w:spacing w:after="120"/>
        <w:rPr>
          <w:sz w:val="22"/>
          <w:szCs w:val="22"/>
        </w:rPr>
      </w:pPr>
      <w:r w:rsidRPr="008937CF">
        <w:rPr>
          <w:sz w:val="22"/>
          <w:szCs w:val="22"/>
        </w:rPr>
        <w:t>References…27</w:t>
      </w:r>
    </w:p>
    <w:p w14:paraId="00000035" w14:textId="77777777" w:rsidR="00CC358E" w:rsidRPr="008937CF" w:rsidRDefault="00000000">
      <w:pPr>
        <w:rPr>
          <w:sz w:val="22"/>
          <w:szCs w:val="22"/>
        </w:rPr>
      </w:pPr>
      <w:r w:rsidRPr="008937CF">
        <w:rPr>
          <w:sz w:val="22"/>
          <w:szCs w:val="22"/>
        </w:rPr>
        <w:br w:type="page"/>
      </w:r>
    </w:p>
    <w:p w14:paraId="00000036" w14:textId="77777777" w:rsidR="00CC358E" w:rsidRPr="008937CF" w:rsidRDefault="00000000">
      <w:pPr>
        <w:pStyle w:val="Heading1"/>
        <w:rPr>
          <w:color w:val="000000"/>
          <w:sz w:val="22"/>
          <w:szCs w:val="22"/>
        </w:rPr>
      </w:pPr>
      <w:r w:rsidRPr="008937CF">
        <w:rPr>
          <w:color w:val="000000"/>
          <w:sz w:val="22"/>
          <w:szCs w:val="22"/>
        </w:rPr>
        <w:lastRenderedPageBreak/>
        <w:t>1. Introduction</w:t>
      </w:r>
    </w:p>
    <w:p w14:paraId="00000037" w14:textId="77777777" w:rsidR="00CC358E" w:rsidRPr="008937CF" w:rsidRDefault="00000000">
      <w:pPr>
        <w:spacing w:after="200" w:line="336" w:lineRule="auto"/>
        <w:jc w:val="both"/>
        <w:rPr>
          <w:sz w:val="22"/>
          <w:szCs w:val="22"/>
        </w:rPr>
      </w:pPr>
      <w:r w:rsidRPr="008937CF">
        <w:rPr>
          <w:sz w:val="22"/>
          <w:szCs w:val="22"/>
        </w:rPr>
        <w:t>The population of the United Kingdom is ageing at an unprecedented rate, and the West Midlands is no exception to this national trend. As the number of adults aged 85 and above continues to grow, residential care homes are increasingly relied upon to provide safe, dignified, and effective support for older people whose needs can no longer be met at home (Kingston, A. et al., 2018). Residential care occupies a uniquely important position within the health and social care landscape: for many residents it becomes not simply a place of treatment but a permanent home, and the quality of everyday life within it has a profound bearing on physical health, psychological wellbeing, and dignity in later life.</w:t>
      </w:r>
    </w:p>
    <w:p w14:paraId="00000038" w14:textId="77777777" w:rsidR="00CC358E" w:rsidRPr="008937CF" w:rsidRDefault="00000000">
      <w:pPr>
        <w:spacing w:after="200" w:line="336" w:lineRule="auto"/>
        <w:jc w:val="both"/>
        <w:rPr>
          <w:sz w:val="22"/>
          <w:szCs w:val="22"/>
        </w:rPr>
      </w:pPr>
      <w:r w:rsidRPr="008937CF">
        <w:rPr>
          <w:sz w:val="22"/>
          <w:szCs w:val="22"/>
        </w:rPr>
        <w:t>Despite this importance, the residential care sector in England, and in the West Midlands specifically, continues to face significant and well-documented challenges. Workforce shortages, high staff turnover, and inconsistent training provision have been repeatedly identified as threats to care quality (Spilsbury, K. et al., 2011). Regulatory oversight through the Care Quality Commission (CQC) aims to safeguard standards, yet questions remain about how consistently national standards translate into everyday practice at the level of the individual care home (Care Quality Commission, 2024). At the same time, theoretical models of good practice, most notably person-centred care, have gained widespread endorsement in policy and professional guidance, but their translation into consistent, resourced, everyday practice is far from guaranteed (Edvardsson, D., Winblad, B. and Sandman, P.O., 2008).</w:t>
      </w:r>
    </w:p>
    <w:p w14:paraId="00000039" w14:textId="77777777" w:rsidR="00CC358E" w:rsidRPr="008937CF" w:rsidRDefault="00000000">
      <w:pPr>
        <w:spacing w:after="200" w:line="336" w:lineRule="auto"/>
        <w:jc w:val="both"/>
        <w:rPr>
          <w:sz w:val="22"/>
          <w:szCs w:val="22"/>
        </w:rPr>
      </w:pPr>
      <w:r w:rsidRPr="008937CF">
        <w:rPr>
          <w:sz w:val="22"/>
          <w:szCs w:val="22"/>
        </w:rPr>
        <w:t>This project is concerned with the gap between these theoretical and regulatory ideals and the lived reality of residential care provision. It proceeds from the premise that understanding this gap, and identifying where it is widest and why, is a necessary step toward meaningful improvement. The West Midlands provides a particularly relevant regional focus: it combines large urban centres such as Birmingham and Coventry with more rural areas, giving rise to varied patterns of service provision, workforce availability, and demographic pressure that make it a useful lens through which to examine issues that are, in many respects, also national in character.</w:t>
      </w:r>
    </w:p>
    <w:p w14:paraId="0000003A" w14:textId="77777777" w:rsidR="00CC358E" w:rsidRPr="008937CF" w:rsidRDefault="00000000">
      <w:pPr>
        <w:spacing w:after="200" w:line="336" w:lineRule="auto"/>
        <w:jc w:val="both"/>
        <w:rPr>
          <w:sz w:val="22"/>
          <w:szCs w:val="22"/>
        </w:rPr>
      </w:pPr>
      <w:r w:rsidRPr="008937CF">
        <w:rPr>
          <w:sz w:val="22"/>
          <w:szCs w:val="22"/>
        </w:rPr>
        <w:t>The stakes of this inquiry are not abstract. For a resident who may spend the final years of their life within a single care home, the difference between a home that delivers genuinely individualised, dignified care and one that merely meets minimum safety thresholds is the difference between a life that continues to feel meaningful and one that does not. Family members, too, carry the weight of these differences, often facing difficult decisions about placement with only partial and, as this project will argue, potentially outdated information about the quality they can expect. It is this combination of high personal stakes and a genuinely uncertain evidence picture that makes the subject both practically urgent and academically worthwhile.</w:t>
      </w:r>
    </w:p>
    <w:p w14:paraId="0000003B" w14:textId="77777777" w:rsidR="00CC358E" w:rsidRPr="008937CF" w:rsidRDefault="00000000">
      <w:pPr>
        <w:pStyle w:val="Heading2"/>
        <w:rPr>
          <w:color w:val="000000"/>
          <w:sz w:val="22"/>
          <w:szCs w:val="22"/>
        </w:rPr>
      </w:pPr>
      <w:r w:rsidRPr="008937CF">
        <w:rPr>
          <w:color w:val="000000"/>
          <w:sz w:val="22"/>
          <w:szCs w:val="22"/>
        </w:rPr>
        <w:lastRenderedPageBreak/>
        <w:t>1.1 Aim and Objectives</w:t>
      </w:r>
    </w:p>
    <w:p w14:paraId="0000003C" w14:textId="77777777" w:rsidR="00CC358E" w:rsidRPr="008937CF" w:rsidRDefault="00000000">
      <w:pPr>
        <w:spacing w:after="200" w:line="336" w:lineRule="auto"/>
        <w:jc w:val="both"/>
        <w:rPr>
          <w:sz w:val="22"/>
          <w:szCs w:val="22"/>
        </w:rPr>
      </w:pPr>
      <w:r w:rsidRPr="008937CF">
        <w:rPr>
          <w:sz w:val="22"/>
          <w:szCs w:val="22"/>
        </w:rPr>
        <w:t>The aim of this project is to critically examine the quality of elderly care provision within residential care homes in the West Midlands, identifying gaps in service delivery, policy implementation challenges, and variations in care practice, in order to generate evidence-based recommendations that enhance residents’ dignity, wellbeing, and overall quality of life.</w:t>
      </w:r>
    </w:p>
    <w:p w14:paraId="0000003D" w14:textId="77777777" w:rsidR="00CC358E" w:rsidRPr="008937CF" w:rsidRDefault="00000000">
      <w:pPr>
        <w:spacing w:after="200" w:line="336" w:lineRule="auto"/>
        <w:jc w:val="both"/>
        <w:rPr>
          <w:sz w:val="22"/>
          <w:szCs w:val="22"/>
        </w:rPr>
      </w:pPr>
      <w:r w:rsidRPr="008937CF">
        <w:rPr>
          <w:sz w:val="22"/>
          <w:szCs w:val="22"/>
        </w:rPr>
        <w:t>This aim is addressed through four specific objectives. First, to define and examine the conceptual frameworks underpinning quality elderly care in residential settings, including person-centred care models and dignity-in-care principles. Second, to analyse the regulatory framework governing residential care provision in the West Midlands, evaluating how national standards are implemented locally. Third, to evaluate current care practices, including staffing arrangements, training provision, and the psychosocial wellbeing of residents. Fourth, to provide evidence-based recommendations for improving care quality that remain realistic within existing workforce and funding constraints.</w:t>
      </w:r>
    </w:p>
    <w:p w14:paraId="0000003E" w14:textId="77777777" w:rsidR="00CC358E" w:rsidRPr="008937CF" w:rsidRDefault="00000000">
      <w:pPr>
        <w:pStyle w:val="Heading2"/>
        <w:rPr>
          <w:color w:val="000000"/>
          <w:sz w:val="22"/>
          <w:szCs w:val="22"/>
        </w:rPr>
      </w:pPr>
      <w:r w:rsidRPr="008937CF">
        <w:rPr>
          <w:color w:val="000000"/>
          <w:sz w:val="22"/>
          <w:szCs w:val="22"/>
        </w:rPr>
        <w:t>1.2 Significance of the Study</w:t>
      </w:r>
    </w:p>
    <w:p w14:paraId="0000003F" w14:textId="77777777" w:rsidR="00CC358E" w:rsidRPr="008937CF" w:rsidRDefault="00000000">
      <w:pPr>
        <w:spacing w:after="200" w:line="336" w:lineRule="auto"/>
        <w:jc w:val="both"/>
        <w:rPr>
          <w:sz w:val="22"/>
          <w:szCs w:val="22"/>
        </w:rPr>
      </w:pPr>
      <w:r w:rsidRPr="008937CF">
        <w:rPr>
          <w:sz w:val="22"/>
          <w:szCs w:val="22"/>
        </w:rPr>
        <w:t>This project is significant for several interconnected reasons. Practically, it responds to an ongoing need identified by both regulators and workforce bodies for clearer evidence about what drives variation in care quality, so that scarce resources can be targeted more effectively (Skills for Care, 2024). Theoretically, it contributes to an existing body of literature that has tended to examine staffing, regulation, person-centred care, and resident wellbeing as separate concerns, by drawing them together within a single regional case. Practically and ethically, it matters because the residents at the centre of this discussion are among the most vulnerable members of society, and shortcomings in their care carry consequences that are measured not in abstract statistics but in individual experiences of comfort, dignity, and distress. The project also arrives at a particularly relevant moment: a major government-commissioned review of the sector’s primary regulator was published only shortly before this project was undertaken, making a critical, evidence-based examination of how well regulation is currently functioning both timely and necessary.</w:t>
      </w:r>
    </w:p>
    <w:p w14:paraId="00000040" w14:textId="77777777" w:rsidR="00CC358E" w:rsidRPr="008937CF" w:rsidRDefault="00000000">
      <w:pPr>
        <w:pStyle w:val="Heading2"/>
        <w:rPr>
          <w:color w:val="000000"/>
          <w:sz w:val="22"/>
          <w:szCs w:val="22"/>
        </w:rPr>
      </w:pPr>
      <w:r w:rsidRPr="008937CF">
        <w:rPr>
          <w:color w:val="000000"/>
          <w:sz w:val="22"/>
          <w:szCs w:val="22"/>
        </w:rPr>
        <w:t>1.3 Structure of the Report</w:t>
      </w:r>
    </w:p>
    <w:p w14:paraId="00000041" w14:textId="77777777" w:rsidR="00CC358E" w:rsidRPr="008937CF" w:rsidRDefault="00000000">
      <w:pPr>
        <w:spacing w:after="200" w:line="336" w:lineRule="auto"/>
        <w:jc w:val="both"/>
        <w:rPr>
          <w:sz w:val="22"/>
          <w:szCs w:val="22"/>
        </w:rPr>
      </w:pPr>
      <w:r w:rsidRPr="008937CF">
        <w:rPr>
          <w:sz w:val="22"/>
          <w:szCs w:val="22"/>
        </w:rPr>
        <w:t xml:space="preserve">Following this introduction, Chapter 2 presents a review of the existing literature relating to person-centred care, the demographic and policy context, regulatory oversight, workforce challenges, and the social and psychological wellbeing of residents, before identifying the specific gaps this project addresses. Chapter 3 sets out the secondary research methodology employed, including the search strategy, inclusion and exclusion criteria, approach to analysis, and ethical considerations. Chapter 4 presents and discusses findings organised around four key themes emerging from the literature. Chapter 5 </w:t>
      </w:r>
      <w:r w:rsidRPr="008937CF">
        <w:rPr>
          <w:sz w:val="22"/>
          <w:szCs w:val="22"/>
        </w:rPr>
        <w:lastRenderedPageBreak/>
        <w:t>concludes the report with a summary of key findings, practical recommendations, an acknowledgement of limitations, and reflections on the research process.</w:t>
      </w:r>
    </w:p>
    <w:p w14:paraId="00000042" w14:textId="77777777" w:rsidR="00CC358E" w:rsidRPr="008937CF" w:rsidRDefault="00000000">
      <w:pPr>
        <w:rPr>
          <w:sz w:val="22"/>
          <w:szCs w:val="22"/>
        </w:rPr>
      </w:pPr>
      <w:r w:rsidRPr="008937CF">
        <w:rPr>
          <w:sz w:val="22"/>
          <w:szCs w:val="22"/>
        </w:rPr>
        <w:br w:type="page"/>
      </w:r>
    </w:p>
    <w:p w14:paraId="00000043" w14:textId="77777777" w:rsidR="00CC358E" w:rsidRDefault="00000000">
      <w:pPr>
        <w:pStyle w:val="Heading1"/>
        <w:rPr>
          <w:color w:val="000000"/>
        </w:rPr>
      </w:pPr>
      <w:r>
        <w:rPr>
          <w:color w:val="000000"/>
        </w:rPr>
        <w:lastRenderedPageBreak/>
        <w:t>2. Literature Review</w:t>
      </w:r>
    </w:p>
    <w:p w14:paraId="00000044" w14:textId="77777777" w:rsidR="00CC358E" w:rsidRDefault="00000000">
      <w:pPr>
        <w:spacing w:after="200" w:line="336" w:lineRule="auto"/>
        <w:jc w:val="both"/>
      </w:pPr>
      <w:r>
        <w:t>This chapter reviews the existing evidence base relevant to elderly care provision in residential settings, structured around five areas: theoretical frameworks for quality care; the demographic and policy context; regulatory oversight; workforce and staffing challenges; and the social and psychological wellbeing of residents. The chapter concludes by identifying gaps in the current literature that this project seeks to address.</w:t>
      </w:r>
    </w:p>
    <w:p w14:paraId="00000045" w14:textId="77777777" w:rsidR="00CC358E" w:rsidRDefault="00000000">
      <w:pPr>
        <w:pStyle w:val="Heading2"/>
        <w:rPr>
          <w:color w:val="000000"/>
        </w:rPr>
      </w:pPr>
      <w:r>
        <w:rPr>
          <w:color w:val="000000"/>
        </w:rPr>
        <w:t>2.1 Theoretical Frameworks: Person-Centred Care and Dignity</w:t>
      </w:r>
    </w:p>
    <w:p w14:paraId="00000046" w14:textId="77777777" w:rsidR="00CC358E" w:rsidRDefault="00000000">
      <w:pPr>
        <w:spacing w:after="200" w:line="336" w:lineRule="auto"/>
        <w:jc w:val="both"/>
      </w:pPr>
      <w:r>
        <w:t>Person-centred care has become the dominant theoretical paradigm informing good practice in residential settings for older people. At its core, the model emphasises treating each resident as an individual with a unique history, preferences, and identity, rather than as a passive recipient of standardised care tasks (Edvardsson, D., Winblad, B. and Sandman, P.O., 2008). This approach is theorised to preserve personhood and dignity, particularly for residents living with dementia, whose sense of self can be especially vulnerable to depersonalising institutional routines.</w:t>
      </w:r>
    </w:p>
    <w:p w14:paraId="00000047" w14:textId="77777777" w:rsidR="00CC358E" w:rsidRDefault="00000000">
      <w:pPr>
        <w:spacing w:after="200" w:line="336" w:lineRule="auto"/>
        <w:jc w:val="both"/>
      </w:pPr>
      <w:r>
        <w:t>Empirical support for person-centred approaches has grown substantially over the past two decades. Brownie, S. and Nancarrow, S. (2013), in a systematic review of person-centred care in aged-care facilities, found consistent evidence of improved resident satisfaction and quality of life, alongside some evidence of benefits for staff, including reduced burnout. More rigorous experimental evidence has since emerged from cluster-randomised trials. Chenoweth, L. et al. (2009), in the CADRES study, found that both person-centred care and dementia-care mapping significantly reduced agitation among residents with dementia compared with usual care, although interestingly the person-centred care group experienced a higher rate of falls, illustrating that the benefits of such interventions are not uniformly positive across all outcome measures. The subsequent WHELD trial, a large UK-based cluster-randomised controlled trial involving 847 residents across 69 nursing homes, found that structured person-centred care training for staff produced modest but statistically significant improvements in residents’ quality of life and reductions in agitation and neuropsychiatric symptoms, while also proving cost-saving relative to usual care (Ballard, C. et al., 2018).</w:t>
      </w:r>
    </w:p>
    <w:p w14:paraId="00000048" w14:textId="77777777" w:rsidR="00CC358E" w:rsidRDefault="00000000">
      <w:pPr>
        <w:spacing w:after="200" w:line="336" w:lineRule="auto"/>
        <w:jc w:val="both"/>
      </w:pPr>
      <w:r>
        <w:t xml:space="preserve">Taken together, this literature suggests that person-centred care is not merely an aspirational value statement but an approach with a demonstrable, if modest, </w:t>
      </w:r>
      <w:r>
        <w:lastRenderedPageBreak/>
        <w:t>evidence base. However, a recurring caveat across these studies is that benefits depend heavily on the fidelity and consistency of implementation, which in turn depends on adequately trained and resourced staff, a theme this review returns to in section 2.4.</w:t>
      </w:r>
    </w:p>
    <w:p w14:paraId="00000049" w14:textId="77777777" w:rsidR="00CC358E" w:rsidRDefault="00000000">
      <w:pPr>
        <w:pStyle w:val="Heading2"/>
        <w:rPr>
          <w:color w:val="000000"/>
        </w:rPr>
      </w:pPr>
      <w:r>
        <w:rPr>
          <w:color w:val="000000"/>
        </w:rPr>
        <w:t>2.1.1 Dignity as a Related but Distinct Concept</w:t>
      </w:r>
    </w:p>
    <w:p w14:paraId="0000004A" w14:textId="77777777" w:rsidR="00CC358E" w:rsidRDefault="00000000">
      <w:pPr>
        <w:spacing w:after="200" w:line="336" w:lineRule="auto"/>
        <w:jc w:val="both"/>
      </w:pPr>
      <w:r>
        <w:t>Closely related to, but conceptually distinct from, person-centred care is the notion of dignity in care. Where person-centred care describes a professional approach or model of service delivery, dignity is better understood as an outcome, or a lens through which residents themselves evaluate their experience of care. Høy, B. et al. (2016), in a qualitative study involving twenty-eight nursing home residents across six homes in Scandinavia, found that residents experienced dignity as an ongoing identity process rather than a fixed state, constituted through opportunities to be involved as a human being, as the person they were and strove to become, and as an integrated member of wider society. This finding is significant because it reframes dignity away from a narrow focus on privacy or physical care tasks, such as assistance with washing or dressing, toward a broader concern with whether residents continue to be recognised and treated as full participants in their own lives.</w:t>
      </w:r>
    </w:p>
    <w:p w14:paraId="0000004B" w14:textId="77777777" w:rsidR="00CC358E" w:rsidRDefault="00000000">
      <w:pPr>
        <w:spacing w:after="200" w:line="336" w:lineRule="auto"/>
        <w:jc w:val="both"/>
      </w:pPr>
      <w:r>
        <w:t>This distinction matters for the present project because it suggests that measures of care quality focused on clinical safety or task completion, of the kind emphasised within much regulatory inspection activity, may fail to capture whether residents experience dignity in this fuller sense. A home might meet all formal safety and clinical standards while still, through inflexible routines or a lack of genuine involvement in daily decisions, failing to preserve residents’ sense of identity and participation. This tension between formally measurable quality and experientially meaningful dignity recurs as a theme throughout the findings presented in Chapter 4.</w:t>
      </w:r>
    </w:p>
    <w:p w14:paraId="0000004C" w14:textId="77777777" w:rsidR="00CC358E" w:rsidRDefault="00000000">
      <w:pPr>
        <w:pStyle w:val="Heading2"/>
        <w:rPr>
          <w:color w:val="000000"/>
        </w:rPr>
      </w:pPr>
      <w:r>
        <w:rPr>
          <w:color w:val="000000"/>
        </w:rPr>
        <w:t>2.2 The Demographic and Policy Context</w:t>
      </w:r>
    </w:p>
    <w:p w14:paraId="0000004D" w14:textId="77777777" w:rsidR="00CC358E" w:rsidRDefault="00000000">
      <w:pPr>
        <w:spacing w:after="200" w:line="336" w:lineRule="auto"/>
        <w:jc w:val="both"/>
      </w:pPr>
      <w:r>
        <w:t xml:space="preserve">The demographic pressures facing residential care are substantial and well documented. Kingston, A. et al. (2018), using the Population Ageing and Care Simulation model, projected that the number of older people in England living with multiple long-term conditions will rise sharply by 2035, with the most complex cases concentrated among the very old. This has direct implications for residential care homes, whose resident populations are ageing further within an already older </w:t>
      </w:r>
      <w:r>
        <w:lastRenderedPageBreak/>
        <w:t>cohort, with correspondingly higher levels of frailty, cognitive impairment, and clinical complexity than in previous decades.</w:t>
      </w:r>
    </w:p>
    <w:p w14:paraId="0000004E" w14:textId="77777777" w:rsidR="00CC358E" w:rsidRDefault="00000000">
      <w:pPr>
        <w:spacing w:after="200" w:line="336" w:lineRule="auto"/>
        <w:jc w:val="both"/>
      </w:pPr>
      <w:r>
        <w:t>National policy has responded to these pressures with a series of reform initiatives, though progress has often been described as incremental relative to the scale of demographic change. The regulatory and funding architecture governing residential care remains split between the NHS and local authority-commissioned social care, a divide that has long been criticised for producing fragmented, poorly coordinated support for residents with needs spanning both systems (Davies, S.L. et al., 2011). This structural fragmentation forms an important backdrop to the more specific regulatory and workforce issues discussed below.</w:t>
      </w:r>
    </w:p>
    <w:p w14:paraId="0000004F" w14:textId="77777777" w:rsidR="00CC358E" w:rsidRDefault="00000000">
      <w:pPr>
        <w:spacing w:after="200" w:line="336" w:lineRule="auto"/>
        <w:jc w:val="both"/>
      </w:pPr>
      <w:r>
        <w:t xml:space="preserve">Within the West Midlands specifically, this national demographic pressure is compounded by regional economic factors. The region contains areas of significant deprivation alongside more affluent suburban and rural </w:t>
      </w:r>
      <w:proofErr w:type="gramStart"/>
      <w:r>
        <w:t>districts,</w:t>
      </w:r>
      <w:proofErr w:type="gramEnd"/>
      <w:r>
        <w:t xml:space="preserve"> a pattern associated nationally with variation in both the supply of care home places and the financial sustainability of providers who rely heavily on local authority-funded placements at rates that have historically </w:t>
      </w:r>
      <w:proofErr w:type="gramStart"/>
      <w:r>
        <w:t>lagged behind</w:t>
      </w:r>
      <w:proofErr w:type="gramEnd"/>
      <w:r>
        <w:t xml:space="preserve"> the actual cost of delivering care. While detailed West Midlands-specific commissioning data fell outside the scope of sources accessible for this project, the broader literature on social care funding sustainability suggests that such regional economic variation is likely to interact with the demographic pressures identified above in ways that a purely national policy lens may not adequately capture.</w:t>
      </w:r>
    </w:p>
    <w:p w14:paraId="00000050" w14:textId="77777777" w:rsidR="00CC358E" w:rsidRDefault="00000000">
      <w:pPr>
        <w:pStyle w:val="Heading2"/>
        <w:rPr>
          <w:color w:val="000000"/>
        </w:rPr>
      </w:pPr>
      <w:r>
        <w:rPr>
          <w:color w:val="000000"/>
        </w:rPr>
        <w:t>2.3 Regulatory Oversight: The Role and Effectiveness of the CQC</w:t>
      </w:r>
    </w:p>
    <w:p w14:paraId="00000051" w14:textId="77777777" w:rsidR="00CC358E" w:rsidRDefault="00000000">
      <w:pPr>
        <w:spacing w:after="200" w:line="336" w:lineRule="auto"/>
        <w:jc w:val="both"/>
      </w:pPr>
      <w:r>
        <w:t xml:space="preserve">The Care Quality Commission is the independent regulator responsible for inspecting and rating health and social care providers in England, including residential care homes, using a four-point scale ranging from Outstanding to Inadequate. Regulatory ratings matter not only administratively but substantively: Towers, A.M. et al. (2020), in a cross-sectional study of 293 residents across 34 care homes in </w:t>
      </w:r>
      <w:proofErr w:type="gramStart"/>
      <w:r>
        <w:t>South East</w:t>
      </w:r>
      <w:proofErr w:type="gramEnd"/>
      <w:r>
        <w:t xml:space="preserve"> England, found that residents living in homes rated Outstanding or Good reported significantly better social care-related quality of life than those in homes rated as requiring improvement, even after controlling for individual-level confounding variables such as functional ability and dementia diagnosis. This provides empirical support for the premise that regulatory ratings meaningfully track differences in lived experience, rather than being a purely bureaucratic exercise.</w:t>
      </w:r>
    </w:p>
    <w:p w14:paraId="00000052" w14:textId="77777777" w:rsidR="00CC358E" w:rsidRDefault="00000000">
      <w:pPr>
        <w:spacing w:after="200" w:line="336" w:lineRule="auto"/>
        <w:jc w:val="both"/>
      </w:pPr>
      <w:r>
        <w:lastRenderedPageBreak/>
        <w:t xml:space="preserve">However, the effectiveness and consistency of CQC regulation </w:t>
      </w:r>
      <w:proofErr w:type="gramStart"/>
      <w:r>
        <w:t>has</w:t>
      </w:r>
      <w:proofErr w:type="gramEnd"/>
      <w:r>
        <w:t xml:space="preserve"> itself come under significant scrutiny. A government-commissioned review of the CQC’s operational effectiveness, led by Dr Penny Dash and reporting in 2024, concluded that the regulator had, in the review’s own terms, lost credibility within the health and social care sectors, citing a substantially reduced rate of inspection activity since the COVID-19 pandemic and inconsistencies in how its assessment framework was being applied (Care Quality Commission, 2024). This is a significant finding for the present project, because it suggests that even where regulatory ratings are meaningfully associated with resident outcomes, as Towers, A.M. et al. (2020) demonstrate, the reliability and currency of those ratings cannot be taken for granted, particularly where inspections are infrequent or inconsistently conducted. This tension between the theoretical value of regulation and its practical operation is a central concern of the findings presented in Chapter 4.</w:t>
      </w:r>
    </w:p>
    <w:p w14:paraId="00000053" w14:textId="77777777" w:rsidR="00CC358E" w:rsidRDefault="00000000">
      <w:pPr>
        <w:spacing w:after="200" w:line="336" w:lineRule="auto"/>
        <w:jc w:val="both"/>
      </w:pPr>
      <w:r>
        <w:t>The 2024 review is further notable for identifying that the CQC’s new single assessment framework, introduced in November 2023 to replace the previous inspection model, had itself contributed to some of the inconsistencies identified, with inspectors reportedly applying evidence categories unevenly across similar services. For a project such as this one, which draws on CQC data spanning a period that includes both the older and newer inspection models, this finding necessitates some caution in treating ratings as a straightforwardly comparable measure across time, and reinforces the value of the triangulated approach, combining regulatory data with independent academic evidence, adopted in the methodology described in Chapter 3.</w:t>
      </w:r>
    </w:p>
    <w:p w14:paraId="00000054" w14:textId="77777777" w:rsidR="00CC358E" w:rsidRDefault="00000000">
      <w:pPr>
        <w:pStyle w:val="Heading2"/>
        <w:rPr>
          <w:color w:val="000000"/>
        </w:rPr>
      </w:pPr>
      <w:r>
        <w:rPr>
          <w:color w:val="000000"/>
        </w:rPr>
        <w:t>2.4 Workforce and Staffing Challenges</w:t>
      </w:r>
    </w:p>
    <w:p w14:paraId="00000055" w14:textId="77777777" w:rsidR="00CC358E" w:rsidRDefault="00000000">
      <w:pPr>
        <w:spacing w:after="200" w:line="336" w:lineRule="auto"/>
        <w:jc w:val="both"/>
      </w:pPr>
      <w:r>
        <w:t>Workforce issues are widely regarded as the single most significant determinant of care quality in residential settings. Spilsbury, K., Hewitt, C., Stirk, L. and Bowman, C. (2011), in an influential systematic review, examined the relationship between nurse staffing levels and quality of care in nursing homes, concluding that while a general association exists between higher staffing and better outcomes, the relationship is complex and mediated by factors including skill mix, staff turnover, and the deployment rather than simple quantity of staff. This nuance is important, as it cautions against treating staffing ratios alone as a proxy for quality.</w:t>
      </w:r>
    </w:p>
    <w:p w14:paraId="00000056" w14:textId="77777777" w:rsidR="00CC358E" w:rsidRDefault="00000000">
      <w:pPr>
        <w:spacing w:after="200" w:line="336" w:lineRule="auto"/>
        <w:jc w:val="both"/>
      </w:pPr>
      <w:r>
        <w:t xml:space="preserve">More recent, large-scale UK research has extended this evidence base considerably. The StaRQ study, a major mixed-methods programme examining the </w:t>
      </w:r>
      <w:r>
        <w:lastRenderedPageBreak/>
        <w:t>relationship between staffing and quality in English care homes, combined systematic evidence review with analysis of routinely collected CQC inspection data and workforce records, finding a discernible, though not straightforward, relationship between workforce characteristics such as staff turnover, use of temporary staff, and role-related experience, and the quality ratings subsequently awarded to homes. A parallel narrative scoping review of staffing structures similarly concluded that higher staffing levels tend to be associated with improved care, while cautioning that inconsistent findings across the literature likely reflect methodological variation between studies rather than a genuinely weak underlying relationship. Collectively, this literature underscores that staffing is not merely an operational or financial matter but a direct determinant of the care quality outcomes this project is concerned with.</w:t>
      </w:r>
    </w:p>
    <w:p w14:paraId="00000057" w14:textId="77777777" w:rsidR="00CC358E" w:rsidRDefault="00000000">
      <w:pPr>
        <w:spacing w:after="200" w:line="336" w:lineRule="auto"/>
        <w:jc w:val="both"/>
      </w:pPr>
      <w:r>
        <w:t>Integration between residential care and external health services represents a further workforce-adjacent challenge. Davies, S.L. et al. (2011), in a systematic review of integrated working between care homes and health care services, found that most attempts at integration achieved coordination only at the level of individual patient care episodes, rather than more systemic integration, and that outcome measures used to evaluate such initiatives rarely incorporated the priorities of residents themselves or recognised the skills of care home staff as partners in care. This finding is directly relevant to the earlier discussion of GP registration and primary care access in the West Midlands context, since it suggests that even successful integration initiatives may fail to be experienced as genuinely coordinated care from the resident’s perspective.</w:t>
      </w:r>
    </w:p>
    <w:p w14:paraId="00000058" w14:textId="77777777" w:rsidR="00CC358E" w:rsidRDefault="00000000">
      <w:pPr>
        <w:spacing w:after="200" w:line="336" w:lineRule="auto"/>
        <w:jc w:val="both"/>
      </w:pPr>
      <w:r>
        <w:t xml:space="preserve">Training and qualification standards represent a further dimension of workforce quality closely related to, but distinct from, staffing levels and turnover. Unlike registered nursing roles, the residential care workforce in England has historically not been subject to a single mandatory professional qualification framework equivalent to nurse registration, with induction instead commonly delivered through the Care Certificate, a standards framework rather than a regulated qualification. Skills for Care (2024) workforce data indicate that qualification levels and access to structured training vary considerably between providers, a variation plausibly connected to the turnover challenges discussed above, since staff without clear routes to recognised qualification and career progression may have less incentive to remain within the sector long term. This training dimension is significant for the present project because it suggests that the person-centred care training </w:t>
      </w:r>
      <w:r>
        <w:lastRenderedPageBreak/>
        <w:t>interventions discussed in section 2.1, which assume a baseline of staff capacity to engage with and apply training content, may themselves be harder to implement effectively in a workforce context of variable foundational training and high turnover, a tension explored further in the findings presented in Chapter 4.</w:t>
      </w:r>
    </w:p>
    <w:p w14:paraId="00000059" w14:textId="77777777" w:rsidR="00CC358E" w:rsidRDefault="00000000">
      <w:pPr>
        <w:pStyle w:val="Heading2"/>
        <w:rPr>
          <w:color w:val="000000"/>
        </w:rPr>
      </w:pPr>
      <w:r>
        <w:rPr>
          <w:color w:val="000000"/>
        </w:rPr>
        <w:t>2.5 Social and Psychological Wellbeing: Loneliness and Isolation</w:t>
      </w:r>
    </w:p>
    <w:p w14:paraId="0000005A" w14:textId="77777777" w:rsidR="00CC358E" w:rsidRDefault="00000000">
      <w:pPr>
        <w:spacing w:after="200" w:line="336" w:lineRule="auto"/>
        <w:jc w:val="both"/>
      </w:pPr>
      <w:r>
        <w:t>Beyond physical care and clinical need, the social and psychological wellbeing of residents represents a further critical dimension of quality often underrepresented in regulatory frameworks focused primarily on safety and clinical governance. Lapane, K.L. et al. (2022), in a systematic review of quantitative and qualitative evidence, found loneliness to be common among older adults in congregate long-term care settings, including nursing and residential homes, despite residents living in close physical proximity to others. Loneliness in this context was consistently associated with depression, although the predominantly cross-sectional design of the studies reviewed limited the ability to draw firm conclusions about the direction of this relationship.</w:t>
      </w:r>
    </w:p>
    <w:p w14:paraId="0000005B" w14:textId="77777777" w:rsidR="00CC358E" w:rsidRDefault="00000000">
      <w:pPr>
        <w:spacing w:after="200" w:line="336" w:lineRule="auto"/>
        <w:jc w:val="both"/>
      </w:pPr>
      <w:r>
        <w:t>This apparent paradox, that loneliness persists even within communal living environments, has been explained in the wider literature as a function of the quality rather than mere quantity of social contact available to residents; superficial proximity to others does not necessarily translate into meaningful relationship or a sense of belonging. Evidence reviewed following the COVID-19 pandemic further highlighted how abruptly curtailed family contact during periods of visiting restriction had a severe and immediate impact on residents’ mental health, reinforcing the importance of family and community connection as a component of wellbeing that sits alongside, rather than beneath, physical and clinical care needs.</w:t>
      </w:r>
    </w:p>
    <w:p w14:paraId="0000005C" w14:textId="77777777" w:rsidR="00CC358E" w:rsidRDefault="00000000">
      <w:pPr>
        <w:pStyle w:val="Heading2"/>
        <w:rPr>
          <w:color w:val="000000"/>
        </w:rPr>
      </w:pPr>
      <w:r>
        <w:rPr>
          <w:color w:val="000000"/>
        </w:rPr>
        <w:t>2.6 Gaps in the Existing Literature</w:t>
      </w:r>
    </w:p>
    <w:p w14:paraId="0000005D" w14:textId="77777777" w:rsidR="00CC358E" w:rsidRDefault="00000000">
      <w:pPr>
        <w:spacing w:after="200" w:line="336" w:lineRule="auto"/>
        <w:jc w:val="both"/>
      </w:pPr>
      <w:r>
        <w:t xml:space="preserve">This review identifies several notable gaps that the present project seeks to address. First, while national and international evidence on staffing, regulation, person-centred care, and loneliness is substantial, comparatively little research has examined how these dimensions interact within a specific English region, such as the West Midlands, where local demographic and workforce conditions may differ meaningfully from national averages. Second, much of the strongest experimental evidence, such as the WHELD and CADRES trials, concerns dementia-specific interventions, leaving a comparative gap in evidence regarding person-centred approaches for the broader residential care population without a dementia </w:t>
      </w:r>
      <w:r>
        <w:lastRenderedPageBreak/>
        <w:t>diagnosis. Third, although the 2024 review of CQC effectiveness raises serious questions about the reliability of regulatory ratings, comparatively little academic literature has yet examined the practical implications of this finding for how ratings should be interpreted by residents, families, and researchers. This project addresses these gaps by synthesising evidence across these separate literatures within a single regional case, and by explicitly considering the implications of regulatory inconsistency for how findings regarding care quality should be understood.</w:t>
      </w:r>
    </w:p>
    <w:p w14:paraId="0000005E" w14:textId="77777777" w:rsidR="00CC358E" w:rsidRDefault="00000000">
      <w:r>
        <w:br w:type="page"/>
      </w:r>
    </w:p>
    <w:p w14:paraId="0000005F" w14:textId="77777777" w:rsidR="00CC358E" w:rsidRDefault="00000000">
      <w:pPr>
        <w:pStyle w:val="Heading1"/>
        <w:rPr>
          <w:color w:val="000000"/>
        </w:rPr>
      </w:pPr>
      <w:r>
        <w:rPr>
          <w:color w:val="000000"/>
        </w:rPr>
        <w:lastRenderedPageBreak/>
        <w:t>3. Methodology</w:t>
      </w:r>
    </w:p>
    <w:p w14:paraId="00000060" w14:textId="77777777" w:rsidR="00CC358E" w:rsidRDefault="00000000">
      <w:pPr>
        <w:spacing w:after="200" w:line="336" w:lineRule="auto"/>
        <w:jc w:val="both"/>
      </w:pPr>
      <w:r>
        <w:t>This chapter sets out the secondary research methodology employed in this project, including the overall research design, search strategy, inclusion and exclusion criteria, approach to data analysis, ethical considerations, and limitations of the chosen methodology.</w:t>
      </w:r>
    </w:p>
    <w:p w14:paraId="00000061" w14:textId="77777777" w:rsidR="00CC358E" w:rsidRDefault="00000000">
      <w:pPr>
        <w:pStyle w:val="Heading2"/>
        <w:rPr>
          <w:color w:val="000000"/>
        </w:rPr>
      </w:pPr>
      <w:r>
        <w:rPr>
          <w:color w:val="000000"/>
        </w:rPr>
        <w:t>3.1 Research Design</w:t>
      </w:r>
    </w:p>
    <w:p w14:paraId="00000062" w14:textId="77777777" w:rsidR="00CC358E" w:rsidRDefault="00000000">
      <w:pPr>
        <w:spacing w:after="200" w:line="336" w:lineRule="auto"/>
        <w:jc w:val="both"/>
      </w:pPr>
      <w:r>
        <w:t>This project employed a secondary research design, synthesising existing published literature, policy documents, regulatory reports, and statistical data, rather than collecting new primary data directly from residents, staff, or care homes (Johnston, M.P., 2017). This design was selected for several reasons. First, a substantial body of relevant evidence already exists across academic, regulatory, and policy sources, meaning that a well-conducted synthesis of this evidence could generate meaningful insight without duplicating existing research effort. Second, primary research involving residential care residents, many of whom are living with dementia or other conditions affecting capacity to consent, raises significant ethical and practical complexities that a secondary design avoids. Third, the scope and timeframe available for this project were more compatible with a systematic synthesis of existing sources than with the recruitment, data collection, and analysis timelines typically required for primary research.</w:t>
      </w:r>
    </w:p>
    <w:p w14:paraId="00000063" w14:textId="77777777" w:rsidR="00CC358E" w:rsidRDefault="00000000">
      <w:pPr>
        <w:spacing w:after="200" w:line="336" w:lineRule="auto"/>
        <w:jc w:val="both"/>
      </w:pPr>
      <w:r>
        <w:t xml:space="preserve">The specific approach adopted was a systematic narrative review, combining the structured, transparent search and selection procedures associated with systematic reviews with the flexibility of narrative synthesis to integrate quantitative and qualitative evidence of varying types, including experimental trials, cross-sectional studies, systematic reviews, and policy and regulatory documents (Greenhalgh, T., Thorne, S. and </w:t>
      </w:r>
      <w:proofErr w:type="spellStart"/>
      <w:r>
        <w:t>Malterud</w:t>
      </w:r>
      <w:proofErr w:type="spellEnd"/>
      <w:r>
        <w:t>, K., 2018). This hybrid approach was considered appropriate given the deliberately broad and multidimensional nature of the research aim, which required drawing together evidence relating to staffing, regulation, psychosocial wellbeing, and theoretical models of care that would not be amenable to the narrower inclusion criteria typically required by a strict systematic review methodology.</w:t>
      </w:r>
    </w:p>
    <w:p w14:paraId="00000064" w14:textId="77777777" w:rsidR="00CC358E" w:rsidRDefault="00000000">
      <w:pPr>
        <w:pStyle w:val="Heading2"/>
        <w:rPr>
          <w:color w:val="000000"/>
        </w:rPr>
      </w:pPr>
      <w:r>
        <w:rPr>
          <w:color w:val="000000"/>
        </w:rPr>
        <w:t>3.2 Search Strategy</w:t>
      </w:r>
    </w:p>
    <w:p w14:paraId="00000065" w14:textId="77777777" w:rsidR="00CC358E" w:rsidRDefault="00000000">
      <w:pPr>
        <w:spacing w:after="200" w:line="336" w:lineRule="auto"/>
        <w:jc w:val="both"/>
      </w:pPr>
      <w:r>
        <w:t xml:space="preserve">A structured search strategy was developed and applied across four electronic databases: PubMed, CINAHL (Cumulative Index to Nursing and Allied Health Literature), PsycINFO, and Social Care Online. These databases were selected to </w:t>
      </w:r>
      <w:r>
        <w:lastRenderedPageBreak/>
        <w:t>ensure coverage across biomedical, nursing, psychological, and UK-specific social care literature respectively. Search terms combined three concept groups using Boolean operators: population terms (elderly OR older adults OR aged), setting terms (residential care OR care home OR nursing home), and outcome or topic terms (quality of care OR staffing OR person-centred care OR regulation OR loneliness). Where database functionality permitted, searches were limited to sources published in English within the last fifteen years, although seminal older studies establishing key theoretical frameworks, such as early conceptual work on person-centred care, were retained where directly relevant.</w:t>
      </w:r>
    </w:p>
    <w:p w14:paraId="00000066" w14:textId="77777777" w:rsidR="00CC358E" w:rsidRDefault="00000000">
      <w:pPr>
        <w:spacing w:after="200" w:line="336" w:lineRule="auto"/>
        <w:jc w:val="both"/>
      </w:pPr>
      <w:r>
        <w:t>Beyond academic databases, targeted searches were conducted of key organisational websites to identify relevant grey literature, including the Care Quality Commission website for inspection reports, ratings data, and the 2024 review of CQC operational effectiveness; the Department of Health and Social Care and NHS England for policy documents; Skills for Care for workforce statistics; and the Office for National Statistics and NHS Digital for demographic and service utilisation data. Citation searching of reference lists within key identified articles was also used to locate additional relevant sources not captured by the primary database searches.</w:t>
      </w:r>
    </w:p>
    <w:p w14:paraId="00000067" w14:textId="77777777" w:rsidR="00CC358E" w:rsidRDefault="00000000">
      <w:pPr>
        <w:spacing w:after="200" w:line="336" w:lineRule="auto"/>
        <w:jc w:val="both"/>
      </w:pPr>
      <w:r>
        <w:t>As an illustration of the search approach applied, a representative PubMed search string used to identify workforce-related literature combined terms as follows: ("nursing home*" OR "care home*" OR "residential care") AND ("staff turnover" OR "staffing level*" OR "workforce") AND ("quality of care" OR "care quality"). Equivalent term combinations, adapted to the specific syntax and subject heading structures of each database, were applied to identify literature relevant to the remaining concept groups of regulation, person-centred care, and psychosocial wellbeing. Search results were exported into reference management software, where duplicate records arising from overlapping database coverage were identified and removed prior to the title and abstract screening stage described in section 3.5.</w:t>
      </w:r>
    </w:p>
    <w:p w14:paraId="00000068" w14:textId="77777777" w:rsidR="00CC358E" w:rsidRDefault="00000000">
      <w:pPr>
        <w:pStyle w:val="Heading2"/>
        <w:rPr>
          <w:color w:val="000000"/>
        </w:rPr>
      </w:pPr>
      <w:r>
        <w:rPr>
          <w:color w:val="000000"/>
        </w:rPr>
        <w:t>3.3 Inclusion and Exclusion Criteria</w:t>
      </w:r>
    </w:p>
    <w:p w14:paraId="00000069" w14:textId="77777777" w:rsidR="00CC358E" w:rsidRDefault="00000000">
      <w:pPr>
        <w:spacing w:after="200" w:line="336" w:lineRule="auto"/>
        <w:jc w:val="both"/>
      </w:pPr>
      <w:r>
        <w:t>Sources were included where they addressed elderly care provision in residential or nursing home settings, were relevant to the UK context (with preference given to studies conducted in England or the West Midlands specifically, though relevant international evidence was retained where it addressed a concept, such as person-</w:t>
      </w:r>
      <w:r>
        <w:lastRenderedPageBreak/>
        <w:t>centred care efficacy, not yet well evidenced in a UK-specific study), were published in English, and originated from credible sources including peer-reviewed journals, recognised regulatory or governmental bodies, or established research organisations. Academic literature was required to employ a methodology appropriate to its research question, with systematic reviews, randomised controlled trials, and large observational studies prioritised over single-site qualitative accounts where multiple source types addressing the same question were available, in order to maximise the reliability of the evidence base underpinning key claims.</w:t>
      </w:r>
    </w:p>
    <w:p w14:paraId="0000006A" w14:textId="77777777" w:rsidR="00CC358E" w:rsidRDefault="00000000">
      <w:pPr>
        <w:spacing w:after="200" w:line="336" w:lineRule="auto"/>
        <w:jc w:val="both"/>
      </w:pPr>
      <w:r>
        <w:t>Sources were excluded where they focused primarily on care settings other than residential or nursing care, such as acute hospital care or home care, unless findings had clear and explicit relevance to residential contexts; where they addressed populations below the age of approximately 65 without a clear rationale for relevance to elderly care; where they lacked methodological transparency, such as opinion pieces without a clear evidence base; or where they were not accessible in full text through available channels. Given the fast-moving nature of regulatory policy in particular, sources addressing the operational specifics of CQC processes were required to be reasonably current, given that the CQC introduced a new single assessment framework in November 2023, materially changing its inspection methodology from the system described in some older studies.</w:t>
      </w:r>
    </w:p>
    <w:p w14:paraId="0000006B" w14:textId="77777777" w:rsidR="00CC358E" w:rsidRDefault="00000000">
      <w:pPr>
        <w:pStyle w:val="Heading2"/>
        <w:rPr>
          <w:color w:val="000000"/>
        </w:rPr>
      </w:pPr>
      <w:r>
        <w:rPr>
          <w:color w:val="000000"/>
        </w:rPr>
        <w:t>3.4 Quality Appraisal</w:t>
      </w:r>
    </w:p>
    <w:p w14:paraId="0000006C" w14:textId="77777777" w:rsidR="00CC358E" w:rsidRDefault="00000000">
      <w:pPr>
        <w:spacing w:after="200" w:line="336" w:lineRule="auto"/>
        <w:jc w:val="both"/>
      </w:pPr>
      <w:r>
        <w:t xml:space="preserve">Beyond the inclusion and exclusion criteria described above, each retained source was subject to a brief quality appraisal to inform how much interpretive weight its findings should be given within the synthesis. For empirical studies, this involved considering the appropriateness of the study design to its research question, such as whether a cluster-randomised design was used to support causal claims, or whether a cross-sectional design was more appropriately used only to support claims of association; the size and representativeness of the sample; and whether limitations were transparently acknowledged by the study’s own authors. For regulatory and policy sources, appraisal focused on the independence and transparency of the reporting body, the currency of the source relative to subsequent policy change, and whether claims were supported by accessible underlying data. Where a finding rested on a single source of comparatively weaker design, such as a small qualitative study, this is flagged explicitly within Chapter 4 </w:t>
      </w:r>
      <w:r>
        <w:lastRenderedPageBreak/>
        <w:t>rather than presented with the same confidence as findings supported by multiple, methodologically stronger sources.</w:t>
      </w:r>
    </w:p>
    <w:p w14:paraId="0000006D" w14:textId="77777777" w:rsidR="00CC358E" w:rsidRDefault="00000000">
      <w:pPr>
        <w:pStyle w:val="Heading2"/>
        <w:rPr>
          <w:color w:val="000000"/>
        </w:rPr>
      </w:pPr>
      <w:r>
        <w:rPr>
          <w:color w:val="000000"/>
        </w:rPr>
        <w:t>3.5 Data Analysis: Thematic Synthesis</w:t>
      </w:r>
    </w:p>
    <w:p w14:paraId="0000006E" w14:textId="77777777" w:rsidR="00CC358E" w:rsidRDefault="00000000">
      <w:pPr>
        <w:spacing w:after="200" w:line="336" w:lineRule="auto"/>
        <w:jc w:val="both"/>
      </w:pPr>
      <w:r>
        <w:t>Identified sources were screened for relevance based on title and abstract, with full texts of potentially relevant sources retrieved for detailed review. Key information, including bibliographic details, methodology, and key findings, was extracted systematically for each included source. Analysis then proceeded through thematic synthesis, following the general approach described by Braun, V. and Clarke, V. (2006), adapted for a literature synthesis rather than primary qualitative data. This involved close reading of extracted material to identify recurring concepts and patterns, followed by iterative grouping of these initial codes into broader candidate themes, and finally refinement of these themes through comparison against the full extracted dataset to ensure they were coherent, well-supported, and genuinely distinct from one another. This process generated the four themes presented in Chapter 4: the policy-practice gap in regulatory oversight; workforce, staffing, and quality of care; person-centred care in practice; and social wellbeing, loneliness, and quality of life.</w:t>
      </w:r>
    </w:p>
    <w:p w14:paraId="0000006F" w14:textId="77777777" w:rsidR="00CC358E" w:rsidRDefault="00000000">
      <w:pPr>
        <w:pStyle w:val="Heading2"/>
        <w:rPr>
          <w:color w:val="000000"/>
        </w:rPr>
      </w:pPr>
      <w:r>
        <w:rPr>
          <w:color w:val="000000"/>
        </w:rPr>
        <w:t>3.6 Ethical Considerations</w:t>
      </w:r>
    </w:p>
    <w:p w14:paraId="00000070" w14:textId="77777777" w:rsidR="00CC358E" w:rsidRDefault="00000000">
      <w:pPr>
        <w:spacing w:after="200" w:line="336" w:lineRule="auto"/>
        <w:jc w:val="both"/>
      </w:pPr>
      <w:r>
        <w:t>As this project relied entirely on secondary sources already in the public domain, it did not involve direct contact with care home residents, staff, or family members, and therefore did not require ethical approval for primary data collection. Nonetheless, several ethical principles guided the conduct of this research. All sources were acknowledged through meticulous citation in accordance with University of Wales Harvard referencing conventions, respecting the intellectual property of original authors and avoiding plagiarism. Findings were represented accurately and in proportion to the strength of the underlying evidence; where evidence was mixed, limited, or contested, such as the falls finding within the CADRES trial noted in section 2.1, this was transparently reported rather than omitted to preserve a simpler narrative. Given that this project discusses a regulator, the Care Quality Commission, in critical terms in places, care was taken to ground all such discussion in the cited findings of an independent, government-commissioned review, rather than in unsupported assertion, in the interests of fairness and accuracy.</w:t>
      </w:r>
    </w:p>
    <w:p w14:paraId="00C2C972" w14:textId="77777777" w:rsidR="008937CF" w:rsidRDefault="008937CF">
      <w:pPr>
        <w:pStyle w:val="Heading2"/>
        <w:rPr>
          <w:color w:val="000000"/>
        </w:rPr>
      </w:pPr>
    </w:p>
    <w:p w14:paraId="00000071" w14:textId="24E50378" w:rsidR="00CC358E" w:rsidRDefault="00000000">
      <w:pPr>
        <w:pStyle w:val="Heading2"/>
        <w:rPr>
          <w:color w:val="000000"/>
        </w:rPr>
      </w:pPr>
      <w:r>
        <w:rPr>
          <w:color w:val="000000"/>
        </w:rPr>
        <w:lastRenderedPageBreak/>
        <w:t>3.7 Limitations of the Methodology</w:t>
      </w:r>
    </w:p>
    <w:p w14:paraId="00000072" w14:textId="77777777" w:rsidR="00CC358E" w:rsidRDefault="00000000">
      <w:pPr>
        <w:spacing w:after="200" w:line="336" w:lineRule="auto"/>
        <w:jc w:val="both"/>
      </w:pPr>
      <w:r>
        <w:t xml:space="preserve">This methodology has several acknowledged limitations. First, as a secondary research design, findings are necessarily constrained by the scope, quality, and regional focus of the existing literature, and direct primary evidence specific to the West Midlands was limited, meaning that some regional claims necessarily draw on national evidence applied to the regional context. Second, publication bias is a recognised risk within any literature synthesis, as studies reporting positive intervention effects are generally more likely to be published than those reporting null or negative findings; the inclusion of regulatory grey literature, such as CQC data, alongside academic sources </w:t>
      </w:r>
      <w:proofErr w:type="gramStart"/>
      <w:r>
        <w:t>was</w:t>
      </w:r>
      <w:proofErr w:type="gramEnd"/>
      <w:r>
        <w:t xml:space="preserve"> intended to partially offset this risk. Third, the researcher’s own background in health and social care, while providing valuable contextual understanding, also required active reflexive awareness to guard against unintentionally privileging findings that aligned with pre-existing professional assumptions.</w:t>
      </w:r>
    </w:p>
    <w:p w14:paraId="00000073" w14:textId="77777777" w:rsidR="00CC358E" w:rsidRDefault="00000000">
      <w:pPr>
        <w:spacing w:after="200" w:line="336" w:lineRule="auto"/>
        <w:jc w:val="both"/>
      </w:pPr>
      <w:r>
        <w:t>A fourth limitation concerns language and cultural scope. The search strategy was restricted to English-language sources, which excludes potentially relevant evidence published in other languages, including some of the Scandinavian dignity-in-care literature discussed in section 2.1.1, which exists within a substantially larger non-English body of Nordic care research than this project was able to access. Given that residential care norms, staffing structures, and funding models vary considerably between countries, findings drawn from non-UK sources, including some of the person-centred care trial evidence, were interpreted with appropriate caution regarding their direct transferability to the West Midlands context, rather than treated as automatically generalisable. Finally, the pace of policy change in this area, illustrated by the CQC’s introduction of a new assessment framework partway through the period covered by the literature reviewed, means that some findings, particularly those concerning regulatory operation, should be understood as reflecting the evidence available at the time of writing rather than a permanently fixed picture.</w:t>
      </w:r>
    </w:p>
    <w:p w14:paraId="00000074" w14:textId="77777777" w:rsidR="00CC358E" w:rsidRDefault="00000000">
      <w:r>
        <w:br w:type="page"/>
      </w:r>
    </w:p>
    <w:p w14:paraId="00000075" w14:textId="77777777" w:rsidR="00CC358E" w:rsidRDefault="00000000">
      <w:pPr>
        <w:pStyle w:val="Heading1"/>
        <w:rPr>
          <w:color w:val="000000"/>
        </w:rPr>
      </w:pPr>
      <w:r>
        <w:rPr>
          <w:color w:val="000000"/>
        </w:rPr>
        <w:lastRenderedPageBreak/>
        <w:t>4. Findings and Discussion</w:t>
      </w:r>
    </w:p>
    <w:p w14:paraId="00000076" w14:textId="77777777" w:rsidR="00CC358E" w:rsidRDefault="00000000">
      <w:pPr>
        <w:spacing w:after="200" w:line="336" w:lineRule="auto"/>
        <w:jc w:val="both"/>
      </w:pPr>
      <w:r>
        <w:t>This chapter presents and discusses the findings of the literature synthesis, organised around four themes identified through the analytical process described in Chapter 3: the policy-practice gap in regulatory oversight; workforce, staffing, and quality of care; person-centred care in practice; and social wellbeing, loneliness, and quality of life. Each theme is discussed in relation to its implications for residential care provision in the West Midlands specifically, where evidence permits, and for the sector more broadly.</w:t>
      </w:r>
    </w:p>
    <w:p w14:paraId="00000077" w14:textId="77777777" w:rsidR="00CC358E" w:rsidRDefault="00000000">
      <w:pPr>
        <w:pStyle w:val="Heading2"/>
        <w:rPr>
          <w:color w:val="000000"/>
        </w:rPr>
      </w:pPr>
      <w:r>
        <w:rPr>
          <w:color w:val="000000"/>
        </w:rPr>
        <w:t>4.1 Theme One: The Policy-Practice Gap in Regulatory Oversight</w:t>
      </w:r>
    </w:p>
    <w:p w14:paraId="00000078" w14:textId="77777777" w:rsidR="00CC358E" w:rsidRDefault="00000000">
      <w:pPr>
        <w:spacing w:after="200" w:line="336" w:lineRule="auto"/>
        <w:jc w:val="both"/>
      </w:pPr>
      <w:r>
        <w:t xml:space="preserve">The first theme to emerge strongly from this synthesis concerns a significant gap between the theoretical function of CQC regulation and its practical, current operation. On one hand, the evidence reviewed in section 2.3 demonstrates that regulatory ratings are not merely administrative labels but are meaningfully associated with </w:t>
      </w:r>
      <w:proofErr w:type="gramStart"/>
      <w:r>
        <w:t>residents’</w:t>
      </w:r>
      <w:proofErr w:type="gramEnd"/>
      <w:r>
        <w:t xml:space="preserve"> lived experience: Towers, A.M. et al. (2020) found statistically significant associations between CQC ratings and residents’ quality of life even after controlling for confounding resident-level characteristics. This finding lends important credibility to the underlying premise of the regulatory system, that inspection and rating can serve as a genuine proxy for the quality of everyday life within a home, rather than being a purely bureaucratic or symbolic exercise.</w:t>
      </w:r>
    </w:p>
    <w:p w14:paraId="00000079" w14:textId="77777777" w:rsidR="00CC358E" w:rsidRDefault="00000000">
      <w:pPr>
        <w:spacing w:after="200" w:line="336" w:lineRule="auto"/>
        <w:jc w:val="both"/>
      </w:pPr>
      <w:r>
        <w:t xml:space="preserve">On the other hand, the 2024 government-commissioned review of CQC operational effectiveness represents a significant and troubling counterpoint to this premise (Care Quality Commission, 2024). </w:t>
      </w:r>
      <w:proofErr w:type="gramStart"/>
      <w:r>
        <w:t>Its</w:t>
      </w:r>
      <w:proofErr w:type="gramEnd"/>
      <w:r>
        <w:t xml:space="preserve"> finding that the regulator had lost credibility within the sectors it oversees, combined with evidence of substantially reduced inspection frequency since the COVID-19 pandemic, raises the possibility that the relationship demonstrated by Towers, A.M. et al. (2020), which was based on data collected during a period of more consistent inspection activity, may no longer hold with the same strength under current operating conditions. If a home’s published rating reflects an inspection conducted several years previously, its capacity to function as a reliable, current indicator of quality for prospective residents and their families is inevitably diminished, regardless of how well ratings once tracked resident outcomes under more rigorous inspection regimes.</w:t>
      </w:r>
    </w:p>
    <w:p w14:paraId="0000007A" w14:textId="77777777" w:rsidR="00CC358E" w:rsidRDefault="00000000">
      <w:pPr>
        <w:spacing w:after="200" w:line="336" w:lineRule="auto"/>
        <w:jc w:val="both"/>
      </w:pPr>
      <w:r>
        <w:t xml:space="preserve">For West Midlands residential care specifically, this gap between regulatory theory and practice carries particular significance given the workforce pressures discussed in Theme Two below. A regulatory system operating at reduced capacity is arguably </w:t>
      </w:r>
      <w:r>
        <w:lastRenderedPageBreak/>
        <w:t>least able to detect and respond to quality deterioration precisely when underlying workforce and funding pressures make such deterioration most likely. This suggests that reliance on CQC ratings alone, whether by researchers, commissioners, or families, is likely insufficient, and that the triangulation approach adopted in this project’s methodology, combining regulatory data with academic and workforce evidence, is not merely a methodological convenience but a substantively necessary response to a genuine limitation in the primary regulatory data source.</w:t>
      </w:r>
    </w:p>
    <w:p w14:paraId="0000007B" w14:textId="77777777" w:rsidR="00CC358E" w:rsidRDefault="00000000">
      <w:pPr>
        <w:spacing w:after="200" w:line="336" w:lineRule="auto"/>
        <w:jc w:val="both"/>
      </w:pPr>
      <w:r>
        <w:t>A further, related implication concerns how ratings are communicated to and interpreted by residents and families making placement decisions. A published rating of Good or Outstanding is typically presented, including on the CQC’s own public-facing website, without prominent indication of how long ago the underlying inspection took place. Given the 2024 review’s finding of substantially reduced inspection frequency, a rating awarded several years previously may carry a misleading impression of current currency to a family unfamiliar with these operational details. This represents a practical, rather than purely academic, consequence of the regulatory gap identified in this theme, with direct relevance to how the recommendations in Chapter 5 are framed.</w:t>
      </w:r>
    </w:p>
    <w:p w14:paraId="0000007C" w14:textId="77777777" w:rsidR="00CC358E" w:rsidRDefault="00000000">
      <w:pPr>
        <w:spacing w:after="200" w:line="336" w:lineRule="auto"/>
        <w:jc w:val="both"/>
      </w:pPr>
      <w:r>
        <w:t xml:space="preserve">Within the West Midlands specifically, the combination of urban and rural geography discussed in section 2.2 plausibly compounds this regulatory gap unevenly. Inspection resource constraints of the kind identified nationally by the 2024 review are unlikely to be distributed evenly across a regulator’s regional operations, and homes in more rural or harder-to-reach parts of the region may, on general principles of inspection logistics, be more susceptible to extended gaps between inspections than those clustered within Birmingham or Coventry. While source material available for this project did not include West Midlands-specific inspection frequency data, this represents a plausible mechanism by which a national regulatory gap could translate into more pronounced regional </w:t>
      </w:r>
      <w:proofErr w:type="gramStart"/>
      <w:r>
        <w:t>disparity, and</w:t>
      </w:r>
      <w:proofErr w:type="gramEnd"/>
      <w:r>
        <w:t xml:space="preserve"> is flagged here as a specific area meriting the primary research recommended in section 5.4.</w:t>
      </w:r>
    </w:p>
    <w:p w14:paraId="0000007D" w14:textId="77777777" w:rsidR="00CC358E" w:rsidRDefault="00000000">
      <w:pPr>
        <w:pStyle w:val="Heading2"/>
        <w:rPr>
          <w:color w:val="000000"/>
        </w:rPr>
      </w:pPr>
      <w:r>
        <w:rPr>
          <w:color w:val="000000"/>
        </w:rPr>
        <w:t>4.2 Theme Two: Workforce, Staffing, and Quality of Care</w:t>
      </w:r>
    </w:p>
    <w:p w14:paraId="0000007E" w14:textId="77777777" w:rsidR="00CC358E" w:rsidRDefault="00000000">
      <w:pPr>
        <w:spacing w:after="200" w:line="336" w:lineRule="auto"/>
        <w:jc w:val="both"/>
      </w:pPr>
      <w:r>
        <w:t xml:space="preserve">The second theme confirms workforce and staffing as a central, though complex, determinant of care quality. The evidence reviewed in section 2.4 consistently identifies an association between staffing characteristics and care quality, while </w:t>
      </w:r>
      <w:r>
        <w:lastRenderedPageBreak/>
        <w:t>equally consistently cautioning against treating this relationship as simple or linear. Spilsbury, K. et al. (2011) and the subsequent StaRQ programme both suggest that the mechanism connecting staffing to quality operates through several intermediate factors, including staff turnover, the proportion of temporary or agency staff used, and the experience level of staff in post, rather than through headcount or staff-to-resident ratios alone. This is an important nuance for the West Midlands context: a home might maintain nominally adequate staffing numbers while still experiencing quality difficulties driven by high turnover or heavy reliance on unfamiliar agency staff who lack relationship-based knowledge of individual residents’ needs and preferences.</w:t>
      </w:r>
    </w:p>
    <w:p w14:paraId="0000007F" w14:textId="77777777" w:rsidR="00CC358E" w:rsidRDefault="00000000">
      <w:pPr>
        <w:spacing w:after="200" w:line="336" w:lineRule="auto"/>
        <w:jc w:val="both"/>
      </w:pPr>
      <w:r>
        <w:t>This finding connects directly to the person-centred care evidence discussed in Theme Three, since the consistency and relational continuity required to deliver genuinely individualised care are difficult to sustain within a workforce characterised by high turnover. It also connects to Theme One, since a regulatory system inspecting infrequently is less likely to detect the kind of staffing instability, rather than simple understaffing, that this literature identifies as the more meaningful driver of quality variation. The integrated working literature reviewed in section 2.4 further suggests that workforce challenges extend beyond internal staffing to the coordination between residential care staff and external health services; Davies, S.L. et al. (2011) found that integration initiatives frequently failed to incorporate the perspectives or recognise the expertise of care home staff themselves, suggesting that workforce-related quality challenges are not confined to staffing levels but extend to how the residential care workforce is positioned and valued within the wider health and social care system.</w:t>
      </w:r>
    </w:p>
    <w:p w14:paraId="00000080" w14:textId="77777777" w:rsidR="00CC358E" w:rsidRDefault="00000000">
      <w:pPr>
        <w:spacing w:after="200" w:line="336" w:lineRule="auto"/>
        <w:jc w:val="both"/>
      </w:pPr>
      <w:r>
        <w:t>Taken together, this theme suggests that policy responses focused narrowly on minimum staffing ratios, while a reasonable baseline safeguard, are unlikely on their own to resolve the quality variation documented in the literature. Addressing staff turnover, agency reliance, and the professional standing of the care home workforce within the broader system emerges as at least equally important.</w:t>
      </w:r>
    </w:p>
    <w:p w14:paraId="00000081" w14:textId="77777777" w:rsidR="00CC358E" w:rsidRDefault="00000000">
      <w:pPr>
        <w:spacing w:after="200" w:line="336" w:lineRule="auto"/>
        <w:jc w:val="both"/>
      </w:pPr>
      <w:r>
        <w:t xml:space="preserve">The professional standing point warrants further attention. The residential care workforce in England has historically occupied a lower-status position relative to comparable NHS roles, reflected in pay differentials, more limited access to structured career progression, and, as the integration literature discussed above suggests, a tendency for external health professionals to define the boundaries of </w:t>
      </w:r>
      <w:r>
        <w:lastRenderedPageBreak/>
        <w:t>care home staff involvement rather than engaging them as equal partners with relevant expertise (Davies, S.L. et al., 2011). This dynamic plausibly contributes to the turnover difficulties identified as central to quality variation, since a workforce that feels undervalued and professionally constrained is, on general workforce evidence outside the specific care home literature, more likely to experience higher attrition. For West Midlands providers and commissioners, this suggests that workforce strategies focused solely on recruitment, without parallel attention to retention through career development and professional recognition, are likely to have limited long-term effect on the turnover-driven quality challenges this theme identifies.</w:t>
      </w:r>
    </w:p>
    <w:p w14:paraId="00000082" w14:textId="77777777" w:rsidR="00CC358E" w:rsidRDefault="00000000">
      <w:pPr>
        <w:spacing w:after="200" w:line="336" w:lineRule="auto"/>
        <w:jc w:val="both"/>
      </w:pPr>
      <w:r>
        <w:t>This professional standing challenge intersects directly with the variable training and qualification landscape discussed in section 2.4. A workforce inducted primarily through the Care Certificate standards framework, rather than a mandatory regulated qualification, and offered inconsistent access to further structured training, faces a double constraint: staff may be less equipped to deliver sophisticated interventions such as person-centred care to full fidelity, and simultaneously less likely to remain in post long enough for any training investment made to be retained within the home. This suggests that staffing quality should be understood as encompassing not only how many staff are present and how long they remain, but also the depth and consistency of the training infrastructure supporting them, a dimension that headcount-based staffing ratios alone do not capture.</w:t>
      </w:r>
    </w:p>
    <w:p w14:paraId="00000083" w14:textId="77777777" w:rsidR="00CC358E" w:rsidRDefault="00000000">
      <w:pPr>
        <w:pStyle w:val="Heading2"/>
        <w:rPr>
          <w:color w:val="000000"/>
        </w:rPr>
      </w:pPr>
      <w:r>
        <w:rPr>
          <w:color w:val="000000"/>
        </w:rPr>
        <w:t>4.3 Theme Three: Person-Centred Care in Practice</w:t>
      </w:r>
    </w:p>
    <w:p w14:paraId="00000084" w14:textId="77777777" w:rsidR="00CC358E" w:rsidRDefault="00000000">
      <w:pPr>
        <w:spacing w:after="200" w:line="336" w:lineRule="auto"/>
        <w:jc w:val="both"/>
      </w:pPr>
      <w:r>
        <w:t xml:space="preserve">The third theme addresses the practical implementation of person-centred </w:t>
      </w:r>
      <w:proofErr w:type="gramStart"/>
      <w:r>
        <w:t>care,</w:t>
      </w:r>
      <w:proofErr w:type="gramEnd"/>
      <w:r>
        <w:t xml:space="preserve"> the theoretical framework identified in section 2.1 as the dominant paradigm for quality in residential settings. The experimental evidence reviewed, particularly the CADRES and WHELD trials, provides meaningful support for the premise that structured person-centred approaches produce measurable benefits, including reduced agitation and modest improvements in quality of life (Chenoweth, L. et al., 2009; Ballard, C. et al., 2018). However, a recurring finding across this literature, and one with direct relevance to the workforce theme above, is that these benefits depend on consistent, well-supported implementation by trained staff, precisely the kind of implementation that high staff turnover and heavy agency reliance make difficult to sustain.</w:t>
      </w:r>
    </w:p>
    <w:p w14:paraId="00000085" w14:textId="77777777" w:rsidR="00CC358E" w:rsidRDefault="00000000">
      <w:pPr>
        <w:spacing w:after="200" w:line="336" w:lineRule="auto"/>
        <w:jc w:val="both"/>
      </w:pPr>
      <w:r>
        <w:lastRenderedPageBreak/>
        <w:t>A further nuance emerging from this literature is that person-centred care interventions do not produce uniformly positive outcomes across every measure. The higher rate of falls observed in the person-centred care arm of the CADRES trial illustrates that increasing residents’ autonomy and encouraging greater activity and self-direction, core components of person-centred approaches, may carry trade-offs against other safety-oriented outcomes that a purely risk-averse model of care would otherwise minimise (Chenoweth, L. et al., 2009). This is not evidence against person-centred care as a model, but it does suggest that its implementation requires careful, individualised risk judgement rather than uncritical application, and that staff require not only training in person-centred principles but also the professional confidence and organisational support to exercise this judgement, both of which are again connected to the workforce stability discussed in Theme Two.</w:t>
      </w:r>
    </w:p>
    <w:p w14:paraId="00000086" w14:textId="77777777" w:rsidR="00CC358E" w:rsidRDefault="00000000">
      <w:pPr>
        <w:spacing w:after="200" w:line="336" w:lineRule="auto"/>
        <w:jc w:val="both"/>
      </w:pPr>
      <w:r>
        <w:t>For West Midlands residential care, this theme suggests that policy or provider-level investment in person-centred care training, while valuable and evidence-supported, is unlikely to achieve its full potential benefit if pursued in isolation from parallel investment in workforce stability and staff development. The evidence reviewed indicates that person-centred care is best understood not as a standalone training intervention but as a model whose success is conditional on the surrounding workforce and organisational context discussed elsewhere in this chapter.</w:t>
      </w:r>
    </w:p>
    <w:p w14:paraId="00000087" w14:textId="77777777" w:rsidR="00CC358E" w:rsidRDefault="00000000">
      <w:pPr>
        <w:spacing w:after="200" w:line="336" w:lineRule="auto"/>
        <w:jc w:val="both"/>
      </w:pPr>
      <w:r>
        <w:t>This theme also connects to the dignity literature discussed in section 2.1.1. Høy, B. et al. (2016) found that residents experienced dignity through opportunities for involvement as full participants in their own lives, a finding that aligns closely with the theoretical aspirations of person-centred care but also highlights a possible gap between formal implementation and residents’ own experience. A care home might successfully deliver the procedural elements of a person-centred care programme, such as documented individual care plans or scheduled personalised activities, as measured in trials such as WHELD, while residents themselves might still experience inflexible routines or limited genuine involvement in the kind of everyday decisions that the qualitative dignity literature suggests matters most. This is not a contradiction between the two bodies of evidence but rather a reminder that quantitative trial outcomes, such as reduced agitation scores, and qualitative accounts of lived dignity capture related but not identical dimensions of quality, both of which are necessary for a full picture of person-centred care in practice.</w:t>
      </w:r>
    </w:p>
    <w:p w14:paraId="00000088" w14:textId="77777777" w:rsidR="00CC358E" w:rsidRDefault="00000000">
      <w:pPr>
        <w:pStyle w:val="Heading2"/>
        <w:rPr>
          <w:color w:val="000000"/>
        </w:rPr>
      </w:pPr>
      <w:r>
        <w:rPr>
          <w:color w:val="000000"/>
        </w:rPr>
        <w:t>4.4 Theme Four: Social Wellbeing, Loneliness, and Quality of Life</w:t>
      </w:r>
    </w:p>
    <w:p w14:paraId="00000089" w14:textId="77777777" w:rsidR="00CC358E" w:rsidRDefault="00000000">
      <w:pPr>
        <w:spacing w:after="200" w:line="336" w:lineRule="auto"/>
        <w:jc w:val="both"/>
      </w:pPr>
      <w:r>
        <w:lastRenderedPageBreak/>
        <w:t xml:space="preserve">The fourth theme concerns the social and psychological dimension of care quality, which the literature suggests remains comparatively underrepresented within the primarily safety and clinically focused regulatory framework discussed in Theme One. The finding from </w:t>
      </w:r>
      <w:proofErr w:type="spellStart"/>
      <w:r>
        <w:t>Lapane</w:t>
      </w:r>
      <w:proofErr w:type="spellEnd"/>
      <w:r>
        <w:t>, K.L. et al. (2022) that loneliness remains common among residents in congregate care settings, despite physical proximity to others, indicates that measures of care quality focused on physical safety, staffing ratios, or clinical outcomes alone are likely to miss a significant dimension of residents’ actual experience.</w:t>
      </w:r>
    </w:p>
    <w:p w14:paraId="0000008A" w14:textId="77777777" w:rsidR="00CC358E" w:rsidRDefault="00000000">
      <w:pPr>
        <w:spacing w:after="200" w:line="336" w:lineRule="auto"/>
        <w:jc w:val="both"/>
      </w:pPr>
      <w:r>
        <w:t xml:space="preserve">This theme intersects meaningfully with Theme Three, since person-centred care, properly implemented, is theoretically well positioned to address loneliness precisely because it emphasises individualised relationship and recognition of personhood rather than task-focused care delivery; the </w:t>
      </w:r>
      <w:proofErr w:type="gramStart"/>
      <w:r>
        <w:t>quality of life</w:t>
      </w:r>
      <w:proofErr w:type="gramEnd"/>
      <w:r>
        <w:t xml:space="preserve"> improvements observed in the WHELD trial, while modest, are consistent with this mechanism (Ballard, C. et al., 2018). It also intersects with Theme Two, since meaningful relational engagement between staff and residents, the kind of engagement theorised to reduce loneliness, is itself a function of staff having sufficient time, continuity, and familiarity with individual residents, all of which are threatened by the staffing instability discussed above.</w:t>
      </w:r>
    </w:p>
    <w:p w14:paraId="0000008B" w14:textId="77777777" w:rsidR="00CC358E" w:rsidRDefault="00000000">
      <w:pPr>
        <w:spacing w:after="200" w:line="336" w:lineRule="auto"/>
        <w:jc w:val="both"/>
      </w:pPr>
      <w:r>
        <w:t>For the West Midlands context, this theme suggests that any assessment of residential care quality that relies solely on regulatory ratings or clinical safety indicators risks overlooking a dimension of resident wellbeing that existing evidence identifies as both prevalent and consequential. It further suggests that addressing loneliness is not a separate initiative requiring distinct resources, but rather a further reason to prioritise the workforce stability and person-centred implementation fidelity discussed as central concerns throughout this chapter.</w:t>
      </w:r>
    </w:p>
    <w:p w14:paraId="0000008C" w14:textId="77777777" w:rsidR="00CC358E" w:rsidRDefault="00000000">
      <w:pPr>
        <w:spacing w:after="200" w:line="336" w:lineRule="auto"/>
        <w:jc w:val="both"/>
      </w:pPr>
      <w:r>
        <w:t xml:space="preserve">A further consideration raised by Lapane, K.L. et al. (2022) concerns measurement. The predominantly cross-sectional design of the studies included in their review means that while an association between loneliness and depression was consistently observed, the direction of this relationship, whether loneliness contributes to depression, depression leads to social withdrawal and consequent loneliness, or both operate through a shared underlying pathway, remains genuinely uncertain within the current evidence base. This is a meaningful limitation for policy translation: an intervention designed on the assumption that reducing loneliness will improve mood may be less effective than anticipated if the causal </w:t>
      </w:r>
      <w:r>
        <w:lastRenderedPageBreak/>
        <w:t>relationship in fact runs predominantly in the opposite direction for a given resident. This underscores a point raised in the quality appraisal approach described in Chapter 3, namely that the strength of causal language used to describe a finding should be calibrated to the underlying study design, and it is a caution this project applies in framing its own recommendations in Chapter 5.</w:t>
      </w:r>
    </w:p>
    <w:p w14:paraId="0000008D" w14:textId="77777777" w:rsidR="00CC358E" w:rsidRDefault="00000000">
      <w:pPr>
        <w:spacing w:after="200" w:line="336" w:lineRule="auto"/>
        <w:jc w:val="both"/>
      </w:pPr>
      <w:r>
        <w:t>Family and community contact emerged within the wider literature as a further practical lever relevant to this theme, distinct from staff-resident interaction. While the core focus of this project is on care provision within the home itself, the evidence reviewed suggests that residents’ sense of continued connection to family and to life beyond the home is closely bound up with their experience of loneliness and identity, echoing the Høy, B. et al. (2016) finding that dignity is partly constituted through being an integrated member of wider society rather than of the care home alone. This suggests that provider practices actively facilitating family visiting and community connection, rather than treating these as peripheral to core care delivery, represent a further practical mechanism through which the workforce and person-centred care findings discussed elsewhere in this chapter could translate into improved psychosocial outcomes.</w:t>
      </w:r>
    </w:p>
    <w:p w14:paraId="0000008E" w14:textId="77777777" w:rsidR="00CC358E" w:rsidRDefault="00000000">
      <w:pPr>
        <w:pStyle w:val="Heading2"/>
        <w:rPr>
          <w:color w:val="000000"/>
        </w:rPr>
      </w:pPr>
      <w:r>
        <w:rPr>
          <w:color w:val="000000"/>
        </w:rPr>
        <w:t>4.5 Synthesis Across Themes</w:t>
      </w:r>
    </w:p>
    <w:p w14:paraId="0000008F" w14:textId="77777777" w:rsidR="00CC358E" w:rsidRDefault="00000000">
      <w:pPr>
        <w:spacing w:after="200" w:line="336" w:lineRule="auto"/>
        <w:jc w:val="both"/>
      </w:pPr>
      <w:r>
        <w:t>Considered together, these four themes reveal a coherent underlying pattern rather than four unconnected findings. Workforce instability, driven by turnover and agency reliance, undermines the consistent staff-resident relationships required for effective person-centred care; weakened person-centred care implementation in turn limits opportunities to address loneliness and psychosocial wellbeing; and a regulatory system operating at reduced inspection frequency is less able to detect any of these interconnected quality pressures before they become entrenched. This suggests that interventions targeting any single theme in isolation, whether increased inspection frequency, minimum staffing ratios, or standalone person-centred care training, are individually valuable but unlikely to achieve their full potential impact without complementary attention to the other, interconnected themes identified in this chapter.</w:t>
      </w:r>
    </w:p>
    <w:p w14:paraId="00000090" w14:textId="77777777" w:rsidR="00CC358E" w:rsidRDefault="00000000">
      <w:pPr>
        <w:spacing w:after="200" w:line="336" w:lineRule="auto"/>
        <w:jc w:val="both"/>
      </w:pPr>
      <w:r>
        <w:t xml:space="preserve">This interconnection can be visualised as a cycle: workforce instability constrains the relational continuity on which both person-centred care and dignity depend; the resulting gap between formal care delivery and residents’ lived experience of involvement and recognition is precisely the kind of subtle, experiential quality </w:t>
      </w:r>
      <w:r>
        <w:lastRenderedPageBreak/>
        <w:t xml:space="preserve">shortfall that infrequent regulatory inspection is least likely to detect; and the absence of timely regulatory signal in turn reduces the external pressure on providers and commissioners to prioritise the workforce investment that would address the instability at the root of the cycle. Breaking this cycle at any single point, for example through increased inspection frequency alone, would be expected to yield only partial improvement unless accompanied by parallel attention to the workforce conditions that determine whether any resulting quality improvement plan can </w:t>
      </w:r>
      <w:proofErr w:type="gramStart"/>
      <w:r>
        <w:t>actually be</w:t>
      </w:r>
      <w:proofErr w:type="gramEnd"/>
      <w:r>
        <w:t xml:space="preserve"> delivered in practice. This systemic reading of the findings directly informs the recommendations proposed in the following chapter, which are deliberately framed as a connected package rather than a menu of independent options.</w:t>
      </w:r>
    </w:p>
    <w:p w14:paraId="00000091" w14:textId="77777777" w:rsidR="00CC358E" w:rsidRDefault="00000000">
      <w:r>
        <w:br w:type="page"/>
      </w:r>
    </w:p>
    <w:p w14:paraId="00000092" w14:textId="77777777" w:rsidR="00CC358E" w:rsidRDefault="00000000">
      <w:pPr>
        <w:pStyle w:val="Heading1"/>
        <w:rPr>
          <w:color w:val="000000"/>
        </w:rPr>
      </w:pPr>
      <w:r>
        <w:rPr>
          <w:color w:val="000000"/>
        </w:rPr>
        <w:lastRenderedPageBreak/>
        <w:t>5. Conclusion and Recommendations</w:t>
      </w:r>
    </w:p>
    <w:p w14:paraId="00000093" w14:textId="77777777" w:rsidR="00CC358E" w:rsidRDefault="00000000">
      <w:pPr>
        <w:pStyle w:val="Heading2"/>
        <w:rPr>
          <w:color w:val="000000"/>
        </w:rPr>
      </w:pPr>
      <w:r>
        <w:rPr>
          <w:color w:val="000000"/>
        </w:rPr>
        <w:t>5.1 Summary of Key Findings</w:t>
      </w:r>
    </w:p>
    <w:p w14:paraId="00000094" w14:textId="77777777" w:rsidR="00CC358E" w:rsidRDefault="00000000">
      <w:pPr>
        <w:spacing w:after="200" w:line="336" w:lineRule="auto"/>
        <w:jc w:val="both"/>
      </w:pPr>
      <w:r>
        <w:t>This project set out to critically examine the quality of elderly care provision within residential care homes in the West Midlands, identifying gaps in service delivery, policy implementation, and care practice. The literature synthesis conducted in pursuit of this aim identified four interconnected themes. First, a significant gap exists between the theoretical value of CQC regulation, which is meaningfully associated with resident quality of life when functioning as intended, and its current practical operation, which a 2024 government-commissioned review found to be operating with reduced credibility and inspection frequency. Second, workforce staffing emerged as a central but complex determinant of quality, operating through turnover, agency reliance, and staff experience rather than headcount alone. Third, person-centred care was confirmed as an evidence-supported model for improving resident outcomes, but one whose benefits are conditional on consistent implementation by a stable, well-supported workforce. Fourth, loneliness and psychosocial wellbeing were identified as a prevalent but under-addressed dimension of care quality, closely connected to both workforce stability and person-centred care implementation.</w:t>
      </w:r>
    </w:p>
    <w:p w14:paraId="00000095" w14:textId="77777777" w:rsidR="00CC358E" w:rsidRDefault="00000000">
      <w:pPr>
        <w:spacing w:after="200" w:line="336" w:lineRule="auto"/>
        <w:jc w:val="both"/>
      </w:pPr>
      <w:r>
        <w:t>Together, these findings indicate that the objectives set out in Chapter 1 have been substantially met: the conceptual frameworks underpinning quality care have been defined and examined, the regulatory framework has been critically analysed, current care practices and their determinants have been evaluated, and the basis for evidence-based recommendations has been established.</w:t>
      </w:r>
    </w:p>
    <w:p w14:paraId="00000096" w14:textId="77777777" w:rsidR="00CC358E" w:rsidRDefault="00000000">
      <w:pPr>
        <w:pStyle w:val="Heading2"/>
        <w:rPr>
          <w:color w:val="000000"/>
        </w:rPr>
      </w:pPr>
      <w:r>
        <w:rPr>
          <w:color w:val="000000"/>
        </w:rPr>
        <w:t>5.2 Recommendations</w:t>
      </w:r>
    </w:p>
    <w:p w14:paraId="00000097" w14:textId="77777777" w:rsidR="00CC358E" w:rsidRDefault="00000000">
      <w:pPr>
        <w:spacing w:after="200" w:line="336" w:lineRule="auto"/>
        <w:jc w:val="both"/>
      </w:pPr>
      <w:r>
        <w:t xml:space="preserve">Based on the findings of this project, four recommendations are proposed for residential care providers, commissioners, and policy stakeholders in the West Midlands. Each is grounded directly in the synthesis presented in Chapter </w:t>
      </w:r>
      <w:proofErr w:type="gramStart"/>
      <w:r>
        <w:t>4, and</w:t>
      </w:r>
      <w:proofErr w:type="gramEnd"/>
      <w:r>
        <w:t xml:space="preserve"> is deliberately framed as part of a connected package rather than a standalone measure, in line with the cyclical relationship between themes identified in section 4.5.</w:t>
      </w:r>
    </w:p>
    <w:p w14:paraId="00000098" w14:textId="77777777" w:rsidR="00CC358E" w:rsidRDefault="00000000">
      <w:pPr>
        <w:numPr>
          <w:ilvl w:val="0"/>
          <w:numId w:val="1"/>
        </w:numPr>
        <w:pBdr>
          <w:top w:val="nil"/>
          <w:left w:val="nil"/>
          <w:bottom w:val="nil"/>
          <w:right w:val="nil"/>
          <w:between w:val="nil"/>
        </w:pBdr>
        <w:spacing w:after="60" w:line="336" w:lineRule="auto"/>
        <w:ind w:hanging="259"/>
      </w:pPr>
      <w:r>
        <w:rPr>
          <w:b/>
          <w:bCs/>
        </w:rPr>
        <w:t xml:space="preserve">Prioritise workforce stability as a distinct quality target. </w:t>
      </w:r>
      <w:r>
        <w:t xml:space="preserve">Providers and commissioners should track and address staff turnover and agency reliance specifically, separate from minimum staffing ratios, given the evidence </w:t>
      </w:r>
      <w:r>
        <w:lastRenderedPageBreak/>
        <w:t>reviewed in Theme Two that these factors, rather than headcount alone, most consistently predict quality outcomes.</w:t>
      </w:r>
    </w:p>
    <w:p w14:paraId="00000099" w14:textId="77777777" w:rsidR="00CC358E" w:rsidRDefault="00000000">
      <w:pPr>
        <w:numPr>
          <w:ilvl w:val="0"/>
          <w:numId w:val="1"/>
        </w:numPr>
        <w:pBdr>
          <w:top w:val="nil"/>
          <w:left w:val="nil"/>
          <w:bottom w:val="nil"/>
          <w:right w:val="nil"/>
          <w:between w:val="nil"/>
        </w:pBdr>
        <w:spacing w:after="60" w:line="336" w:lineRule="auto"/>
        <w:ind w:hanging="259"/>
      </w:pPr>
      <w:r>
        <w:rPr>
          <w:b/>
          <w:bCs/>
        </w:rPr>
        <w:t xml:space="preserve">Deliver person-centred care training as an integrated package. </w:t>
      </w:r>
      <w:r>
        <w:t>Training should be paired with workforce stability measures rather than delivered as a standalone intervention, given the evidence from Theme Three that implementation fidelity, and the dignity residents experience as a result, depends on consistent staff-resident relationships rather than training content alone.</w:t>
      </w:r>
    </w:p>
    <w:p w14:paraId="0000009A" w14:textId="77777777" w:rsidR="00CC358E" w:rsidRDefault="00000000">
      <w:pPr>
        <w:numPr>
          <w:ilvl w:val="0"/>
          <w:numId w:val="1"/>
        </w:numPr>
        <w:pBdr>
          <w:top w:val="nil"/>
          <w:left w:val="nil"/>
          <w:bottom w:val="nil"/>
          <w:right w:val="nil"/>
          <w:between w:val="nil"/>
        </w:pBdr>
        <w:spacing w:after="60" w:line="336" w:lineRule="auto"/>
        <w:ind w:hanging="259"/>
      </w:pPr>
      <w:r>
        <w:rPr>
          <w:b/>
          <w:bCs/>
        </w:rPr>
        <w:t xml:space="preserve">Incorporate psychosocial wellbeing into internal quality monitoring. </w:t>
      </w:r>
      <w:r>
        <w:t>Providers should explicitly monitor loneliness and residents’ sense of involvement and dignity, rather than relying solely on regulatory frameworks that, as Theme One demonstrates, may not currently capture this dimension consistently or promptly.</w:t>
      </w:r>
    </w:p>
    <w:p w14:paraId="0000009B" w14:textId="77777777" w:rsidR="00CC358E" w:rsidRDefault="00000000">
      <w:pPr>
        <w:numPr>
          <w:ilvl w:val="0"/>
          <w:numId w:val="1"/>
        </w:numPr>
        <w:pBdr>
          <w:top w:val="nil"/>
          <w:left w:val="nil"/>
          <w:bottom w:val="nil"/>
          <w:right w:val="nil"/>
          <w:between w:val="nil"/>
        </w:pBdr>
        <w:spacing w:after="200" w:line="336" w:lineRule="auto"/>
        <w:ind w:hanging="259"/>
      </w:pPr>
      <w:r>
        <w:rPr>
          <w:b/>
          <w:bCs/>
        </w:rPr>
        <w:t xml:space="preserve">Triangulate CQC ratings with more current evidence sources. </w:t>
      </w:r>
      <w:r>
        <w:t>Families, commissioners, and researchers should combine published ratings with more current sources, such as recent workforce data or direct engagement with a home, rather than relying on ratings alone, given the documented concerns regarding current inspection frequency and consistency discussed in Theme One.</w:t>
      </w:r>
    </w:p>
    <w:p w14:paraId="0000009C" w14:textId="77777777" w:rsidR="00CC358E" w:rsidRDefault="00000000">
      <w:pPr>
        <w:pStyle w:val="Heading2"/>
        <w:rPr>
          <w:color w:val="000000"/>
        </w:rPr>
      </w:pPr>
      <w:r>
        <w:rPr>
          <w:color w:val="000000"/>
        </w:rPr>
        <w:t>5.3 Limitations</w:t>
      </w:r>
    </w:p>
    <w:p w14:paraId="0000009D" w14:textId="77777777" w:rsidR="00CC358E" w:rsidRDefault="00000000">
      <w:pPr>
        <w:spacing w:after="200" w:line="336" w:lineRule="auto"/>
        <w:jc w:val="both"/>
      </w:pPr>
      <w:r>
        <w:t xml:space="preserve">This project is subject to the methodological limitations discussed in section 3.7, most notably its reliance on secondary sources with limited West Midlands-specific primary evidence, the inherent risk of publication bias within any literature synthesis, the restriction to English-language sources, and the researcher’s own professional background as a potential source of interpretive bias, which was managed through reflexive awareness but cannot be entirely eliminated. A further limitation specific to the findings is that the most rigorous experimental evidence available, particularly the CADRES and WHELD trials, concerns interventions specifically for residents with dementia, meaning conclusions regarding person-centred care efficacy may be less directly generalisable to residents without a dementia diagnosis. Similarly, the dignity-in-care evidence discussed in section 2.1.1 derives from a Scandinavian rather than a UK sample, and while the underlying themes of involvement and recognition are plausibly transferable, cultural and system-level differences between Scandinavian and English residential </w:t>
      </w:r>
      <w:r>
        <w:lastRenderedPageBreak/>
        <w:t>care mean this transferability has not been directly tested within the evidence reviewed.</w:t>
      </w:r>
    </w:p>
    <w:p w14:paraId="0000009E" w14:textId="77777777" w:rsidR="00CC358E" w:rsidRDefault="00000000">
      <w:pPr>
        <w:pStyle w:val="Heading2"/>
        <w:rPr>
          <w:color w:val="000000"/>
        </w:rPr>
      </w:pPr>
      <w:r>
        <w:rPr>
          <w:color w:val="000000"/>
        </w:rPr>
        <w:t>5.4 Reflection and Areas for Future Research</w:t>
      </w:r>
    </w:p>
    <w:p w14:paraId="0000009F" w14:textId="77777777" w:rsidR="00CC358E" w:rsidRDefault="00000000">
      <w:pPr>
        <w:spacing w:after="200" w:line="336" w:lineRule="auto"/>
        <w:jc w:val="both"/>
      </w:pPr>
      <w:r>
        <w:t>Conducting this project has reinforced the value of triangulating evidence across academic, regulatory, and workforce sources rather than relying on any single evidence type, particularly given the finding that regulatory data alone, while valuable, may not currently provide a fully reliable or current picture of care quality. It has also highlighted the interconnected nature of the challenges facing residential care, suggesting that future research would benefit from explicitly modelling the relationships between workforce stability, person-centred care implementation, and resident psychosocial outcomes, rather than examining these dimensions in isolation as much of the existing literature currently does.</w:t>
      </w:r>
    </w:p>
    <w:p w14:paraId="000000A0" w14:textId="77777777" w:rsidR="00CC358E" w:rsidRDefault="00000000">
      <w:pPr>
        <w:spacing w:after="200" w:line="336" w:lineRule="auto"/>
        <w:jc w:val="both"/>
      </w:pPr>
      <w:r>
        <w:t>On a personal and professional level, undertaking this project has sharpened my appreciation of how easily quantitative quality indicators, such as a published CQC rating or a staffing ratio, can convey a misleading sense of precision and currency unless their underlying limitations are properly understood and communicated. This has direct implications for my own future practice within health and social care, reinforcing the importance of looking beyond headline indicators when evaluating or advocating for the quality of care a service provides. The process of synthesising evidence across quantitative trials, qualitative studies, and regulatory grey literature has also strengthened my confidence in critically appraising sources of differing methodological strength, a skill directly transferable beyond this specific project.</w:t>
      </w:r>
    </w:p>
    <w:p w14:paraId="000000A1" w14:textId="77777777" w:rsidR="00CC358E" w:rsidRDefault="00000000">
      <w:pPr>
        <w:spacing w:after="200" w:line="336" w:lineRule="auto"/>
        <w:jc w:val="both"/>
      </w:pPr>
      <w:r>
        <w:t>Future primary research specifically situated within West Midlands care homes, examining workforce turnover, person-centred care fidelity, and resident-reported loneliness and dignity within a single study design, would directly address the regional evidence gap identified in section 2.6 and would build meaningfully on the secondary synthesis presented in this project. Such research might usefully adopt a mixed-methods design, combining quantitative workforce and outcome data of the kind used in the StaRQ programme with qualitative, resident-centred methods of the kind employed by Høy, B. et al. (2016), in order to capture both the measurable and the experiential dimensions of quality that this project has argued are equally necessary to a complete understanding of residential care provision.</w:t>
      </w:r>
    </w:p>
    <w:p w14:paraId="000000A2" w14:textId="77777777" w:rsidR="00CC358E" w:rsidRDefault="00000000">
      <w:r>
        <w:br w:type="page"/>
      </w:r>
    </w:p>
    <w:p w14:paraId="000000A3" w14:textId="696B28AB" w:rsidR="00CC358E" w:rsidRDefault="00000000">
      <w:pPr>
        <w:pStyle w:val="Heading1"/>
        <w:rPr>
          <w:color w:val="000000"/>
        </w:rPr>
      </w:pPr>
      <w:r>
        <w:rPr>
          <w:color w:val="000000"/>
        </w:rPr>
        <w:lastRenderedPageBreak/>
        <w:t>R</w:t>
      </w:r>
      <w:r w:rsidR="008937CF">
        <w:rPr>
          <w:color w:val="000000"/>
        </w:rPr>
        <w:t>EFERENCE</w:t>
      </w:r>
    </w:p>
    <w:p w14:paraId="000000A4" w14:textId="77777777" w:rsidR="00CC358E" w:rsidRDefault="00000000">
      <w:pPr>
        <w:spacing w:after="160" w:line="336" w:lineRule="auto"/>
      </w:pPr>
      <w:r>
        <w:t xml:space="preserve">Ballard, C., Corbett, A., Orrell, M., Williams, G., Moniz-Cook, E., Romeo, R., Woods, B., Garrod, L., </w:t>
      </w:r>
      <w:proofErr w:type="spellStart"/>
      <w:r>
        <w:t>Testad</w:t>
      </w:r>
      <w:proofErr w:type="spellEnd"/>
      <w:r>
        <w:t xml:space="preserve">, I., Woodward-Carlton, B., </w:t>
      </w:r>
      <w:proofErr w:type="spellStart"/>
      <w:r>
        <w:t>Wenborn</w:t>
      </w:r>
      <w:proofErr w:type="spellEnd"/>
      <w:r>
        <w:t xml:space="preserve">, J., Knapp, M. and Fossey, J. (2018) Impact of person-centred care training and person-centred activities on quality of life, agitation, and antipsychotic use in people with dementia living in nursing homes: a cluster-randomised controlled trial. </w:t>
      </w:r>
      <w:proofErr w:type="spellStart"/>
      <w:r>
        <w:rPr>
          <w:i/>
          <w:iCs/>
        </w:rPr>
        <w:t>PLoS</w:t>
      </w:r>
      <w:proofErr w:type="spellEnd"/>
      <w:r>
        <w:rPr>
          <w:i/>
          <w:iCs/>
        </w:rPr>
        <w:t xml:space="preserve"> Medicine</w:t>
      </w:r>
      <w:r>
        <w:t xml:space="preserve">, 15(2), e1002500. </w:t>
      </w:r>
      <w:proofErr w:type="spellStart"/>
      <w:r>
        <w:t>doi</w:t>
      </w:r>
      <w:proofErr w:type="spellEnd"/>
      <w:r>
        <w:t>: 10.1371/journal.pmed.1002500.</w:t>
      </w:r>
    </w:p>
    <w:p w14:paraId="000000A5" w14:textId="77777777" w:rsidR="00CC358E" w:rsidRDefault="00000000">
      <w:pPr>
        <w:spacing w:after="160" w:line="336" w:lineRule="auto"/>
      </w:pPr>
      <w:r>
        <w:t xml:space="preserve">Braun, V. and Clarke, V. (2006) Using thematic analysis in psychology. </w:t>
      </w:r>
      <w:r>
        <w:rPr>
          <w:i/>
          <w:iCs/>
        </w:rPr>
        <w:t>Qualitative Research in Psychology</w:t>
      </w:r>
      <w:r>
        <w:t xml:space="preserve">, 3(2), pp. 77–101. </w:t>
      </w:r>
      <w:proofErr w:type="spellStart"/>
      <w:r>
        <w:t>doi</w:t>
      </w:r>
      <w:proofErr w:type="spellEnd"/>
      <w:r>
        <w:t>: 10.1191/1478088706qp063oa.</w:t>
      </w:r>
    </w:p>
    <w:p w14:paraId="000000A6" w14:textId="77777777" w:rsidR="00CC358E" w:rsidRDefault="00000000">
      <w:pPr>
        <w:spacing w:after="160" w:line="336" w:lineRule="auto"/>
      </w:pPr>
      <w:r>
        <w:t>Brownie, S. and Nancarrow, S. (2013) Effects of person-</w:t>
      </w:r>
      <w:proofErr w:type="spellStart"/>
      <w:r>
        <w:t>centered</w:t>
      </w:r>
      <w:proofErr w:type="spellEnd"/>
      <w:r>
        <w:t xml:space="preserve"> care on residents and staff in aged-care facilities: a systematic review. </w:t>
      </w:r>
      <w:r>
        <w:rPr>
          <w:i/>
          <w:iCs/>
        </w:rPr>
        <w:t>Clinical Interventions in Aging</w:t>
      </w:r>
      <w:r>
        <w:t xml:space="preserve">, 8, pp. 1–10. </w:t>
      </w:r>
      <w:proofErr w:type="spellStart"/>
      <w:r>
        <w:t>doi</w:t>
      </w:r>
      <w:proofErr w:type="spellEnd"/>
      <w:r>
        <w:t>: 10.2147/CIA.S38589.</w:t>
      </w:r>
    </w:p>
    <w:p w14:paraId="000000A7" w14:textId="77777777" w:rsidR="00CC358E" w:rsidRDefault="00000000">
      <w:pPr>
        <w:spacing w:after="160" w:line="336" w:lineRule="auto"/>
      </w:pPr>
      <w:r>
        <w:t xml:space="preserve">Care Quality Commission (2023) </w:t>
      </w:r>
      <w:r>
        <w:rPr>
          <w:i/>
          <w:iCs/>
        </w:rPr>
        <w:t>The state of health care and adult social care in England 2022/23</w:t>
      </w:r>
      <w:r>
        <w:t>. London: CQC. Available at: https://www.cqc.org.uk/publications/major-report/state-care (Accessed: 9 July 2026).</w:t>
      </w:r>
    </w:p>
    <w:p w14:paraId="000000A8" w14:textId="77777777" w:rsidR="00CC358E" w:rsidRDefault="00000000">
      <w:pPr>
        <w:spacing w:after="160" w:line="336" w:lineRule="auto"/>
      </w:pPr>
      <w:r>
        <w:t xml:space="preserve">Care Quality Commission (2024) </w:t>
      </w:r>
      <w:r>
        <w:rPr>
          <w:i/>
          <w:iCs/>
        </w:rPr>
        <w:t>Review into the operational effectiveness of the Care Quality Commission: full report</w:t>
      </w:r>
      <w:r>
        <w:t>. London: Department of Health and Social Care. Available at: https://www.gov.uk/government/publications/review-into-the-operational-effectiveness-of-the-care-quality-commission-full-report (Accessed: 9 July 2026).</w:t>
      </w:r>
    </w:p>
    <w:p w14:paraId="000000A9" w14:textId="77777777" w:rsidR="00CC358E" w:rsidRDefault="00000000">
      <w:pPr>
        <w:spacing w:after="160" w:line="336" w:lineRule="auto"/>
      </w:pPr>
      <w:r>
        <w:t xml:space="preserve">Chenoweth, L., King, M.T., Jeon, Y.H., </w:t>
      </w:r>
      <w:proofErr w:type="spellStart"/>
      <w:r>
        <w:t>Brodaty</w:t>
      </w:r>
      <w:proofErr w:type="spellEnd"/>
      <w:r>
        <w:t>, H., Stein-</w:t>
      </w:r>
      <w:proofErr w:type="spellStart"/>
      <w:r>
        <w:t>Parbury</w:t>
      </w:r>
      <w:proofErr w:type="spellEnd"/>
      <w:r>
        <w:t xml:space="preserve">, J., Norman, R., Haas, M. and Luscombe, G. (2009) Caring for Aged Dementia Care Resident Study (CADRES) of person-centred care, dementia-care mapping, and usual care in dementia: a cluster-randomised trial. </w:t>
      </w:r>
      <w:r>
        <w:rPr>
          <w:i/>
          <w:iCs/>
        </w:rPr>
        <w:t>Lancet Neurology</w:t>
      </w:r>
      <w:r>
        <w:t xml:space="preserve">, 8(4), pp. 317–325. </w:t>
      </w:r>
      <w:proofErr w:type="spellStart"/>
      <w:r>
        <w:t>doi</w:t>
      </w:r>
      <w:proofErr w:type="spellEnd"/>
      <w:r>
        <w:t>: 10.1016/S1474-4422(09)70045-6.</w:t>
      </w:r>
    </w:p>
    <w:p w14:paraId="000000AA" w14:textId="77777777" w:rsidR="00CC358E" w:rsidRDefault="00000000">
      <w:pPr>
        <w:spacing w:after="160" w:line="336" w:lineRule="auto"/>
      </w:pPr>
      <w:r>
        <w:t xml:space="preserve">Davies, S.L., Goodman, C., Bunn, F., Victor, C., Dickinson, A., Iliffe, S., Gage, H., Martin, W. and Froggatt, K. (2011) A systematic review of integrated working between care homes and health care services. </w:t>
      </w:r>
      <w:r>
        <w:rPr>
          <w:i/>
          <w:iCs/>
        </w:rPr>
        <w:t>BMC Health Services Research</w:t>
      </w:r>
      <w:r>
        <w:t xml:space="preserve">, 11, article 320. </w:t>
      </w:r>
      <w:proofErr w:type="spellStart"/>
      <w:r>
        <w:t>doi</w:t>
      </w:r>
      <w:proofErr w:type="spellEnd"/>
      <w:r>
        <w:t>: 10.1186/1472-6963-11-320.</w:t>
      </w:r>
    </w:p>
    <w:p w14:paraId="000000AB" w14:textId="77777777" w:rsidR="00CC358E" w:rsidRDefault="00000000">
      <w:pPr>
        <w:spacing w:after="160" w:line="336" w:lineRule="auto"/>
      </w:pPr>
      <w:r>
        <w:t xml:space="preserve">Edvardsson, D., Winblad, B. and Sandman, P.O. (2008) Person-centred care of people with severe Alzheimer’s disease: </w:t>
      </w:r>
      <w:proofErr w:type="gramStart"/>
      <w:r>
        <w:t>current status</w:t>
      </w:r>
      <w:proofErr w:type="gramEnd"/>
      <w:r>
        <w:t xml:space="preserve"> and ways forward. </w:t>
      </w:r>
      <w:r>
        <w:rPr>
          <w:i/>
          <w:iCs/>
        </w:rPr>
        <w:t>The Lancet Neurology</w:t>
      </w:r>
      <w:r>
        <w:t xml:space="preserve">, 7(4), pp. 362–367. </w:t>
      </w:r>
      <w:proofErr w:type="spellStart"/>
      <w:r>
        <w:t>doi</w:t>
      </w:r>
      <w:proofErr w:type="spellEnd"/>
      <w:r>
        <w:t>: 10.1016/S1474-4422(08)70063-2.</w:t>
      </w:r>
    </w:p>
    <w:p w14:paraId="000000AC" w14:textId="77777777" w:rsidR="00CC358E" w:rsidRDefault="00000000">
      <w:pPr>
        <w:spacing w:after="160" w:line="336" w:lineRule="auto"/>
      </w:pPr>
      <w:r>
        <w:lastRenderedPageBreak/>
        <w:t xml:space="preserve">Greenhalgh, T., Thorne, S. and </w:t>
      </w:r>
      <w:proofErr w:type="spellStart"/>
      <w:r>
        <w:t>Malterud</w:t>
      </w:r>
      <w:proofErr w:type="spellEnd"/>
      <w:r>
        <w:t xml:space="preserve">, K. (2018) Time to challenge the spurious hierarchy of systematic over narrative reviews? </w:t>
      </w:r>
      <w:r>
        <w:rPr>
          <w:i/>
          <w:iCs/>
        </w:rPr>
        <w:t>European Journal of Clinical Investigation</w:t>
      </w:r>
      <w:r>
        <w:t xml:space="preserve">, 48(6), e12931. </w:t>
      </w:r>
      <w:proofErr w:type="spellStart"/>
      <w:r>
        <w:t>doi</w:t>
      </w:r>
      <w:proofErr w:type="spellEnd"/>
      <w:r>
        <w:t>: 10.1111/eci.12931.</w:t>
      </w:r>
    </w:p>
    <w:p w14:paraId="000000AD" w14:textId="77777777" w:rsidR="00CC358E" w:rsidRDefault="00000000">
      <w:pPr>
        <w:spacing w:after="160" w:line="336" w:lineRule="auto"/>
      </w:pPr>
      <w:r>
        <w:t xml:space="preserve">Høy, B., </w:t>
      </w:r>
      <w:proofErr w:type="spellStart"/>
      <w:r>
        <w:t>Lillestø</w:t>
      </w:r>
      <w:proofErr w:type="spellEnd"/>
      <w:r>
        <w:t xml:space="preserve">, B., </w:t>
      </w:r>
      <w:proofErr w:type="spellStart"/>
      <w:r>
        <w:t>Sletteø</w:t>
      </w:r>
      <w:proofErr w:type="spellEnd"/>
      <w:r>
        <w:t xml:space="preserve">, Å., </w:t>
      </w:r>
      <w:proofErr w:type="spellStart"/>
      <w:r>
        <w:t>Sæteren</w:t>
      </w:r>
      <w:proofErr w:type="spellEnd"/>
      <w:r>
        <w:t xml:space="preserve">, B., Heggestad, A.K.T., Caspari, S., Aasgaard, T., Lohne, V., Rehnsfeldt, A., </w:t>
      </w:r>
      <w:proofErr w:type="spellStart"/>
      <w:r>
        <w:t>Råholm</w:t>
      </w:r>
      <w:proofErr w:type="spellEnd"/>
      <w:r>
        <w:t xml:space="preserve">, M.B., Lindwall, L. and </w:t>
      </w:r>
      <w:proofErr w:type="spellStart"/>
      <w:r>
        <w:t>Nåden</w:t>
      </w:r>
      <w:proofErr w:type="spellEnd"/>
      <w:r>
        <w:t xml:space="preserve">, D. (2016) Maintaining dignity in vulnerability: a qualitative study of the residents’ perspective on dignity in nursing homes. </w:t>
      </w:r>
      <w:r>
        <w:rPr>
          <w:i/>
          <w:iCs/>
        </w:rPr>
        <w:t>International Journal of Nursing Studies</w:t>
      </w:r>
      <w:r>
        <w:t xml:space="preserve">, 60, pp. 91–98. </w:t>
      </w:r>
      <w:proofErr w:type="spellStart"/>
      <w:r>
        <w:t>doi</w:t>
      </w:r>
      <w:proofErr w:type="spellEnd"/>
      <w:r>
        <w:t>: 10.1016/j.ijnurstu.2016.04.005.</w:t>
      </w:r>
    </w:p>
    <w:p w14:paraId="000000AE" w14:textId="77777777" w:rsidR="00CC358E" w:rsidRDefault="00000000">
      <w:pPr>
        <w:spacing w:after="160" w:line="336" w:lineRule="auto"/>
      </w:pPr>
      <w:r>
        <w:t xml:space="preserve">Johnston, M.P. (2017) Secondary data analysis: a method of which the time has come. </w:t>
      </w:r>
      <w:r>
        <w:rPr>
          <w:i/>
          <w:iCs/>
        </w:rPr>
        <w:t>Qualitative and Quantitative Methods in Libraries</w:t>
      </w:r>
      <w:r>
        <w:t>, 3(3), pp. 619–626.</w:t>
      </w:r>
    </w:p>
    <w:p w14:paraId="000000AF" w14:textId="77777777" w:rsidR="00CC358E" w:rsidRDefault="00000000">
      <w:pPr>
        <w:spacing w:after="160" w:line="336" w:lineRule="auto"/>
      </w:pPr>
      <w:r>
        <w:t>Kingston, A., Robinson, L., Booth, H., Knapp, M. and Jagger, C. (2018) Projections of multi-morbidity in the older population in England to 2035: estimates from the Population Ageing and Care Simulation (</w:t>
      </w:r>
      <w:proofErr w:type="spellStart"/>
      <w:r>
        <w:t>PACSim</w:t>
      </w:r>
      <w:proofErr w:type="spellEnd"/>
      <w:r>
        <w:t xml:space="preserve">) model. </w:t>
      </w:r>
      <w:r>
        <w:rPr>
          <w:i/>
          <w:iCs/>
        </w:rPr>
        <w:t>Age and Ageing</w:t>
      </w:r>
      <w:r>
        <w:t xml:space="preserve">, 47(3), pp. 374–380. </w:t>
      </w:r>
      <w:proofErr w:type="spellStart"/>
      <w:r>
        <w:t>doi</w:t>
      </w:r>
      <w:proofErr w:type="spellEnd"/>
      <w:r>
        <w:t>: 10.1093/ageing/afx201.</w:t>
      </w:r>
    </w:p>
    <w:p w14:paraId="000000B0" w14:textId="77777777" w:rsidR="00CC358E" w:rsidRDefault="00000000">
      <w:pPr>
        <w:spacing w:after="160" w:line="336" w:lineRule="auto"/>
      </w:pPr>
      <w:r>
        <w:t xml:space="preserve">Lapane, K.L., Lim, E., McPhillips, E., Barooah, A., Yuan, Y. and Dube, C.E. (2022) Health effects of loneliness and social isolation in older adults living in congregate long term care settings: a systematic review of quantitative and qualitative evidence. </w:t>
      </w:r>
      <w:r>
        <w:rPr>
          <w:i/>
          <w:iCs/>
        </w:rPr>
        <w:t>Archives of Gerontology and Geriatrics</w:t>
      </w:r>
      <w:r>
        <w:t xml:space="preserve">, 102, 104728. </w:t>
      </w:r>
      <w:proofErr w:type="spellStart"/>
      <w:r>
        <w:t>doi</w:t>
      </w:r>
      <w:proofErr w:type="spellEnd"/>
      <w:r>
        <w:t>: 10.1016/j.archger.2022.104728.</w:t>
      </w:r>
    </w:p>
    <w:p w14:paraId="000000B1" w14:textId="77777777" w:rsidR="00CC358E" w:rsidRDefault="00000000">
      <w:pPr>
        <w:spacing w:after="160" w:line="336" w:lineRule="auto"/>
      </w:pPr>
      <w:r>
        <w:t xml:space="preserve">Skills for Care (2024) </w:t>
      </w:r>
      <w:r>
        <w:rPr>
          <w:i/>
          <w:iCs/>
        </w:rPr>
        <w:t>The state of the adult social care sector and workforce in England</w:t>
      </w:r>
      <w:r>
        <w:t>. Leeds: Skills for Care. Available at: https://www.skillsforcare.org.uk/adult-social-care-workforce-data/Workforce-intelligence/publications/national-information/The-state-of-the-adult-social-care-sector-and-workforce-in-England.aspx (Accessed: 9 July 2026).</w:t>
      </w:r>
    </w:p>
    <w:p w14:paraId="000000B2" w14:textId="77777777" w:rsidR="00CC358E" w:rsidRDefault="00000000">
      <w:pPr>
        <w:spacing w:after="160" w:line="336" w:lineRule="auto"/>
      </w:pPr>
      <w:r>
        <w:t xml:space="preserve">Spilsbury, K., Hewitt, C., Stirk, L. and Bowman, C. (2011) The relationship between nurse staffing and quality of care in nursing homes: a systematic review. </w:t>
      </w:r>
      <w:r>
        <w:rPr>
          <w:i/>
          <w:iCs/>
        </w:rPr>
        <w:t>International Journal of Nursing Studies</w:t>
      </w:r>
      <w:r>
        <w:t xml:space="preserve">, 48(6), pp. 732–750. </w:t>
      </w:r>
      <w:proofErr w:type="spellStart"/>
      <w:r>
        <w:t>doi</w:t>
      </w:r>
      <w:proofErr w:type="spellEnd"/>
      <w:r>
        <w:t>: 10.1016/j.ijnurstu.2011.02.014.</w:t>
      </w:r>
    </w:p>
    <w:p w14:paraId="000000B3" w14:textId="77777777" w:rsidR="00CC358E" w:rsidRDefault="00000000">
      <w:pPr>
        <w:spacing w:after="160" w:line="336" w:lineRule="auto"/>
      </w:pPr>
      <w:r>
        <w:t xml:space="preserve">Towers, A.M., Palmer, S., Smith, N., Collins, G. and Allan, S. (2020) A cross-sectional study exploring the relationship between regulator quality ratings and care home residents’ quality of life in England. </w:t>
      </w:r>
      <w:r>
        <w:rPr>
          <w:i/>
          <w:iCs/>
        </w:rPr>
        <w:t>Health and Quality of Life Outcomes</w:t>
      </w:r>
      <w:r>
        <w:t xml:space="preserve">, 18, article 22. </w:t>
      </w:r>
      <w:proofErr w:type="spellStart"/>
      <w:r>
        <w:t>doi</w:t>
      </w:r>
      <w:proofErr w:type="spellEnd"/>
      <w:r>
        <w:t>: 10.1186/s12955-020-01275-0.</w:t>
      </w:r>
    </w:p>
    <w:sectPr w:rsidR="00CC358E">
      <w:footerReference w:type="default" r:id="rId7"/>
      <w:footerReference w:type="first" r:id="rId8"/>
      <w:pgSz w:w="11909" w:h="16834"/>
      <w:pgMar w:top="1440" w:right="1584" w:bottom="1440" w:left="1584"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F9C8959" w14:textId="77777777" w:rsidR="003A486A" w:rsidRDefault="003A486A">
      <w:r>
        <w:separator/>
      </w:r>
    </w:p>
  </w:endnote>
  <w:endnote w:type="continuationSeparator" w:id="0">
    <w:p w14:paraId="223919D9" w14:textId="77777777" w:rsidR="003A486A" w:rsidRDefault="003A48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rial">
    <w:panose1 w:val="020B0604020202020204"/>
    <w:charset w:val="00"/>
    <w:family w:val="swiss"/>
    <w:pitch w:val="variable"/>
    <w:sig w:usb0="E0002EFF" w:usb1="C000785B" w:usb2="00000009" w:usb3="00000000" w:csb0="000001FF" w:csb1="00000000"/>
    <w:embedRegular r:id="rId1" w:fontKey="{8E31620D-5DA2-BC45-93EF-951E1B6058A2}"/>
    <w:embedBold r:id="rId2" w:fontKey="{70408138-66CF-5C4D-83F0-89A741CCE457}"/>
    <w:embedItalic r:id="rId3" w:fontKey="{5A4FFD08-151E-DD47-8861-F36AF97FA0C1}"/>
  </w:font>
  <w:font w:name="Times New Roman">
    <w:panose1 w:val="02020603050405020304"/>
    <w:charset w:val="00"/>
    <w:family w:val="roman"/>
    <w:pitch w:val="variable"/>
    <w:sig w:usb0="E0002EFF" w:usb1="C000785B" w:usb2="00000009" w:usb3="00000000" w:csb0="000001FF" w:csb1="00000000"/>
    <w:embedRegular r:id="rId4" w:fontKey="{FBBA6A05-97CD-AC4A-8DA2-3AF50801735D}"/>
  </w:font>
  <w:font w:name="Georgia">
    <w:panose1 w:val="02040502050405020303"/>
    <w:charset w:val="00"/>
    <w:family w:val="roman"/>
    <w:pitch w:val="variable"/>
    <w:sig w:usb0="00000287" w:usb1="00000000" w:usb2="00000000" w:usb3="00000000" w:csb0="0000009F" w:csb1="00000000"/>
    <w:embedItalic r:id="rId5" w:fontKey="{E7F35D3D-24D9-1F4F-BB14-E93571EB620E}"/>
  </w:font>
  <w:font w:name="Calibri">
    <w:panose1 w:val="020F0502020204030204"/>
    <w:charset w:val="00"/>
    <w:family w:val="swiss"/>
    <w:pitch w:val="variable"/>
    <w:sig w:usb0="E4002EFF" w:usb1="C200247B" w:usb2="00000009" w:usb3="00000000" w:csb0="000001FF" w:csb1="00000000"/>
    <w:embedRegular r:id="rId6" w:fontKey="{1D30A605-77F7-5644-A93F-BCAC9C5FAAAA}"/>
  </w:font>
  <w:font w:name="Cambria">
    <w:panose1 w:val="02040503050406030204"/>
    <w:charset w:val="00"/>
    <w:family w:val="roman"/>
    <w:pitch w:val="variable"/>
    <w:sig w:usb0="E00006FF" w:usb1="420024FF" w:usb2="02000000" w:usb3="00000000" w:csb0="0000019F" w:csb1="00000000"/>
    <w:embedRegular r:id="rId7" w:fontKey="{08A4370F-023F-3A44-8108-7450AF75A5C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00000B4" w14:textId="006A308D" w:rsidR="00CC358E" w:rsidRDefault="00000000">
    <w:pPr>
      <w:jc w:val="right"/>
    </w:pPr>
    <w:r>
      <w:fldChar w:fldCharType="begin"/>
    </w:r>
    <w:r>
      <w:instrText>PAGE</w:instrText>
    </w:r>
    <w:r>
      <w:fldChar w:fldCharType="separate"/>
    </w:r>
    <w:r w:rsidR="008937CF">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00000B5" w14:textId="34B9552F" w:rsidR="00CC358E" w:rsidRDefault="00000000">
    <w:pPr>
      <w:jc w:val="right"/>
    </w:pPr>
    <w:r>
      <w:fldChar w:fldCharType="begin"/>
    </w:r>
    <w:r>
      <w:instrText>PAGE</w:instrText>
    </w:r>
    <w:r>
      <w:fldChar w:fldCharType="separate"/>
    </w:r>
    <w:r w:rsidR="008937CF">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F734A3A" w14:textId="77777777" w:rsidR="003A486A" w:rsidRDefault="003A486A">
      <w:r>
        <w:separator/>
      </w:r>
    </w:p>
  </w:footnote>
  <w:footnote w:type="continuationSeparator" w:id="0">
    <w:p w14:paraId="46645DD2" w14:textId="77777777" w:rsidR="003A486A" w:rsidRDefault="003A486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D0433F0"/>
    <w:multiLevelType w:val="multilevel"/>
    <w:tmpl w:val="52C26490"/>
    <w:lvl w:ilvl="0">
      <w:start w:val="1"/>
      <w:numFmt w:val="bullet"/>
      <w:lvlText w:val="•"/>
      <w:lvlJc w:val="left"/>
      <w:pPr>
        <w:ind w:left="432" w:hanging="258"/>
      </w:p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num w:numId="1" w16cid:durableId="618948332">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65"/>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C358E"/>
    <w:rsid w:val="003A486A"/>
    <w:rsid w:val="006D2109"/>
    <w:rsid w:val="008937CF"/>
    <w:rsid w:val="00CB121F"/>
    <w:rsid w:val="00CC35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4269FAC"/>
  <w15:docId w15:val="{E6416071-972F-D845-A7C0-5335181678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rial" w:eastAsia="Arial" w:hAnsi="Arial" w:cs="Arial"/>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pBdr>
        <w:top w:val="nil"/>
        <w:left w:val="nil"/>
        <w:bottom w:val="nil"/>
        <w:right w:val="nil"/>
        <w:between w:val="nil"/>
      </w:pBdr>
      <w:spacing w:before="320" w:after="140"/>
      <w:outlineLvl w:val="0"/>
    </w:pPr>
    <w:rPr>
      <w:b/>
      <w:bCs/>
      <w:color w:val="1F4E78"/>
      <w:sz w:val="30"/>
      <w:szCs w:val="30"/>
    </w:rPr>
  </w:style>
  <w:style w:type="paragraph" w:styleId="Heading2">
    <w:name w:val="heading 2"/>
    <w:basedOn w:val="Normal"/>
    <w:next w:val="Normal"/>
    <w:uiPriority w:val="9"/>
    <w:unhideWhenUsed/>
    <w:qFormat/>
    <w:pPr>
      <w:pBdr>
        <w:top w:val="nil"/>
        <w:left w:val="nil"/>
        <w:bottom w:val="nil"/>
        <w:right w:val="nil"/>
        <w:between w:val="nil"/>
      </w:pBdr>
      <w:spacing w:before="240" w:after="100"/>
      <w:outlineLvl w:val="1"/>
    </w:pPr>
    <w:rPr>
      <w:b/>
      <w:bCs/>
      <w:color w:val="2E5C8A"/>
      <w:sz w:val="26"/>
      <w:szCs w:val="26"/>
    </w:rPr>
  </w:style>
  <w:style w:type="paragraph" w:styleId="Heading3">
    <w:name w:val="heading 3"/>
    <w:basedOn w:val="Normal"/>
    <w:next w:val="Normal"/>
    <w:uiPriority w:val="9"/>
    <w:semiHidden/>
    <w:unhideWhenUsed/>
    <w:qFormat/>
    <w:pPr>
      <w:pBdr>
        <w:top w:val="nil"/>
        <w:left w:val="nil"/>
        <w:bottom w:val="nil"/>
        <w:right w:val="nil"/>
        <w:between w:val="nil"/>
      </w:pBdr>
      <w:outlineLvl w:val="2"/>
    </w:pPr>
    <w:rPr>
      <w:color w:val="1F4D78"/>
    </w:rPr>
  </w:style>
  <w:style w:type="paragraph" w:styleId="Heading4">
    <w:name w:val="heading 4"/>
    <w:basedOn w:val="Normal"/>
    <w:next w:val="Normal"/>
    <w:uiPriority w:val="9"/>
    <w:semiHidden/>
    <w:unhideWhenUsed/>
    <w:qFormat/>
    <w:pPr>
      <w:pBdr>
        <w:top w:val="nil"/>
        <w:left w:val="nil"/>
        <w:bottom w:val="nil"/>
        <w:right w:val="nil"/>
        <w:between w:val="nil"/>
      </w:pBdr>
      <w:outlineLvl w:val="3"/>
    </w:pPr>
    <w:rPr>
      <w:i/>
      <w:iCs/>
      <w:color w:val="2E74B5"/>
    </w:rPr>
  </w:style>
  <w:style w:type="paragraph" w:styleId="Heading5">
    <w:name w:val="heading 5"/>
    <w:basedOn w:val="Normal"/>
    <w:next w:val="Normal"/>
    <w:uiPriority w:val="9"/>
    <w:semiHidden/>
    <w:unhideWhenUsed/>
    <w:qFormat/>
    <w:pPr>
      <w:pBdr>
        <w:top w:val="nil"/>
        <w:left w:val="nil"/>
        <w:bottom w:val="nil"/>
        <w:right w:val="nil"/>
        <w:between w:val="nil"/>
      </w:pBdr>
      <w:outlineLvl w:val="4"/>
    </w:pPr>
    <w:rPr>
      <w:color w:val="2E74B5"/>
    </w:rPr>
  </w:style>
  <w:style w:type="paragraph" w:styleId="Heading6">
    <w:name w:val="heading 6"/>
    <w:basedOn w:val="Normal"/>
    <w:next w:val="Normal"/>
    <w:uiPriority w:val="9"/>
    <w:semiHidden/>
    <w:unhideWhenUsed/>
    <w:qFormat/>
    <w:pPr>
      <w:pBdr>
        <w:top w:val="nil"/>
        <w:left w:val="nil"/>
        <w:bottom w:val="nil"/>
        <w:right w:val="nil"/>
        <w:between w:val="nil"/>
      </w:pBd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pBdr>
        <w:top w:val="nil"/>
        <w:left w:val="nil"/>
        <w:bottom w:val="nil"/>
        <w:right w:val="nil"/>
        <w:between w:val="nil"/>
      </w:pBdr>
    </w:pPr>
    <w:rPr>
      <w:color w:val="000000"/>
      <w:sz w:val="56"/>
      <w:szCs w:val="56"/>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8</TotalTime>
  <Pages>30</Pages>
  <Words>9954</Words>
  <Characters>56738</Characters>
  <Application>Microsoft Office Word</Application>
  <DocSecurity>0</DocSecurity>
  <Lines>472</Lines>
  <Paragraphs>133</Paragraphs>
  <ScaleCrop>false</ScaleCrop>
  <Company/>
  <LinksUpToDate>false</LinksUpToDate>
  <CharactersWithSpaces>66559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Racheal Becker (2310797)</cp:lastModifiedBy>
  <cp:revision>3</cp:revision>
  <dcterms:created xsi:type="dcterms:W3CDTF">2026-07-26T14:57:00Z</dcterms:created>
  <dcterms:modified xsi:type="dcterms:W3CDTF">2026-07-26T14:58:00Z</dcterms:modified>
</cp:coreProperties>
</file>