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F1FEDD" w14:textId="77777777" w:rsidR="006309F6" w:rsidRDefault="006309F6" w:rsidP="006309F6">
      <w:pPr>
        <w:rPr>
          <w:b/>
          <w:sz w:val="24"/>
          <w:u w:val="single"/>
        </w:rPr>
      </w:pPr>
      <w:bookmarkStart w:id="0" w:name="_GoBack"/>
      <w:bookmarkEnd w:id="0"/>
      <w:r w:rsidRPr="00815808">
        <w:rPr>
          <w:b/>
          <w:sz w:val="24"/>
          <w:u w:val="single"/>
        </w:rPr>
        <w:t xml:space="preserve">References </w:t>
      </w:r>
    </w:p>
    <w:p w14:paraId="48CB5700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Care Inspectorate Wales (CIW) (2019) ‘Our Inspections’ </w:t>
      </w:r>
      <w:hyperlink r:id="rId4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https://careinspectorate.wales/providing-a-care-service/our-inspections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8th March 2019].</w:t>
      </w:r>
    </w:p>
    <w:p w14:paraId="3BD57870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Children in Wales (2014) ‘All Wales Child Protection Procedures 2008’. </w:t>
      </w:r>
      <w:hyperlink r:id="rId5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http://www.childreninwales.org.uk/policy-document/wales-child-protection-procedures-2008/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16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 </w:t>
      </w:r>
    </w:p>
    <w:p w14:paraId="077A2793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Education for Sustainable Development and Global Citizenship (ESDGC) (2008) ‘The Seven Key Themes of ESDGC’ </w:t>
      </w:r>
      <w:hyperlink r:id="rId6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http://www.t2group.co.uk/download/brochure/The%20Seven%20Key%20Themes%20of%20ESDGC.pdf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8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 </w:t>
      </w:r>
    </w:p>
    <w:p w14:paraId="744CDF6E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>Food Safety Act (1990)</w:t>
      </w:r>
    </w:p>
    <w:p w14:paraId="44248588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Future Generations (2017) ‘Well-being of Future Generations Act: a guide for young people’. </w:t>
      </w:r>
      <w:hyperlink r:id="rId7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https://futuregenerations.wales/wp-content/uploads/2017/01/160401-wfg-accessible-guide-for-young-people-en.pdf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8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</w:t>
      </w:r>
    </w:p>
    <w:p w14:paraId="482394F0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>Health and Safety at Work Act (1974)</w:t>
      </w:r>
    </w:p>
    <w:p w14:paraId="18158F8F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HM Government (2018) ‘Working Together to Safeguard Children A guide to inter-agency working to safeguard and promote the welfare of children’. </w:t>
      </w:r>
      <w:hyperlink r:id="rId8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https://consult.education.gov.uk/child-protection-safeguarding-and-family-law/working-together-to-safeguard-children-revisions-t/supporting_documents/Working%20Together%20to%20Safeguard%20Children.pdf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16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 </w:t>
      </w:r>
    </w:p>
    <w:p w14:paraId="0E3128A9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>Holmes, J. (2014) John Bowlby and Attachment Theory (2</w:t>
      </w:r>
      <w:r w:rsidRPr="006309F6">
        <w:rPr>
          <w:rFonts w:ascii="Arial" w:hAnsi="Arial" w:cs="Arial"/>
          <w:sz w:val="24"/>
          <w:szCs w:val="24"/>
          <w:vertAlign w:val="superscript"/>
        </w:rPr>
        <w:t>nd</w:t>
      </w:r>
      <w:r w:rsidRPr="006309F6">
        <w:rPr>
          <w:rFonts w:ascii="Arial" w:hAnsi="Arial" w:cs="Arial"/>
          <w:sz w:val="24"/>
          <w:szCs w:val="24"/>
        </w:rPr>
        <w:t xml:space="preserve"> Ed). Routledge: London. </w:t>
      </w:r>
    </w:p>
    <w:p w14:paraId="0EF1885B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Legislation. Gov (2010) ‘The Child Minding and Day Care (Wales) Regulations 2010’. </w:t>
      </w:r>
      <w:hyperlink r:id="rId9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http://www.legislation.gov.uk/wsi/2010/2574/contents/made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16th March 2019]. </w:t>
      </w:r>
    </w:p>
    <w:p w14:paraId="6308BDEF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6309F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Maslow, A. (1943). A Theory of Human Motivation. </w:t>
      </w:r>
      <w:r w:rsidRPr="006309F6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Psychological Review</w:t>
      </w:r>
      <w:r w:rsidRPr="006309F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50(4), pp.370-396.</w:t>
      </w:r>
    </w:p>
    <w:p w14:paraId="616B6079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309F6">
        <w:rPr>
          <w:rFonts w:ascii="Arial" w:hAnsi="Arial" w:cs="Arial"/>
          <w:color w:val="000000" w:themeColor="text1"/>
          <w:sz w:val="24"/>
          <w:szCs w:val="24"/>
        </w:rPr>
        <w:t xml:space="preserve">Montessori Northwest.org (2017) ‘What is Montessori Education?’ </w:t>
      </w:r>
      <w:hyperlink r:id="rId10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https://montessori-nw-org/what-is-montessori-education</w:t>
        </w:r>
      </w:hyperlink>
      <w:r w:rsidRPr="006309F6">
        <w:rPr>
          <w:rFonts w:ascii="Arial" w:hAnsi="Arial" w:cs="Arial"/>
          <w:color w:val="000000" w:themeColor="text1"/>
          <w:sz w:val="24"/>
          <w:szCs w:val="24"/>
        </w:rPr>
        <w:t xml:space="preserve"> [Accessed: 13th March 2019]. </w:t>
      </w:r>
    </w:p>
    <w:p w14:paraId="6F60FC50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309F6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Montessori, M. (1912) </w:t>
      </w:r>
      <w:r w:rsidRPr="006309F6">
        <w:rPr>
          <w:rFonts w:ascii="Arial" w:hAnsi="Arial" w:cs="Arial"/>
          <w:i/>
          <w:color w:val="000000" w:themeColor="text1"/>
          <w:sz w:val="24"/>
          <w:szCs w:val="24"/>
        </w:rPr>
        <w:t>The Montessori Method</w:t>
      </w:r>
      <w:r w:rsidRPr="006309F6">
        <w:rPr>
          <w:rFonts w:ascii="Arial" w:hAnsi="Arial" w:cs="Arial"/>
          <w:color w:val="000000" w:themeColor="text1"/>
          <w:sz w:val="24"/>
          <w:szCs w:val="24"/>
        </w:rPr>
        <w:t xml:space="preserve">. London. Heinemann. </w:t>
      </w:r>
    </w:p>
    <w:p w14:paraId="76BC7AA7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on the Rights of the Child. </w:t>
      </w:r>
      <w:hyperlink r:id="rId11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https://www.unicef.org/crc/files/Rights_overview.pdf</w:t>
        </w:r>
      </w:hyperlink>
      <w:r w:rsidRPr="006309F6">
        <w:rPr>
          <w:rFonts w:ascii="Arial" w:hAnsi="Arial" w:cs="Arial"/>
          <w:sz w:val="24"/>
          <w:szCs w:val="24"/>
        </w:rPr>
        <w:t>. [Accessed: 15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 </w:t>
      </w:r>
    </w:p>
    <w:p w14:paraId="37BA4098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Professional Association for Childcare and Early Years (PACEY) (2019) ‘Childminding Ratios’ </w:t>
      </w:r>
      <w:hyperlink r:id="rId12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https://www.pacey.org.uk/working-in-childcare/childminders/working-with-other-childminders/childminding-ratios/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8th March 2019]. </w:t>
      </w:r>
    </w:p>
    <w:p w14:paraId="7F4CDEA8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Professional Association for Childcare and Early Years (PACEY) (2019) ‘Local authorities in Wales’. </w:t>
      </w:r>
      <w:hyperlink r:id="rId13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https://www.pacey.org.uk/partnerships/local-authorities/local-authorities-in-wales/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8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 </w:t>
      </w:r>
    </w:p>
    <w:p w14:paraId="4306D242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The Data Protection Act (2018) </w:t>
      </w:r>
      <w:hyperlink r:id="rId14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https://www.gov.uk/data-protection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16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 </w:t>
      </w:r>
    </w:p>
    <w:p w14:paraId="77BD184C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6309F6">
        <w:rPr>
          <w:rFonts w:ascii="Arial" w:hAnsi="Arial" w:cs="Arial"/>
          <w:sz w:val="24"/>
          <w:szCs w:val="24"/>
        </w:rPr>
        <w:t>Unicef</w:t>
      </w:r>
      <w:proofErr w:type="spellEnd"/>
      <w:r w:rsidRPr="006309F6">
        <w:rPr>
          <w:rFonts w:ascii="Arial" w:hAnsi="Arial" w:cs="Arial"/>
          <w:sz w:val="24"/>
          <w:szCs w:val="24"/>
        </w:rPr>
        <w:t>. (No date) FACT SHEET: A summary of the rights under the Convention</w:t>
      </w:r>
    </w:p>
    <w:p w14:paraId="2C5A1226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United Nations International Children’s Emergency Fund (UNICEF) (2011). Every Childs Right to Be Heard. </w:t>
      </w:r>
      <w:hyperlink r:id="rId15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https://www.unicef.org/adolescence/files/Every_Childs_Right_to_be_Heard.pdf</w:t>
        </w:r>
      </w:hyperlink>
      <w:r w:rsidRPr="006309F6">
        <w:rPr>
          <w:rFonts w:ascii="Arial" w:hAnsi="Arial" w:cs="Arial"/>
          <w:sz w:val="24"/>
          <w:szCs w:val="24"/>
        </w:rPr>
        <w:t>. [Accessed: 15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 </w:t>
      </w:r>
    </w:p>
    <w:p w14:paraId="1676FD12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Wales Government (2018) ‘Poverty Statistics’ </w:t>
      </w:r>
      <w:hyperlink r:id="rId16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https://gov.wales/statistics-and-research/households-below-average-income/?lang=en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8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 </w:t>
      </w:r>
    </w:p>
    <w:p w14:paraId="6DD75708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Wales Government (2018) </w:t>
      </w:r>
      <w:r w:rsidRPr="006309F6">
        <w:rPr>
          <w:rFonts w:ascii="Arial" w:hAnsi="Arial" w:cs="Arial"/>
          <w:i/>
          <w:sz w:val="24"/>
          <w:szCs w:val="24"/>
        </w:rPr>
        <w:t>Additional Learning Needs and Education Tribunal (Wales) Act</w:t>
      </w:r>
      <w:r w:rsidRPr="006309F6">
        <w:rPr>
          <w:rFonts w:ascii="Arial" w:hAnsi="Arial" w:cs="Arial"/>
          <w:sz w:val="24"/>
          <w:szCs w:val="24"/>
        </w:rPr>
        <w:t>. Cardiff: Welsh Assembly Government.</w:t>
      </w:r>
    </w:p>
    <w:p w14:paraId="7932B049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Welsh Assembly Government (2008) ‘Education for Sustainable Development and Global Citizenship (ESDGC): A Common Understanding for Schools’. Welsh Government: Cardiff. Available at </w:t>
      </w:r>
      <w:hyperlink r:id="rId17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https://learning.gov.wales/docs/learningwales/publications/081204commonunderstschoolsen.pdf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8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 </w:t>
      </w:r>
    </w:p>
    <w:p w14:paraId="28A1CD64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Welsh Assembly Government (2018) ‘Digital Competence Framework guidance’ Welsh Government: Cardiff. Available at  </w:t>
      </w:r>
      <w:hyperlink r:id="rId18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https://learning.gov.wales/docs/learningwales/publications/180620-dcf-guidance-2018-en.pdf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13th March 2019]. </w:t>
      </w:r>
    </w:p>
    <w:p w14:paraId="62514C51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309F6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Welsh Government (2014). </w:t>
      </w:r>
      <w:r w:rsidRPr="006309F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Education Workforce Act</w:t>
      </w:r>
      <w:r w:rsidRPr="006309F6">
        <w:rPr>
          <w:rFonts w:ascii="Arial" w:hAnsi="Arial" w:cs="Arial"/>
          <w:color w:val="000000"/>
          <w:sz w:val="24"/>
          <w:szCs w:val="24"/>
          <w:shd w:val="clear" w:color="auto" w:fill="FFFFFF"/>
        </w:rPr>
        <w:t>. Cardiff: Welsh Assembly Government.</w:t>
      </w:r>
    </w:p>
    <w:p w14:paraId="63E9BB35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309F6">
        <w:rPr>
          <w:rFonts w:ascii="Arial" w:hAnsi="Arial" w:cs="Arial"/>
          <w:color w:val="000000"/>
          <w:sz w:val="24"/>
          <w:szCs w:val="24"/>
          <w:shd w:val="clear" w:color="auto" w:fill="FFFFFF"/>
        </w:rPr>
        <w:t>Welsh Government (2015). </w:t>
      </w:r>
      <w:r w:rsidRPr="006309F6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The Education Workforce Council Regulations for Wales</w:t>
      </w:r>
      <w:r w:rsidRPr="006309F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Cardiff: Welsh Assembly Government. </w:t>
      </w:r>
    </w:p>
    <w:p w14:paraId="18BFBCCB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Welsh Government (2015c) </w:t>
      </w:r>
      <w:r w:rsidRPr="006309F6">
        <w:rPr>
          <w:rFonts w:ascii="Arial" w:hAnsi="Arial" w:cs="Arial"/>
          <w:i/>
          <w:sz w:val="24"/>
          <w:szCs w:val="24"/>
        </w:rPr>
        <w:t>Curriculum for Wales Foundation Phase Outcomes (revised 2015).</w:t>
      </w:r>
      <w:r w:rsidRPr="006309F6">
        <w:rPr>
          <w:rFonts w:ascii="Arial" w:hAnsi="Arial" w:cs="Arial"/>
          <w:sz w:val="24"/>
          <w:szCs w:val="24"/>
        </w:rPr>
        <w:t xml:space="preserve"> Welsh Government: Cardiff. Available at: </w:t>
      </w:r>
      <w:hyperlink r:id="rId19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http://gov.wales/docs/dcells/publications/150803-fp-framework-en.pdf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8th March 2019]. </w:t>
      </w:r>
    </w:p>
    <w:p w14:paraId="0EBA77BD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Welsh Government (2019) ‘Childcare Offer Implementation’ </w:t>
      </w:r>
      <w:hyperlink r:id="rId20" w:history="1">
        <w:r w:rsidRPr="006309F6">
          <w:rPr>
            <w:rStyle w:val="Hyperlink"/>
            <w:rFonts w:ascii="Arial" w:hAnsi="Arial" w:cs="Arial"/>
            <w:sz w:val="24"/>
            <w:szCs w:val="24"/>
            <w:u w:val="none"/>
          </w:rPr>
          <w:t>https://gov.wales/topics/people-and-communities/people/children-and-young-people/childcare/talk-childcare/pilot-areas/?lang=en</w:t>
        </w:r>
      </w:hyperlink>
      <w:r w:rsidRPr="006309F6">
        <w:rPr>
          <w:rFonts w:ascii="Arial" w:hAnsi="Arial" w:cs="Arial"/>
          <w:sz w:val="24"/>
          <w:szCs w:val="24"/>
        </w:rPr>
        <w:t xml:space="preserve"> [Accessed: 18/03/19].</w:t>
      </w:r>
    </w:p>
    <w:p w14:paraId="229045C9" w14:textId="77777777" w:rsidR="006309F6" w:rsidRPr="006309F6" w:rsidRDefault="006309F6" w:rsidP="006309F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9F6">
        <w:rPr>
          <w:rFonts w:ascii="Arial" w:hAnsi="Arial" w:cs="Arial"/>
          <w:sz w:val="24"/>
          <w:szCs w:val="24"/>
        </w:rPr>
        <w:t xml:space="preserve">Welsh Government. (2016) ‘National Minimum Standards for Regulated Childcare for Children up to the age of 12 years’. </w:t>
      </w:r>
      <w:hyperlink r:id="rId21" w:history="1">
        <w:r w:rsidRPr="006309F6">
          <w:rPr>
            <w:rStyle w:val="Hyperlink"/>
            <w:rFonts w:ascii="Arial" w:hAnsi="Arial" w:cs="Arial"/>
            <w:sz w:val="24"/>
            <w:szCs w:val="24"/>
          </w:rPr>
          <w:t>https://careinspectorate.wales/sites/default/files/2018-01-160411regchildcareen.pdf</w:t>
        </w:r>
      </w:hyperlink>
      <w:r w:rsidRPr="006309F6">
        <w:rPr>
          <w:rFonts w:ascii="Arial" w:hAnsi="Arial" w:cs="Arial"/>
          <w:sz w:val="24"/>
          <w:szCs w:val="24"/>
        </w:rPr>
        <w:t>. [Accessed: 15</w:t>
      </w:r>
      <w:r w:rsidRPr="006309F6">
        <w:rPr>
          <w:rFonts w:ascii="Arial" w:hAnsi="Arial" w:cs="Arial"/>
          <w:sz w:val="24"/>
          <w:szCs w:val="24"/>
          <w:vertAlign w:val="superscript"/>
        </w:rPr>
        <w:t>th</w:t>
      </w:r>
      <w:r w:rsidRPr="006309F6">
        <w:rPr>
          <w:rFonts w:ascii="Arial" w:hAnsi="Arial" w:cs="Arial"/>
          <w:sz w:val="24"/>
          <w:szCs w:val="24"/>
        </w:rPr>
        <w:t xml:space="preserve"> March 2019].</w:t>
      </w:r>
    </w:p>
    <w:sectPr w:rsidR="006309F6" w:rsidRPr="006309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9F6"/>
    <w:rsid w:val="00147EC7"/>
    <w:rsid w:val="00357B21"/>
    <w:rsid w:val="0063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92D93"/>
  <w15:chartTrackingRefBased/>
  <w15:docId w15:val="{FD8D1E40-C358-47BC-9BD2-2EF225A22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309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09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legislation.gov.uk/wsi/2010/2574/contents/made" TargetMode="External"/><Relationship Id="rId20" Type="http://schemas.openxmlformats.org/officeDocument/2006/relationships/hyperlink" Target="https://gov.wales/topics/people-and-communities/people/children-and-young-people/childcare/talk-childcare/pilot-areas/?lang=en" TargetMode="External"/><Relationship Id="rId21" Type="http://schemas.openxmlformats.org/officeDocument/2006/relationships/hyperlink" Target="https://careinspectorate.wales/sites/default/files/2018-01-160411regchildcareen.pdf" TargetMode="Externa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yperlink" Target="https://montessori-nw-org/what-is-montessori-education" TargetMode="External"/><Relationship Id="rId11" Type="http://schemas.openxmlformats.org/officeDocument/2006/relationships/hyperlink" Target="https://www.unicef.org/crc/files/Rights_overview.pdf" TargetMode="External"/><Relationship Id="rId12" Type="http://schemas.openxmlformats.org/officeDocument/2006/relationships/hyperlink" Target="https://www.pacey.org.uk/working-in-childcare/childminders/working-with-other-childminders/childminding-ratios/" TargetMode="External"/><Relationship Id="rId13" Type="http://schemas.openxmlformats.org/officeDocument/2006/relationships/hyperlink" Target="https://www.pacey.org.uk/partnerships/local-authorities/local-authorities-in-wales/" TargetMode="External"/><Relationship Id="rId14" Type="http://schemas.openxmlformats.org/officeDocument/2006/relationships/hyperlink" Target="https://www.gov.uk/data-protection" TargetMode="External"/><Relationship Id="rId15" Type="http://schemas.openxmlformats.org/officeDocument/2006/relationships/hyperlink" Target="https://www.unicef.org/adolescence/files/Every_Childs_Right_to_be_Heard.pdf" TargetMode="External"/><Relationship Id="rId16" Type="http://schemas.openxmlformats.org/officeDocument/2006/relationships/hyperlink" Target="https://gov.wales/statistics-and-research/households-below-average-income/?lang=en" TargetMode="External"/><Relationship Id="rId17" Type="http://schemas.openxmlformats.org/officeDocument/2006/relationships/hyperlink" Target="https://learning.gov.wales/docs/learningwales/publications/081204commonunderstschoolsen.pdf" TargetMode="External"/><Relationship Id="rId18" Type="http://schemas.openxmlformats.org/officeDocument/2006/relationships/hyperlink" Target="https://learning.gov.wales/docs/learningwales/publications/180620-dcf-guidance-2018-en.pdf" TargetMode="External"/><Relationship Id="rId19" Type="http://schemas.openxmlformats.org/officeDocument/2006/relationships/hyperlink" Target="http://gov.wales/docs/dcells/publications/150803-fp-framework-en.pdf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s://careinspectorate.wales/providing-a-care-service/our-inspections" TargetMode="External"/><Relationship Id="rId5" Type="http://schemas.openxmlformats.org/officeDocument/2006/relationships/hyperlink" Target="http://www.childreninwales.org.uk/policy-document/wales-child-protection-procedures-2008/" TargetMode="External"/><Relationship Id="rId6" Type="http://schemas.openxmlformats.org/officeDocument/2006/relationships/hyperlink" Target="http://www.t2group.co.uk/download/brochure/The%20Seven%20Key%20Themes%20of%20ESDGC.pdf" TargetMode="External"/><Relationship Id="rId7" Type="http://schemas.openxmlformats.org/officeDocument/2006/relationships/hyperlink" Target="https://futuregenerations.wales/wp-content/uploads/2017/01/160401-wfg-accessible-guide-for-young-people-en.pdf" TargetMode="External"/><Relationship Id="rId8" Type="http://schemas.openxmlformats.org/officeDocument/2006/relationships/hyperlink" Target="https://consult.education.gov.uk/child-protection-safeguarding-and-family-law/working-together-to-safeguard-children-revisions-t/supporting_documents/Working%20Together%20to%20Safeguard%20Childr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940</Words>
  <Characters>5361</Characters>
  <Application>Microsoft Macintosh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Liah Evans</dc:creator>
  <cp:keywords/>
  <dc:description/>
  <cp:lastModifiedBy>Chelsea Hughes</cp:lastModifiedBy>
  <cp:revision>2</cp:revision>
  <dcterms:created xsi:type="dcterms:W3CDTF">2019-03-20T09:59:00Z</dcterms:created>
  <dcterms:modified xsi:type="dcterms:W3CDTF">2019-03-20T09:59:00Z</dcterms:modified>
</cp:coreProperties>
</file>