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F5C4E7" w14:textId="5337AF5B" w:rsidR="00F47C96" w:rsidRDefault="00F47C96" w:rsidP="00F47C96">
      <w:pPr>
        <w:jc w:val="center"/>
      </w:pPr>
      <w:r>
        <w:t>Task: Image with Quote by Artist and Quote by Writer about Artist</w:t>
      </w:r>
    </w:p>
    <w:p w14:paraId="1A4F29AD" w14:textId="69FE8FBC" w:rsidR="00F47C96" w:rsidRDefault="00F47C96" w:rsidP="00F47C96">
      <w:pPr>
        <w:jc w:val="center"/>
      </w:pPr>
    </w:p>
    <w:p w14:paraId="65DD20D9" w14:textId="49ED651D" w:rsidR="00F47C96" w:rsidRDefault="00F47C96" w:rsidP="00F47C96">
      <w:pPr>
        <w:jc w:val="center"/>
      </w:pPr>
      <w:r>
        <w:t>Example:</w:t>
      </w:r>
    </w:p>
    <w:p w14:paraId="263F7DC3" w14:textId="6CC87BAD" w:rsidR="00F47C96" w:rsidRDefault="00F47C96" w:rsidP="00F47C96"/>
    <w:p w14:paraId="623D93E2" w14:textId="77777777" w:rsidR="00F47C96" w:rsidRDefault="00F47C96" w:rsidP="00F47C96">
      <w:pPr>
        <w:jc w:val="center"/>
      </w:pPr>
    </w:p>
    <w:p w14:paraId="55D87384" w14:textId="4137BA60" w:rsidR="004F2389" w:rsidRDefault="00F47C96" w:rsidP="00F47C96">
      <w:pPr>
        <w:jc w:val="center"/>
      </w:pPr>
      <w:r w:rsidRPr="00F47C96">
        <w:drawing>
          <wp:inline distT="0" distB="0" distL="0" distR="0" wp14:anchorId="2AD5445C" wp14:editId="638D24F9">
            <wp:extent cx="3911600" cy="2591977"/>
            <wp:effectExtent l="0" t="0" r="0" b="0"/>
            <wp:docPr id="1" name="Picture 1" descr="A group of people walking down the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walking down the stree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40925" cy="2611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8B82C" w14:textId="0C3E2FE7" w:rsidR="00F47C96" w:rsidRDefault="00F47C96"/>
    <w:p w14:paraId="48C06212" w14:textId="255F634A" w:rsidR="00F47C96" w:rsidRPr="00F47C96" w:rsidRDefault="00F47C96">
      <w:pPr>
        <w:rPr>
          <w:sz w:val="28"/>
          <w:szCs w:val="28"/>
        </w:rPr>
      </w:pPr>
      <w:r w:rsidRPr="00F47C96">
        <w:rPr>
          <w:sz w:val="28"/>
          <w:szCs w:val="28"/>
        </w:rPr>
        <w:t xml:space="preserve">Garry </w:t>
      </w:r>
      <w:proofErr w:type="spellStart"/>
      <w:r w:rsidRPr="00F47C96">
        <w:rPr>
          <w:sz w:val="28"/>
          <w:szCs w:val="28"/>
        </w:rPr>
        <w:t>Winogrand</w:t>
      </w:r>
      <w:proofErr w:type="spellEnd"/>
    </w:p>
    <w:p w14:paraId="5524A152" w14:textId="794DA412" w:rsidR="00F47C96" w:rsidRPr="00F47C96" w:rsidRDefault="00F47C96">
      <w:pPr>
        <w:rPr>
          <w:sz w:val="28"/>
          <w:szCs w:val="28"/>
        </w:rPr>
      </w:pPr>
    </w:p>
    <w:p w14:paraId="2B51D216" w14:textId="77777777" w:rsidR="00F47C96" w:rsidRPr="00F47C96" w:rsidRDefault="00F47C96" w:rsidP="00F47C96">
      <w:pPr>
        <w:kinsoku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7CF56A5C" w14:textId="17A685A8" w:rsidR="00F47C96" w:rsidRPr="00F47C96" w:rsidRDefault="00F47C96" w:rsidP="00F47C96">
      <w:pPr>
        <w:kinsoku w:val="0"/>
        <w:overflowPunct w:val="0"/>
        <w:autoSpaceDE w:val="0"/>
        <w:autoSpaceDN w:val="0"/>
        <w:adjustRightInd w:val="0"/>
        <w:spacing w:before="60" w:line="242" w:lineRule="auto"/>
        <w:ind w:left="1160" w:right="1166"/>
        <w:rPr>
          <w:rFonts w:ascii="Verdana" w:hAnsi="Verdana" w:cs="Verdana"/>
          <w:sz w:val="28"/>
          <w:szCs w:val="28"/>
        </w:rPr>
      </w:pPr>
      <w:r w:rsidRPr="00F47C96">
        <w:rPr>
          <w:rFonts w:ascii="Verdana" w:hAnsi="Verdana" w:cs="Verdana"/>
          <w:sz w:val="28"/>
          <w:szCs w:val="28"/>
        </w:rPr>
        <w:t>“There is nothing as mysterious as a fact clearly described. I like to think of photographing as a two</w:t>
      </w:r>
      <w:r>
        <w:rPr>
          <w:rFonts w:ascii="Verdana" w:hAnsi="Verdana" w:cs="Verdana"/>
          <w:sz w:val="28"/>
          <w:szCs w:val="28"/>
        </w:rPr>
        <w:t>-</w:t>
      </w:r>
      <w:r w:rsidRPr="00F47C96">
        <w:rPr>
          <w:rFonts w:ascii="Verdana" w:hAnsi="Verdana" w:cs="Verdana"/>
          <w:sz w:val="28"/>
          <w:szCs w:val="28"/>
        </w:rPr>
        <w:t xml:space="preserve">way act of respect. Respect for the medium, by letting it do what it does best, describe. And respect for the subject, by describing it as it is. A photograph must be responsible to both.” – Garry </w:t>
      </w:r>
      <w:proofErr w:type="spellStart"/>
      <w:r w:rsidRPr="00F47C96">
        <w:rPr>
          <w:rFonts w:ascii="Verdana" w:hAnsi="Verdana" w:cs="Verdana"/>
          <w:sz w:val="28"/>
          <w:szCs w:val="28"/>
        </w:rPr>
        <w:t>Winogrand</w:t>
      </w:r>
      <w:proofErr w:type="spellEnd"/>
    </w:p>
    <w:p w14:paraId="6DFE397D" w14:textId="6D1B2294" w:rsidR="00F47C96" w:rsidRPr="00F47C96" w:rsidRDefault="00F47C96" w:rsidP="00F47C96">
      <w:pPr>
        <w:kinsoku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</w:p>
    <w:p w14:paraId="329C4C36" w14:textId="450A7EE7" w:rsidR="00F47C96" w:rsidRDefault="00F47C96" w:rsidP="00F47C96">
      <w:pPr>
        <w:jc w:val="both"/>
      </w:pPr>
    </w:p>
    <w:p w14:paraId="17CC4D34" w14:textId="13BA860E" w:rsidR="00F47C96" w:rsidRDefault="00F47C96"/>
    <w:p w14:paraId="75B58978" w14:textId="5067BE3F" w:rsidR="00F47C96" w:rsidRDefault="00F47C96"/>
    <w:p w14:paraId="36FA6841" w14:textId="3F7E58A2" w:rsidR="00F47C96" w:rsidRPr="00F47C96" w:rsidRDefault="00F47C96">
      <w:pPr>
        <w:rPr>
          <w:rFonts w:ascii="Verdana" w:hAnsi="Verdana"/>
          <w:sz w:val="28"/>
          <w:szCs w:val="28"/>
        </w:rPr>
      </w:pPr>
      <w:r w:rsidRPr="00F47C96">
        <w:rPr>
          <w:rFonts w:ascii="Verdana" w:hAnsi="Verdana"/>
          <w:sz w:val="28"/>
          <w:szCs w:val="28"/>
        </w:rPr>
        <w:t xml:space="preserve">“In fact, by so forcibly and openhandedly counterfeiting the world, these pictures suggested that there was not only no clear relationship between a photograph and what it was a photograph of, but also - and more important - that the world might exist for the photographer in precisely the way it existed for any artist: as a sourcebook of possibility, a storehouse of material.” Tod Papageorge (Papageorge, 2011, p. 84) </w:t>
      </w:r>
      <w:r w:rsidRPr="00F47C96">
        <w:rPr>
          <w:rFonts w:ascii="Verdana" w:hAnsi="Verdana" w:cs="Helvetica"/>
          <w:sz w:val="28"/>
          <w:szCs w:val="28"/>
        </w:rPr>
        <w:t xml:space="preserve">Papageorge, Tod (2011) </w:t>
      </w:r>
      <w:r w:rsidRPr="00F47C96">
        <w:rPr>
          <w:rFonts w:ascii="Verdana" w:hAnsi="Verdana" w:cs="Helvetica"/>
          <w:i/>
          <w:iCs/>
          <w:sz w:val="28"/>
          <w:szCs w:val="28"/>
        </w:rPr>
        <w:t xml:space="preserve">Core Curriculum. </w:t>
      </w:r>
      <w:r w:rsidRPr="00F47C96">
        <w:rPr>
          <w:rFonts w:ascii="Verdana" w:hAnsi="Verdana" w:cs="Helvetica"/>
          <w:sz w:val="28"/>
          <w:szCs w:val="28"/>
        </w:rPr>
        <w:t>New York: Aperture</w:t>
      </w:r>
    </w:p>
    <w:sectPr w:rsidR="00F47C96" w:rsidRPr="00F47C96" w:rsidSect="00EB1FF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altName w:val="Helvetica"/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C96"/>
    <w:rsid w:val="00554AFD"/>
    <w:rsid w:val="00EB1FF3"/>
    <w:rsid w:val="00F4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07459"/>
  <w15:chartTrackingRefBased/>
  <w15:docId w15:val="{82B3BFE1-C58A-1847-A03F-620439F4B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F47C96"/>
    <w:pPr>
      <w:autoSpaceDE w:val="0"/>
      <w:autoSpaceDN w:val="0"/>
      <w:adjustRightInd w:val="0"/>
    </w:pPr>
    <w:rPr>
      <w:rFonts w:ascii="Verdana" w:hAnsi="Verdana" w:cs="Verdana"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1"/>
    <w:rsid w:val="00F47C96"/>
    <w:rPr>
      <w:rFonts w:ascii="Verdana" w:hAnsi="Verdana" w:cs="Verdana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Duerinckx</dc:creator>
  <cp:keywords/>
  <dc:description/>
  <cp:lastModifiedBy>Paul Duerinckx</cp:lastModifiedBy>
  <cp:revision>1</cp:revision>
  <dcterms:created xsi:type="dcterms:W3CDTF">2020-11-04T11:08:00Z</dcterms:created>
  <dcterms:modified xsi:type="dcterms:W3CDTF">2020-11-04T11:14:00Z</dcterms:modified>
</cp:coreProperties>
</file>