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CC5ED6" w14:textId="759D25C5" w:rsidR="00435B57" w:rsidRPr="00AB5785" w:rsidRDefault="007D39C4" w:rsidP="00DC22BE">
      <w:pPr>
        <w:pBdr>
          <w:bottom w:val="single" w:sz="10" w:space="8" w:color="A67C2E"/>
        </w:pBdr>
        <w:spacing w:after="0"/>
        <w:rPr>
          <w:rFonts w:asciiTheme="majorBidi" w:hAnsiTheme="majorBidi" w:cstheme="majorBidi"/>
          <w:szCs w:val="24"/>
        </w:rPr>
      </w:pPr>
      <w:r w:rsidRPr="00AB5785">
        <w:rPr>
          <w:rFonts w:asciiTheme="majorBidi" w:eastAsia="Arial" w:hAnsiTheme="majorBidi" w:cstheme="majorBidi"/>
          <w:b/>
          <w:color w:val="1F3A5F"/>
          <w:szCs w:val="24"/>
        </w:rPr>
        <w:t>LCBB</w:t>
      </w:r>
      <w:r w:rsidR="00E70787" w:rsidRPr="00AB5785">
        <w:rPr>
          <w:rFonts w:asciiTheme="majorBidi" w:eastAsia="Arial" w:hAnsiTheme="majorBidi" w:cstheme="majorBidi"/>
          <w:b/>
          <w:color w:val="1F3A5F"/>
          <w:szCs w:val="24"/>
        </w:rPr>
        <w:t xml:space="preserve">4016 </w:t>
      </w:r>
      <w:r w:rsidR="0023613B" w:rsidRPr="00AB5785">
        <w:rPr>
          <w:rFonts w:asciiTheme="majorBidi" w:eastAsia="Arial" w:hAnsiTheme="majorBidi" w:cstheme="majorBidi"/>
          <w:b/>
          <w:color w:val="1F3A5F"/>
          <w:szCs w:val="24"/>
        </w:rPr>
        <w:t>| GLOBAL</w:t>
      </w:r>
      <w:r w:rsidRPr="00AB5785">
        <w:rPr>
          <w:rFonts w:asciiTheme="majorBidi" w:eastAsia="Arial" w:hAnsiTheme="majorBidi" w:cstheme="majorBidi"/>
          <w:b/>
          <w:color w:val="1F3A5F"/>
          <w:szCs w:val="24"/>
        </w:rPr>
        <w:t xml:space="preserve"> BUSINESS ENVIRONMENT</w:t>
      </w:r>
    </w:p>
    <w:p w14:paraId="66B9A3BB" w14:textId="05CC931A" w:rsidR="00435B57" w:rsidRPr="00AB5785" w:rsidRDefault="007D39C4" w:rsidP="00DC22BE">
      <w:pPr>
        <w:spacing w:before="1160" w:after="280"/>
        <w:jc w:val="center"/>
        <w:rPr>
          <w:rFonts w:asciiTheme="majorBidi" w:hAnsiTheme="majorBidi" w:cstheme="majorBidi"/>
          <w:szCs w:val="24"/>
        </w:rPr>
      </w:pPr>
      <w:r w:rsidRPr="00AB5785">
        <w:rPr>
          <w:rFonts w:asciiTheme="majorBidi" w:eastAsia="Arial" w:hAnsiTheme="majorBidi" w:cstheme="majorBidi"/>
          <w:b/>
          <w:color w:val="1F3A5F"/>
          <w:szCs w:val="24"/>
        </w:rPr>
        <w:t>Global Forces Reshaping</w:t>
      </w:r>
      <w:r w:rsidRPr="00AB5785">
        <w:rPr>
          <w:rFonts w:asciiTheme="majorBidi" w:eastAsia="Arial" w:hAnsiTheme="majorBidi" w:cstheme="majorBidi"/>
          <w:b/>
          <w:color w:val="1F3A5F"/>
          <w:szCs w:val="24"/>
        </w:rPr>
        <w:br/>
        <w:t>Unilever's International Strategy</w:t>
      </w:r>
    </w:p>
    <w:p w14:paraId="7ACB38A3" w14:textId="76296701" w:rsidR="00435B57" w:rsidRPr="00AB5785" w:rsidRDefault="007D39C4" w:rsidP="00DC22BE">
      <w:pPr>
        <w:spacing w:after="1120"/>
        <w:jc w:val="center"/>
        <w:rPr>
          <w:rFonts w:asciiTheme="majorBidi" w:hAnsiTheme="majorBidi" w:cstheme="majorBidi"/>
          <w:szCs w:val="24"/>
        </w:rPr>
      </w:pPr>
      <w:r w:rsidRPr="00AB5785">
        <w:rPr>
          <w:rFonts w:asciiTheme="majorBidi" w:eastAsia="Arial" w:hAnsiTheme="majorBidi" w:cstheme="majorBidi"/>
          <w:b/>
          <w:color w:val="A67C2E"/>
          <w:szCs w:val="24"/>
        </w:rPr>
        <w:t xml:space="preserve">COMPONENT </w:t>
      </w:r>
      <w:r w:rsidR="00DC22BE" w:rsidRPr="00AB5785">
        <w:rPr>
          <w:rFonts w:asciiTheme="majorBidi" w:eastAsia="Arial" w:hAnsiTheme="majorBidi" w:cstheme="majorBidi"/>
          <w:b/>
          <w:color w:val="A67C2E"/>
          <w:szCs w:val="24"/>
        </w:rPr>
        <w:t>2 |</w:t>
      </w:r>
      <w:r w:rsidRPr="00AB5785">
        <w:rPr>
          <w:rFonts w:asciiTheme="majorBidi" w:eastAsia="Arial" w:hAnsiTheme="majorBidi" w:cstheme="majorBidi"/>
          <w:b/>
          <w:color w:val="A67C2E"/>
          <w:szCs w:val="24"/>
        </w:rPr>
        <w:t xml:space="preserve"> INDIVIDUAL ESSAY</w:t>
      </w:r>
    </w:p>
    <w:tbl>
      <w:tblPr>
        <w:tblStyle w:val="TableGrid"/>
        <w:tblW w:w="0" w:type="auto"/>
        <w:tblLayout w:type="fixed"/>
        <w:tblLook w:val="04A0" w:firstRow="1" w:lastRow="0" w:firstColumn="1" w:lastColumn="0" w:noHBand="0" w:noVBand="1"/>
      </w:tblPr>
      <w:tblGrid>
        <w:gridCol w:w="3652"/>
        <w:gridCol w:w="5306"/>
      </w:tblGrid>
      <w:tr w:rsidR="00435B57" w:rsidRPr="00AB5785" w14:paraId="45E4B8DC" w14:textId="77777777" w:rsidTr="00DC22BE">
        <w:trPr>
          <w:trHeight w:val="408"/>
        </w:trPr>
        <w:tc>
          <w:tcPr>
            <w:tcW w:w="3652" w:type="dxa"/>
          </w:tcPr>
          <w:p w14:paraId="6148C125" w14:textId="2F8D2BE2" w:rsidR="00435B57" w:rsidRPr="00AB5785" w:rsidRDefault="007D39C4" w:rsidP="00DC22BE">
            <w:pPr>
              <w:spacing w:after="0"/>
              <w:rPr>
                <w:rFonts w:asciiTheme="majorBidi" w:hAnsiTheme="majorBidi" w:cstheme="majorBidi"/>
                <w:szCs w:val="24"/>
              </w:rPr>
            </w:pPr>
            <w:r w:rsidRPr="00AB5785">
              <w:rPr>
                <w:rFonts w:asciiTheme="majorBidi" w:eastAsia="Arial" w:hAnsiTheme="majorBidi" w:cstheme="majorBidi"/>
                <w:b/>
                <w:color w:val="5A5A5A"/>
                <w:szCs w:val="24"/>
              </w:rPr>
              <w:t>S</w:t>
            </w:r>
            <w:r w:rsidR="00DC22BE" w:rsidRPr="00AB5785">
              <w:rPr>
                <w:rFonts w:asciiTheme="majorBidi" w:eastAsia="Arial" w:hAnsiTheme="majorBidi" w:cstheme="majorBidi"/>
                <w:b/>
                <w:color w:val="5A5A5A"/>
                <w:szCs w:val="24"/>
              </w:rPr>
              <w:t xml:space="preserve">elected Organisation </w:t>
            </w:r>
          </w:p>
        </w:tc>
        <w:tc>
          <w:tcPr>
            <w:tcW w:w="5306" w:type="dxa"/>
          </w:tcPr>
          <w:p w14:paraId="3F269311" w14:textId="77777777" w:rsidR="00435B57" w:rsidRPr="00AB5785" w:rsidRDefault="007D39C4" w:rsidP="00DC22BE">
            <w:pPr>
              <w:spacing w:after="0"/>
              <w:rPr>
                <w:rFonts w:asciiTheme="majorBidi" w:hAnsiTheme="majorBidi" w:cstheme="majorBidi"/>
                <w:szCs w:val="24"/>
              </w:rPr>
            </w:pPr>
            <w:r w:rsidRPr="00AB5785">
              <w:rPr>
                <w:rFonts w:asciiTheme="majorBidi" w:eastAsia="Arial" w:hAnsiTheme="majorBidi" w:cstheme="majorBidi"/>
                <w:szCs w:val="24"/>
              </w:rPr>
              <w:t>Unilever PLC</w:t>
            </w:r>
          </w:p>
        </w:tc>
      </w:tr>
      <w:tr w:rsidR="00435B57" w:rsidRPr="00AB5785" w14:paraId="26EC1623" w14:textId="77777777" w:rsidTr="00DC22BE">
        <w:trPr>
          <w:trHeight w:val="408"/>
        </w:trPr>
        <w:tc>
          <w:tcPr>
            <w:tcW w:w="3652" w:type="dxa"/>
          </w:tcPr>
          <w:p w14:paraId="7294A6E9" w14:textId="4007A8A9" w:rsidR="00435B57" w:rsidRPr="00AB5785" w:rsidRDefault="007D39C4" w:rsidP="00DC22BE">
            <w:pPr>
              <w:spacing w:after="0"/>
              <w:rPr>
                <w:rFonts w:asciiTheme="majorBidi" w:hAnsiTheme="majorBidi" w:cstheme="majorBidi"/>
                <w:szCs w:val="24"/>
              </w:rPr>
            </w:pPr>
            <w:r w:rsidRPr="00AB5785">
              <w:rPr>
                <w:rFonts w:asciiTheme="majorBidi" w:eastAsia="Arial" w:hAnsiTheme="majorBidi" w:cstheme="majorBidi"/>
                <w:b/>
                <w:color w:val="5A5A5A"/>
                <w:szCs w:val="24"/>
              </w:rPr>
              <w:t>S</w:t>
            </w:r>
            <w:r w:rsidR="00DC22BE" w:rsidRPr="00AB5785">
              <w:rPr>
                <w:rFonts w:asciiTheme="majorBidi" w:eastAsia="Arial" w:hAnsiTheme="majorBidi" w:cstheme="majorBidi"/>
                <w:b/>
                <w:color w:val="5A5A5A"/>
                <w:szCs w:val="24"/>
              </w:rPr>
              <w:t>tudent Name</w:t>
            </w:r>
          </w:p>
        </w:tc>
        <w:tc>
          <w:tcPr>
            <w:tcW w:w="5306" w:type="dxa"/>
          </w:tcPr>
          <w:p w14:paraId="4BD4346D" w14:textId="2C4D1071" w:rsidR="00435B57" w:rsidRPr="00AB5785" w:rsidRDefault="00AE604F" w:rsidP="00DC22BE">
            <w:pPr>
              <w:spacing w:after="0"/>
              <w:rPr>
                <w:rFonts w:asciiTheme="majorBidi" w:hAnsiTheme="majorBidi" w:cstheme="majorBidi"/>
                <w:szCs w:val="24"/>
              </w:rPr>
            </w:pPr>
            <w:r>
              <w:rPr>
                <w:rFonts w:asciiTheme="majorBidi" w:hAnsiTheme="majorBidi" w:cstheme="majorBidi"/>
                <w:szCs w:val="24"/>
              </w:rPr>
              <w:t>Humaira Mahboob</w:t>
            </w:r>
          </w:p>
        </w:tc>
      </w:tr>
      <w:tr w:rsidR="00435B57" w:rsidRPr="00AB5785" w14:paraId="44046416" w14:textId="77777777" w:rsidTr="00DC22BE">
        <w:trPr>
          <w:trHeight w:val="408"/>
        </w:trPr>
        <w:tc>
          <w:tcPr>
            <w:tcW w:w="3652" w:type="dxa"/>
          </w:tcPr>
          <w:p w14:paraId="4A19FCB4" w14:textId="24D01E0B" w:rsidR="00435B57" w:rsidRPr="00AB5785" w:rsidRDefault="007D39C4" w:rsidP="00DC22BE">
            <w:pPr>
              <w:spacing w:after="0"/>
              <w:rPr>
                <w:rFonts w:asciiTheme="majorBidi" w:hAnsiTheme="majorBidi" w:cstheme="majorBidi"/>
                <w:szCs w:val="24"/>
              </w:rPr>
            </w:pPr>
            <w:r w:rsidRPr="00AB5785">
              <w:rPr>
                <w:rFonts w:asciiTheme="majorBidi" w:eastAsia="Arial" w:hAnsiTheme="majorBidi" w:cstheme="majorBidi"/>
                <w:b/>
                <w:color w:val="5A5A5A"/>
                <w:szCs w:val="24"/>
              </w:rPr>
              <w:t>S</w:t>
            </w:r>
            <w:r w:rsidR="00DC22BE" w:rsidRPr="00AB5785">
              <w:rPr>
                <w:rFonts w:asciiTheme="majorBidi" w:eastAsia="Arial" w:hAnsiTheme="majorBidi" w:cstheme="majorBidi"/>
                <w:b/>
                <w:color w:val="5A5A5A"/>
                <w:szCs w:val="24"/>
              </w:rPr>
              <w:t>tudent ID</w:t>
            </w:r>
          </w:p>
        </w:tc>
        <w:tc>
          <w:tcPr>
            <w:tcW w:w="5306" w:type="dxa"/>
          </w:tcPr>
          <w:p w14:paraId="620063E0" w14:textId="620E536F" w:rsidR="00435B57" w:rsidRPr="00AB5785" w:rsidRDefault="00AE604F" w:rsidP="00DC22BE">
            <w:pPr>
              <w:spacing w:after="0"/>
              <w:rPr>
                <w:rFonts w:asciiTheme="majorBidi" w:hAnsiTheme="majorBidi" w:cstheme="majorBidi"/>
                <w:szCs w:val="24"/>
              </w:rPr>
            </w:pPr>
            <w:r>
              <w:rPr>
                <w:rFonts w:asciiTheme="majorBidi" w:hAnsiTheme="majorBidi" w:cstheme="majorBidi"/>
                <w:szCs w:val="24"/>
              </w:rPr>
              <w:t>2406922</w:t>
            </w:r>
          </w:p>
        </w:tc>
      </w:tr>
      <w:tr w:rsidR="00435B57" w:rsidRPr="00AB5785" w14:paraId="70C6F3E4" w14:textId="77777777" w:rsidTr="00DC22BE">
        <w:trPr>
          <w:trHeight w:val="408"/>
        </w:trPr>
        <w:tc>
          <w:tcPr>
            <w:tcW w:w="3652" w:type="dxa"/>
          </w:tcPr>
          <w:p w14:paraId="7780866B" w14:textId="576C2767" w:rsidR="00435B57" w:rsidRPr="00AB5785" w:rsidRDefault="007D39C4" w:rsidP="00DC22BE">
            <w:pPr>
              <w:spacing w:after="0"/>
              <w:rPr>
                <w:rFonts w:asciiTheme="majorBidi" w:hAnsiTheme="majorBidi" w:cstheme="majorBidi"/>
                <w:szCs w:val="24"/>
              </w:rPr>
            </w:pPr>
            <w:r w:rsidRPr="00AB5785">
              <w:rPr>
                <w:rFonts w:asciiTheme="majorBidi" w:eastAsia="Arial" w:hAnsiTheme="majorBidi" w:cstheme="majorBidi"/>
                <w:b/>
                <w:color w:val="5A5A5A"/>
                <w:szCs w:val="24"/>
              </w:rPr>
              <w:t>M</w:t>
            </w:r>
            <w:r w:rsidR="00DC22BE" w:rsidRPr="00AB5785">
              <w:rPr>
                <w:rFonts w:asciiTheme="majorBidi" w:eastAsia="Arial" w:hAnsiTheme="majorBidi" w:cstheme="majorBidi"/>
                <w:b/>
                <w:color w:val="5A5A5A"/>
                <w:szCs w:val="24"/>
              </w:rPr>
              <w:t>odule Code</w:t>
            </w:r>
          </w:p>
        </w:tc>
        <w:tc>
          <w:tcPr>
            <w:tcW w:w="5306" w:type="dxa"/>
          </w:tcPr>
          <w:p w14:paraId="18B19C54" w14:textId="77777777" w:rsidR="00435B57" w:rsidRPr="00AB5785" w:rsidRDefault="007D39C4" w:rsidP="00DC22BE">
            <w:pPr>
              <w:spacing w:after="0"/>
              <w:rPr>
                <w:rFonts w:asciiTheme="majorBidi" w:hAnsiTheme="majorBidi" w:cstheme="majorBidi"/>
                <w:szCs w:val="24"/>
              </w:rPr>
            </w:pPr>
            <w:r w:rsidRPr="00AB5785">
              <w:rPr>
                <w:rFonts w:asciiTheme="majorBidi" w:eastAsia="Arial" w:hAnsiTheme="majorBidi" w:cstheme="majorBidi"/>
                <w:szCs w:val="24"/>
              </w:rPr>
              <w:t>LCBB4016</w:t>
            </w:r>
          </w:p>
        </w:tc>
      </w:tr>
      <w:tr w:rsidR="00435B57" w:rsidRPr="00AB5785" w14:paraId="464573A0" w14:textId="77777777" w:rsidTr="00DC22BE">
        <w:trPr>
          <w:trHeight w:val="408"/>
        </w:trPr>
        <w:tc>
          <w:tcPr>
            <w:tcW w:w="3652" w:type="dxa"/>
          </w:tcPr>
          <w:p w14:paraId="1B876692" w14:textId="49B27786" w:rsidR="00435B57" w:rsidRPr="00AB5785" w:rsidRDefault="007D39C4" w:rsidP="00DC22BE">
            <w:pPr>
              <w:spacing w:after="0"/>
              <w:rPr>
                <w:rFonts w:asciiTheme="majorBidi" w:hAnsiTheme="majorBidi" w:cstheme="majorBidi"/>
                <w:szCs w:val="24"/>
              </w:rPr>
            </w:pPr>
            <w:r w:rsidRPr="00AB5785">
              <w:rPr>
                <w:rFonts w:asciiTheme="majorBidi" w:eastAsia="Arial" w:hAnsiTheme="majorBidi" w:cstheme="majorBidi"/>
                <w:b/>
                <w:color w:val="5A5A5A"/>
                <w:szCs w:val="24"/>
              </w:rPr>
              <w:t>W</w:t>
            </w:r>
            <w:r w:rsidR="00DC22BE" w:rsidRPr="00AB5785">
              <w:rPr>
                <w:rFonts w:asciiTheme="majorBidi" w:eastAsia="Arial" w:hAnsiTheme="majorBidi" w:cstheme="majorBidi"/>
                <w:b/>
                <w:color w:val="5A5A5A"/>
                <w:szCs w:val="24"/>
              </w:rPr>
              <w:t xml:space="preserve">ord Count </w:t>
            </w:r>
          </w:p>
        </w:tc>
        <w:tc>
          <w:tcPr>
            <w:tcW w:w="5306" w:type="dxa"/>
          </w:tcPr>
          <w:p w14:paraId="3476A284" w14:textId="654C7A72" w:rsidR="00435B57" w:rsidRPr="00AB5785" w:rsidRDefault="00AB5785" w:rsidP="00DC22BE">
            <w:pPr>
              <w:spacing w:after="0"/>
              <w:rPr>
                <w:rFonts w:asciiTheme="majorBidi" w:hAnsiTheme="majorBidi" w:cstheme="majorBidi"/>
                <w:szCs w:val="24"/>
              </w:rPr>
            </w:pPr>
            <w:r>
              <w:rPr>
                <w:rFonts w:asciiTheme="majorBidi" w:eastAsia="Arial" w:hAnsiTheme="majorBidi" w:cstheme="majorBidi"/>
                <w:szCs w:val="24"/>
              </w:rPr>
              <w:t>1,464</w:t>
            </w:r>
          </w:p>
        </w:tc>
      </w:tr>
      <w:tr w:rsidR="00435B57" w:rsidRPr="00AB5785" w14:paraId="23121877" w14:textId="77777777" w:rsidTr="00DC22BE">
        <w:trPr>
          <w:trHeight w:val="408"/>
        </w:trPr>
        <w:tc>
          <w:tcPr>
            <w:tcW w:w="3652" w:type="dxa"/>
          </w:tcPr>
          <w:p w14:paraId="71719A83" w14:textId="577159E1" w:rsidR="00435B57" w:rsidRPr="00AB5785" w:rsidRDefault="007D39C4" w:rsidP="00DC22BE">
            <w:pPr>
              <w:spacing w:after="0"/>
              <w:rPr>
                <w:rFonts w:asciiTheme="majorBidi" w:hAnsiTheme="majorBidi" w:cstheme="majorBidi"/>
                <w:szCs w:val="24"/>
              </w:rPr>
            </w:pPr>
            <w:r w:rsidRPr="00AB5785">
              <w:rPr>
                <w:rFonts w:asciiTheme="majorBidi" w:eastAsia="Arial" w:hAnsiTheme="majorBidi" w:cstheme="majorBidi"/>
                <w:b/>
                <w:color w:val="5A5A5A"/>
                <w:szCs w:val="24"/>
              </w:rPr>
              <w:t>S</w:t>
            </w:r>
            <w:r w:rsidR="00DC22BE" w:rsidRPr="00AB5785">
              <w:rPr>
                <w:rFonts w:asciiTheme="majorBidi" w:eastAsia="Arial" w:hAnsiTheme="majorBidi" w:cstheme="majorBidi"/>
                <w:b/>
                <w:color w:val="5A5A5A"/>
                <w:szCs w:val="24"/>
              </w:rPr>
              <w:t>ubmission Date</w:t>
            </w:r>
          </w:p>
        </w:tc>
        <w:tc>
          <w:tcPr>
            <w:tcW w:w="5306" w:type="dxa"/>
          </w:tcPr>
          <w:p w14:paraId="2E41882E" w14:textId="52F8C327" w:rsidR="00435B57" w:rsidRPr="00AB5785" w:rsidRDefault="00AE604F" w:rsidP="00DC22BE">
            <w:pPr>
              <w:spacing w:after="0"/>
              <w:rPr>
                <w:rFonts w:asciiTheme="majorBidi" w:hAnsiTheme="majorBidi" w:cstheme="majorBidi"/>
                <w:szCs w:val="24"/>
              </w:rPr>
            </w:pPr>
            <w:r>
              <w:rPr>
                <w:rFonts w:asciiTheme="majorBidi" w:hAnsiTheme="majorBidi" w:cstheme="majorBidi"/>
                <w:szCs w:val="24"/>
              </w:rPr>
              <w:t>26/07/2026</w:t>
            </w:r>
          </w:p>
        </w:tc>
      </w:tr>
    </w:tbl>
    <w:p w14:paraId="08415936" w14:textId="1C2CAA67" w:rsidR="00435B57" w:rsidRPr="00AB5785" w:rsidRDefault="00435B57" w:rsidP="00DC22BE">
      <w:pPr>
        <w:spacing w:before="1040"/>
        <w:rPr>
          <w:rFonts w:asciiTheme="majorBidi" w:hAnsiTheme="majorBidi" w:cstheme="majorBidi"/>
          <w:szCs w:val="24"/>
        </w:rPr>
      </w:pPr>
    </w:p>
    <w:p w14:paraId="4E082723" w14:textId="77777777" w:rsidR="00435B57" w:rsidRPr="00AB5785" w:rsidRDefault="00435B57" w:rsidP="00DC22BE">
      <w:pPr>
        <w:rPr>
          <w:rFonts w:asciiTheme="majorBidi" w:hAnsiTheme="majorBidi" w:cstheme="majorBidi"/>
          <w:szCs w:val="24"/>
        </w:rPr>
        <w:sectPr w:rsidR="00435B57" w:rsidRPr="00AB5785">
          <w:pgSz w:w="11906" w:h="16838"/>
          <w:pgMar w:top="1304" w:right="1474" w:bottom="1247" w:left="1474" w:header="567" w:footer="567" w:gutter="0"/>
          <w:cols w:space="720"/>
          <w:docGrid w:linePitch="360"/>
        </w:sectPr>
      </w:pPr>
    </w:p>
    <w:p w14:paraId="29D23E3C" w14:textId="77777777" w:rsidR="00435B57" w:rsidRPr="00AB5785" w:rsidRDefault="007D39C4" w:rsidP="00DC22BE">
      <w:pPr>
        <w:pStyle w:val="Heading1"/>
        <w:rPr>
          <w:rFonts w:asciiTheme="majorBidi" w:hAnsiTheme="majorBidi"/>
          <w:sz w:val="24"/>
          <w:szCs w:val="24"/>
        </w:rPr>
      </w:pPr>
      <w:r w:rsidRPr="00AB5785">
        <w:rPr>
          <w:rFonts w:asciiTheme="majorBidi" w:eastAsia="Times New Roman" w:hAnsiTheme="majorBidi"/>
          <w:color w:val="222222"/>
          <w:sz w:val="24"/>
          <w:szCs w:val="24"/>
        </w:rPr>
        <w:lastRenderedPageBreak/>
        <w:t>1. Introduction</w:t>
      </w:r>
    </w:p>
    <w:p w14:paraId="01AA5972" w14:textId="22A9CEDC" w:rsidR="00435B57" w:rsidRPr="00AB5785" w:rsidRDefault="00DC22BE" w:rsidP="00DC22BE">
      <w:pPr>
        <w:pStyle w:val="BodyText"/>
        <w:jc w:val="both"/>
        <w:rPr>
          <w:rFonts w:asciiTheme="majorBidi" w:hAnsiTheme="majorBidi" w:cstheme="majorBidi"/>
          <w:szCs w:val="24"/>
        </w:rPr>
      </w:pPr>
      <w:r w:rsidRPr="00AB5785">
        <w:rPr>
          <w:rFonts w:asciiTheme="majorBidi" w:hAnsiTheme="majorBidi" w:cstheme="majorBidi"/>
          <w:szCs w:val="24"/>
        </w:rPr>
        <w:t>The increasing intertwining of markets, production, finance, knowledge and data beyond national borders is called globalisation. The role of a brand owner is increasingly linked to controlling global value chains with their suppliers, technologies and institutions spread across jurisdictions as well (Kano, Tsang and Yeung, 2020). Unilever PLC is a relevant example, as its products are sold in approximately 190 countries worldwide and around 58% of the Group turnover was derived from emerging markets in 2024 (Unilever PLC, 2025). This scale is a source of both leverage and exposure. This essay critically analyses the impact of artificial intelligence (AI) and geopolitical supply-chain disruption as well as the EU Corporate Sustainability Reporting Directive (CSRD) on Unilever's global strategy and activities. It holds that durable advantage is achieved by having a resilient and selective ability to scale digital and sustainability efforts where they will most effectively influence decision-making, with human accountability, sustainability and regional flexibility retained.</w:t>
      </w:r>
    </w:p>
    <w:p w14:paraId="7F360F20" w14:textId="77777777" w:rsidR="00435B57" w:rsidRPr="00AB5785" w:rsidRDefault="007D39C4" w:rsidP="00DC22BE">
      <w:pPr>
        <w:pStyle w:val="Heading1"/>
        <w:rPr>
          <w:rFonts w:asciiTheme="majorBidi" w:hAnsiTheme="majorBidi"/>
          <w:sz w:val="24"/>
          <w:szCs w:val="24"/>
        </w:rPr>
      </w:pPr>
      <w:r w:rsidRPr="00AB5785">
        <w:rPr>
          <w:rFonts w:asciiTheme="majorBidi" w:eastAsia="Times New Roman" w:hAnsiTheme="majorBidi"/>
          <w:color w:val="222222"/>
          <w:sz w:val="24"/>
          <w:szCs w:val="24"/>
        </w:rPr>
        <w:t>2. Opportunities and Challenges</w:t>
      </w:r>
    </w:p>
    <w:p w14:paraId="57EF3EFA" w14:textId="77777777" w:rsidR="00435B57" w:rsidRPr="00AB5785" w:rsidRDefault="007D39C4" w:rsidP="00DC22BE">
      <w:pPr>
        <w:pStyle w:val="Heading2"/>
      </w:pPr>
      <w:r w:rsidRPr="00AB5785">
        <w:t>2.1 Artificial Intelligence: Scalable Value and Governance Risk</w:t>
      </w:r>
    </w:p>
    <w:p w14:paraId="24A4A0B5" w14:textId="77777777" w:rsidR="00DC22BE" w:rsidRPr="00AB5785" w:rsidRDefault="00DC22BE" w:rsidP="00DC22BE">
      <w:pPr>
        <w:pStyle w:val="BodyText"/>
        <w:jc w:val="both"/>
        <w:rPr>
          <w:rFonts w:asciiTheme="majorBidi" w:hAnsiTheme="majorBidi" w:cstheme="majorBidi"/>
          <w:szCs w:val="24"/>
        </w:rPr>
      </w:pPr>
      <w:r w:rsidRPr="00AB5785">
        <w:rPr>
          <w:rFonts w:asciiTheme="majorBidi" w:hAnsiTheme="majorBidi" w:cstheme="majorBidi"/>
          <w:szCs w:val="24"/>
        </w:rPr>
        <w:t>The resource-based view locates AI's value not in algorithms alone, but in combining them with proprietary data, routines, skills, and managerial coordination (</w:t>
      </w:r>
      <w:proofErr w:type="spellStart"/>
      <w:r w:rsidRPr="00AB5785">
        <w:rPr>
          <w:rFonts w:asciiTheme="majorBidi" w:hAnsiTheme="majorBidi" w:cstheme="majorBidi"/>
          <w:szCs w:val="24"/>
        </w:rPr>
        <w:t>Mikalef</w:t>
      </w:r>
      <w:proofErr w:type="spellEnd"/>
      <w:r w:rsidRPr="00AB5785">
        <w:rPr>
          <w:rFonts w:asciiTheme="majorBidi" w:hAnsiTheme="majorBidi" w:cstheme="majorBidi"/>
          <w:szCs w:val="24"/>
        </w:rPr>
        <w:t xml:space="preserve"> and Gupta, 2021). For Unilever, these complementarities can support demand sensing, media allocation, product formulation and in-store availability. Its AI-powered ice-cream freezers take photos of the products on hand, and provide real-time order recommendations, which have seen an uptick in sales in several major markets, according to Unilever PLC (2025). Importantly, this is a convincing operational use case as it is not a standalone AI project, but rather analytics directly influence replenishment. Other evidence shows that AI value is realised when its insights are applied to reengineered processes and decision rights (Wamba-</w:t>
      </w:r>
      <w:proofErr w:type="spellStart"/>
      <w:r w:rsidRPr="00AB5785">
        <w:rPr>
          <w:rFonts w:asciiTheme="majorBidi" w:hAnsiTheme="majorBidi" w:cstheme="majorBidi"/>
          <w:szCs w:val="24"/>
        </w:rPr>
        <w:t>Taguimdje</w:t>
      </w:r>
      <w:proofErr w:type="spellEnd"/>
      <w:r w:rsidRPr="00AB5785">
        <w:rPr>
          <w:rFonts w:asciiTheme="majorBidi" w:hAnsiTheme="majorBidi" w:cstheme="majorBidi"/>
          <w:szCs w:val="24"/>
        </w:rPr>
        <w:t xml:space="preserve"> et al., 2020).</w:t>
      </w:r>
    </w:p>
    <w:p w14:paraId="6485C510" w14:textId="5AB5F88C" w:rsidR="00435B57" w:rsidRPr="00AB5785" w:rsidRDefault="00DC22BE" w:rsidP="00DC22BE">
      <w:pPr>
        <w:pStyle w:val="BodyText"/>
        <w:jc w:val="both"/>
        <w:rPr>
          <w:rFonts w:asciiTheme="majorBidi" w:hAnsiTheme="majorBidi" w:cstheme="majorBidi"/>
          <w:szCs w:val="24"/>
        </w:rPr>
      </w:pPr>
      <w:r w:rsidRPr="00AB5785">
        <w:rPr>
          <w:rFonts w:asciiTheme="majorBidi" w:hAnsiTheme="majorBidi" w:cstheme="majorBidi"/>
          <w:szCs w:val="24"/>
        </w:rPr>
        <w:t xml:space="preserve">However, AI adoption is not risk-free. Lack of local data can lead to inaccurate forecasts; generative tools can reveal confidential data, reinforce bias and generate claims that are contrary to national advertising requirements. Comparative studies of AI ethics converge on the principles of fairness, transparency, privacy and accountability, and speed is not a substitute for control (Jobin, Ienca and </w:t>
      </w:r>
      <w:proofErr w:type="spellStart"/>
      <w:r w:rsidRPr="00AB5785">
        <w:rPr>
          <w:rFonts w:asciiTheme="majorBidi" w:hAnsiTheme="majorBidi" w:cstheme="majorBidi"/>
          <w:szCs w:val="24"/>
        </w:rPr>
        <w:t>Vayena</w:t>
      </w:r>
      <w:proofErr w:type="spellEnd"/>
      <w:r w:rsidRPr="00AB5785">
        <w:rPr>
          <w:rFonts w:asciiTheme="majorBidi" w:hAnsiTheme="majorBidi" w:cstheme="majorBidi"/>
          <w:szCs w:val="24"/>
        </w:rPr>
        <w:t xml:space="preserve">, 2019). Capacity gaps also limit scale: leadership will need to show commitment, data will have to be available, the technical expertise </w:t>
      </w:r>
      <w:proofErr w:type="gramStart"/>
      <w:r w:rsidRPr="00AB5785">
        <w:rPr>
          <w:rFonts w:asciiTheme="majorBidi" w:hAnsiTheme="majorBidi" w:cstheme="majorBidi"/>
          <w:szCs w:val="24"/>
        </w:rPr>
        <w:t>has to</w:t>
      </w:r>
      <w:proofErr w:type="gramEnd"/>
      <w:r w:rsidRPr="00AB5785">
        <w:rPr>
          <w:rFonts w:asciiTheme="majorBidi" w:hAnsiTheme="majorBidi" w:cstheme="majorBidi"/>
          <w:szCs w:val="24"/>
        </w:rPr>
        <w:t xml:space="preserve"> be in place, and a culture of experimentation and governance needs to emerge together (</w:t>
      </w:r>
      <w:proofErr w:type="spellStart"/>
      <w:r w:rsidRPr="00AB5785">
        <w:rPr>
          <w:rFonts w:asciiTheme="majorBidi" w:hAnsiTheme="majorBidi" w:cstheme="majorBidi"/>
          <w:szCs w:val="24"/>
        </w:rPr>
        <w:t>Jöhnk</w:t>
      </w:r>
      <w:proofErr w:type="spellEnd"/>
      <w:r w:rsidRPr="00AB5785">
        <w:rPr>
          <w:rFonts w:asciiTheme="majorBidi" w:hAnsiTheme="majorBidi" w:cstheme="majorBidi"/>
          <w:szCs w:val="24"/>
        </w:rPr>
        <w:t xml:space="preserve"> et al., 2021). While a single global model might benefit from scale, it may not account for the local languages, the retailer structures or the informal-market behaviour, while </w:t>
      </w:r>
      <w:r w:rsidRPr="00AB5785">
        <w:rPr>
          <w:rFonts w:asciiTheme="majorBidi" w:hAnsiTheme="majorBidi" w:cstheme="majorBidi"/>
          <w:szCs w:val="24"/>
        </w:rPr>
        <w:lastRenderedPageBreak/>
        <w:t>a fully local approach would duplicate cost and reduce control. Therefore, Unilever should evaluate AI in terms of results - incremental margin, forecast error, waste, cycle time and on-shelf availability - and retain human oversight for high-impact decisions.</w:t>
      </w:r>
    </w:p>
    <w:p w14:paraId="7AE5D332" w14:textId="77777777" w:rsidR="00435B57" w:rsidRPr="00AB5785" w:rsidRDefault="007D39C4" w:rsidP="00DC22BE">
      <w:pPr>
        <w:pStyle w:val="Heading2"/>
      </w:pPr>
      <w:r w:rsidRPr="00AB5785">
        <w:t>2.2 Geopolitical Disruption and Supply-Chain Resilience</w:t>
      </w:r>
    </w:p>
    <w:p w14:paraId="68FCE8BB" w14:textId="77777777" w:rsidR="00DC22BE" w:rsidRPr="00AB5785" w:rsidRDefault="00DC22BE" w:rsidP="00DC22BE">
      <w:pPr>
        <w:pStyle w:val="BodyText"/>
        <w:jc w:val="both"/>
        <w:rPr>
          <w:rFonts w:asciiTheme="majorBidi" w:hAnsiTheme="majorBidi" w:cstheme="majorBidi"/>
          <w:szCs w:val="24"/>
        </w:rPr>
      </w:pPr>
      <w:r w:rsidRPr="00AB5785">
        <w:rPr>
          <w:rFonts w:asciiTheme="majorBidi" w:hAnsiTheme="majorBidi" w:cstheme="majorBidi"/>
          <w:szCs w:val="24"/>
        </w:rPr>
        <w:t xml:space="preserve">The disruptions in the Red Sea reveal the vulnerabilities of lean, long-distance networks. During the early crisis, there was a decrease of 42% in the number of Suez Canal transits from the peak, and a 67% drop in weekly container-ship transits, according to UN Trade and Development (UNCTAD, 2024). Rerouting is associated with longer lead times, higher insurance costs, higher fuel consumption and emissions. This can lead to stockouts, production rescheduling and costly emergency freight for Unilever, </w:t>
      </w:r>
      <w:proofErr w:type="gramStart"/>
      <w:r w:rsidRPr="00AB5785">
        <w:rPr>
          <w:rFonts w:asciiTheme="majorBidi" w:hAnsiTheme="majorBidi" w:cstheme="majorBidi"/>
          <w:szCs w:val="24"/>
        </w:rPr>
        <w:t>as a result of</w:t>
      </w:r>
      <w:proofErr w:type="gramEnd"/>
      <w:r w:rsidRPr="00AB5785">
        <w:rPr>
          <w:rFonts w:asciiTheme="majorBidi" w:hAnsiTheme="majorBidi" w:cstheme="majorBidi"/>
          <w:szCs w:val="24"/>
        </w:rPr>
        <w:t xml:space="preserve"> delayed chemicals, packaging and/or agricultural inputs. While less likely, a severe China-Taiwan crisis could be systemic as semiconductor restrictions would negatively impact factory automation, cloud infrastructure and retail equipment, while the US-China trade conflict demonstrates the fragmentation of technology supply chains due to policy (Bown, 2020).</w:t>
      </w:r>
    </w:p>
    <w:p w14:paraId="1443BB48" w14:textId="487F89CC" w:rsidR="00435B57" w:rsidRPr="00AB5785" w:rsidRDefault="00DC22BE" w:rsidP="00DC22BE">
      <w:pPr>
        <w:pStyle w:val="BodyText"/>
        <w:jc w:val="both"/>
        <w:rPr>
          <w:rFonts w:asciiTheme="majorBidi" w:hAnsiTheme="majorBidi" w:cstheme="majorBidi"/>
          <w:szCs w:val="24"/>
        </w:rPr>
      </w:pPr>
      <w:r w:rsidRPr="00AB5785">
        <w:rPr>
          <w:rFonts w:asciiTheme="majorBidi" w:hAnsiTheme="majorBidi" w:cstheme="majorBidi"/>
          <w:szCs w:val="24"/>
        </w:rPr>
        <w:t>In 2024, Unilever faced a supply chain challenge due to geopolitical tensions, with contingency measures put in place such as alternative materials, transferring production between sites and formulating with substitutes (Unilever PLC, 2025). While these are viable steps, blanket reshoring would increase unit costs and would pose a threat to affordability in price-sensitive emerging markets. The theory of viability in supply chains, by contrast, focuses on the capability of the supply chain network to redefine its structure and continue serving markets in a situation of prolonged disruption (Ivanov and Dolgui, 2020). In addition, evidence from global value chains during the pandemic indicates that resilience is product- and network-</w:t>
      </w:r>
      <w:proofErr w:type="gramStart"/>
      <w:r w:rsidRPr="00AB5785">
        <w:rPr>
          <w:rFonts w:asciiTheme="majorBidi" w:hAnsiTheme="majorBidi" w:cstheme="majorBidi"/>
          <w:szCs w:val="24"/>
        </w:rPr>
        <w:t>specific, and</w:t>
      </w:r>
      <w:proofErr w:type="gramEnd"/>
      <w:r w:rsidRPr="00AB5785">
        <w:rPr>
          <w:rFonts w:asciiTheme="majorBidi" w:hAnsiTheme="majorBidi" w:cstheme="majorBidi"/>
          <w:szCs w:val="24"/>
        </w:rPr>
        <w:t xml:space="preserve"> suggests that diversification is more useful when done selectively, rather than replicating all value chains (Gereffi, 2020). </w:t>
      </w:r>
      <w:r w:rsidR="00594BCE" w:rsidRPr="00AB5785">
        <w:rPr>
          <w:rFonts w:asciiTheme="majorBidi" w:hAnsiTheme="majorBidi" w:cstheme="majorBidi"/>
          <w:szCs w:val="24"/>
        </w:rPr>
        <w:t>In view of this, Unilever should implement criticality and substitutability-based input segmentation, namely: dual-source bottleneck inputs, regional buffers for critical commodities, pre-approval of alternatives for inputs and keeping global scale for standard commodities. When using buffer policies, it's important to establish time limits and regularly audit buffers as too many buffers will tie up cash, risk becoming obsolete, and possibly just move the risk upstream.</w:t>
      </w:r>
    </w:p>
    <w:p w14:paraId="05746DC3" w14:textId="77777777" w:rsidR="00435B57" w:rsidRPr="00AB5785" w:rsidRDefault="007D39C4" w:rsidP="00DC22BE">
      <w:pPr>
        <w:pStyle w:val="Heading2"/>
      </w:pPr>
      <w:r w:rsidRPr="00AB5785">
        <w:t>2.3 CSRD: Transparency, Legitimacy and Implementation Costs</w:t>
      </w:r>
    </w:p>
    <w:p w14:paraId="04A87486" w14:textId="0E7CC2A4" w:rsidR="00DC22BE" w:rsidRPr="00AB5785" w:rsidRDefault="00DC22BE" w:rsidP="00DC22BE">
      <w:pPr>
        <w:pStyle w:val="BodyText"/>
        <w:jc w:val="both"/>
        <w:rPr>
          <w:rFonts w:asciiTheme="majorBidi" w:hAnsiTheme="majorBidi" w:cstheme="majorBidi"/>
          <w:szCs w:val="24"/>
        </w:rPr>
      </w:pPr>
      <w:r w:rsidRPr="00AB5785">
        <w:rPr>
          <w:rFonts w:asciiTheme="majorBidi" w:hAnsiTheme="majorBidi" w:cstheme="majorBidi"/>
          <w:szCs w:val="24"/>
        </w:rPr>
        <w:t xml:space="preserve">The European Sustainability Reporting Standards (ESRS) and the double materiality principle (European Parliament and Council, 2022) apply to the CSRD reporting requirements - the sustainability issues covered in the CSRD must have a material impact on enterprise value, </w:t>
      </w:r>
      <w:r w:rsidRPr="00AB5785">
        <w:rPr>
          <w:rFonts w:asciiTheme="majorBidi" w:hAnsiTheme="majorBidi" w:cstheme="majorBidi"/>
          <w:szCs w:val="24"/>
        </w:rPr>
        <w:lastRenderedPageBreak/>
        <w:t xml:space="preserve">and the enterprise activity must have a material impact on sustainability issues. </w:t>
      </w:r>
      <w:r w:rsidR="001817C0" w:rsidRPr="00AB5785">
        <w:rPr>
          <w:rFonts w:asciiTheme="majorBidi" w:hAnsiTheme="majorBidi" w:cstheme="majorBidi"/>
          <w:szCs w:val="24"/>
        </w:rPr>
        <w:t>In 2024, Unilever released its inaugural consolidated sustainability statement that was supported by an external limited assurance and a double materiality assessment (Unilever PLC, 2025). This could provide more legitimacy and internal decision making, as similar supplier information can be shared to support product-level carbon, deforestation, water and packaging decisions.</w:t>
      </w:r>
    </w:p>
    <w:p w14:paraId="3F6FA66E" w14:textId="4D8ADC0C" w:rsidR="00435B57" w:rsidRPr="00AB5785" w:rsidRDefault="00DC22BE" w:rsidP="00DC22BE">
      <w:pPr>
        <w:pStyle w:val="BodyText"/>
        <w:jc w:val="both"/>
        <w:rPr>
          <w:rFonts w:asciiTheme="majorBidi" w:hAnsiTheme="majorBidi" w:cstheme="majorBidi"/>
          <w:szCs w:val="24"/>
        </w:rPr>
      </w:pPr>
      <w:r w:rsidRPr="00AB5785">
        <w:rPr>
          <w:rFonts w:asciiTheme="majorBidi" w:hAnsiTheme="majorBidi" w:cstheme="majorBidi"/>
          <w:szCs w:val="24"/>
        </w:rPr>
        <w:t>Reporting, however, creates a substantial cost, judgement and control burden in the case of a multinational value chain. Academic research identifies ongoing materiality issues and problems of harmonisation and of providing information that is meaningful to stakeholders (Baumüller and Sopp, 2022). Much Scope 3 emissions and nature data also rely on estimates, introducing uncertainty and risk of greenwashing. Sustainability also exposes the tension between 'growth versus affordability' and 'margins versus environmental ambition', rather than simple 'win-win' scenarios (Hahn et al., 2015). While AI can detect anomalies and chart supplier risk, research on sustainable business models warns against overlooking social, ethical and legal implications (Di Vaio et al., 2020). The strategic opportunity lies not in cosmetic disclosure, however, but in management, because CSRD information must influence investment, sourcing and innovation before it is made public.</w:t>
      </w:r>
    </w:p>
    <w:p w14:paraId="39509DCE" w14:textId="77777777" w:rsidR="00435B57" w:rsidRPr="00AB5785" w:rsidRDefault="007D39C4" w:rsidP="00DC22BE">
      <w:pPr>
        <w:pStyle w:val="Heading1"/>
        <w:rPr>
          <w:rFonts w:asciiTheme="majorBidi" w:hAnsiTheme="majorBidi"/>
          <w:sz w:val="24"/>
          <w:szCs w:val="24"/>
        </w:rPr>
      </w:pPr>
      <w:r w:rsidRPr="00AB5785">
        <w:rPr>
          <w:rFonts w:asciiTheme="majorBidi" w:eastAsia="Times New Roman" w:hAnsiTheme="majorBidi"/>
          <w:color w:val="222222"/>
          <w:sz w:val="24"/>
          <w:szCs w:val="24"/>
        </w:rPr>
        <w:t>3. Impact on Unilever's Competitiveness</w:t>
      </w:r>
    </w:p>
    <w:p w14:paraId="64C2CB7D" w14:textId="6614B8E9" w:rsidR="00435B57" w:rsidRPr="00AB5785" w:rsidRDefault="00DC22BE" w:rsidP="00DC22BE">
      <w:pPr>
        <w:pStyle w:val="BodyText"/>
        <w:jc w:val="both"/>
        <w:rPr>
          <w:rFonts w:asciiTheme="majorBidi" w:hAnsiTheme="majorBidi" w:cstheme="majorBidi"/>
          <w:szCs w:val="24"/>
        </w:rPr>
      </w:pPr>
      <w:r w:rsidRPr="00AB5785">
        <w:rPr>
          <w:rFonts w:asciiTheme="majorBidi" w:hAnsiTheme="majorBidi" w:cstheme="majorBidi"/>
          <w:szCs w:val="24"/>
        </w:rPr>
        <w:t xml:space="preserve">The three forces collectively reshape Unilever's market positioning, innovation system, talent model and competitiveness. AI can enhance local relevance and execution, resilience can ensure product availability, and trusted sustainability information can instil confidence among retailers, investors and consumers. However, each benefit comes with a trade-off. Too much automation can degrade accountability, too much redundancy can result in lower profitability, and too much disclosure can create legal exposure if the evidence is lacking. The forces also feed into each other: routing traffic around the Red Sea will generate additional emissions, and optimising data and forecasting can minimise unnecessary freight and stock. Employees therefore need more than generic digital training – they require data literacy, geopolitical and supplier-risk judgement, while sustainability specialists require assurance discipline. </w:t>
      </w:r>
      <w:r w:rsidR="001817C0" w:rsidRPr="00AB5785">
        <w:rPr>
          <w:rFonts w:asciiTheme="majorBidi" w:hAnsiTheme="majorBidi" w:cstheme="majorBidi"/>
          <w:szCs w:val="24"/>
        </w:rPr>
        <w:t>What Unilever should do is strike a balance between global scale and regionally delegated flexibility, instead of going for maximum centralisation or localisation.</w:t>
      </w:r>
    </w:p>
    <w:p w14:paraId="20056A95" w14:textId="77777777" w:rsidR="00435B57" w:rsidRPr="00AB5785" w:rsidRDefault="007D39C4" w:rsidP="00DC22BE">
      <w:pPr>
        <w:pStyle w:val="Heading1"/>
        <w:rPr>
          <w:rFonts w:asciiTheme="majorBidi" w:hAnsiTheme="majorBidi"/>
          <w:sz w:val="24"/>
          <w:szCs w:val="24"/>
        </w:rPr>
      </w:pPr>
      <w:r w:rsidRPr="00AB5785">
        <w:rPr>
          <w:rFonts w:asciiTheme="majorBidi" w:eastAsia="Times New Roman" w:hAnsiTheme="majorBidi"/>
          <w:color w:val="222222"/>
          <w:sz w:val="24"/>
          <w:szCs w:val="24"/>
        </w:rPr>
        <w:lastRenderedPageBreak/>
        <w:t>4. Strategic Recommendations</w:t>
      </w:r>
    </w:p>
    <w:p w14:paraId="0AD68663" w14:textId="77777777" w:rsidR="00435B57" w:rsidRPr="00AB5785" w:rsidRDefault="007D39C4" w:rsidP="00DC22BE">
      <w:pPr>
        <w:pStyle w:val="Heading2"/>
      </w:pPr>
      <w:r w:rsidRPr="00AB5785">
        <w:t>4.1 Govern AI Through Pilot-Prove-Scale</w:t>
      </w:r>
    </w:p>
    <w:p w14:paraId="62EE368A" w14:textId="79E45F5B" w:rsidR="00435B57" w:rsidRPr="00AB5785" w:rsidRDefault="00DC22BE" w:rsidP="00DC22BE">
      <w:pPr>
        <w:pStyle w:val="BodyText"/>
        <w:jc w:val="both"/>
        <w:rPr>
          <w:rFonts w:asciiTheme="majorBidi" w:hAnsiTheme="majorBidi" w:cstheme="majorBidi"/>
          <w:szCs w:val="24"/>
        </w:rPr>
      </w:pPr>
      <w:r w:rsidRPr="00AB5785">
        <w:rPr>
          <w:rFonts w:asciiTheme="majorBidi" w:hAnsiTheme="majorBidi" w:cstheme="majorBidi"/>
          <w:szCs w:val="24"/>
        </w:rPr>
        <w:t>AI should be managed as a portfolio, not a disparate series of experiments at Unilever. Prior to rollout across markets, each use case should have an accountable business owner, validated data, privacy and bias tests, human escalation rules and quantified business cases.</w:t>
      </w:r>
    </w:p>
    <w:p w14:paraId="67AF3D46" w14:textId="77777777" w:rsidR="00435B57" w:rsidRPr="00AB5785" w:rsidRDefault="007D39C4" w:rsidP="00DC22BE">
      <w:pPr>
        <w:pStyle w:val="Heading2"/>
      </w:pPr>
      <w:r w:rsidRPr="00AB5785">
        <w:t>4.2 Build a Risk-Tiered Supply Network</w:t>
      </w:r>
    </w:p>
    <w:p w14:paraId="48CE8AE9" w14:textId="7EEF0635" w:rsidR="00435B57" w:rsidRPr="00AB5785" w:rsidRDefault="00DC22BE" w:rsidP="00DC22BE">
      <w:pPr>
        <w:pStyle w:val="BodyText"/>
        <w:jc w:val="both"/>
        <w:rPr>
          <w:rFonts w:asciiTheme="majorBidi" w:hAnsiTheme="majorBidi" w:cstheme="majorBidi"/>
          <w:szCs w:val="24"/>
        </w:rPr>
      </w:pPr>
      <w:r w:rsidRPr="00AB5785">
        <w:rPr>
          <w:rFonts w:asciiTheme="majorBidi" w:hAnsiTheme="majorBidi" w:cstheme="majorBidi"/>
          <w:szCs w:val="24"/>
        </w:rPr>
        <w:t>Use multi-tier mapping to detect single points of failure, with agreed disruption triggers to activate alternative suppliers, production transfers, substitute materials and logistics routes. The investment in resilience projects should be focused on areas where failure of a service would have a meaningful impact on a priority brand or market.</w:t>
      </w:r>
    </w:p>
    <w:p w14:paraId="36B3D660" w14:textId="77777777" w:rsidR="00435B57" w:rsidRPr="00AB5785" w:rsidRDefault="007D39C4" w:rsidP="00DC22BE">
      <w:pPr>
        <w:pStyle w:val="Heading2"/>
      </w:pPr>
      <w:r w:rsidRPr="00AB5785">
        <w:t>4.3 Turn CSRD Data into Strategic Control</w:t>
      </w:r>
    </w:p>
    <w:p w14:paraId="2C33F086" w14:textId="1426927D" w:rsidR="00435B57" w:rsidRPr="00AB5785" w:rsidRDefault="00AB5785" w:rsidP="00DC22BE">
      <w:pPr>
        <w:pStyle w:val="BodyText"/>
        <w:jc w:val="both"/>
        <w:rPr>
          <w:rFonts w:asciiTheme="majorBidi" w:hAnsiTheme="majorBidi" w:cstheme="majorBidi"/>
          <w:szCs w:val="24"/>
        </w:rPr>
      </w:pPr>
      <w:r w:rsidRPr="00AB5785">
        <w:rPr>
          <w:rFonts w:asciiTheme="majorBidi" w:hAnsiTheme="majorBidi" w:cstheme="majorBidi"/>
          <w:szCs w:val="24"/>
        </w:rPr>
        <w:t>Integrating supplier-data definitions, assurance-ready evidence trails and carbon, water and nature product-level dashboards into capital-allocation decisions and innovation gates should help to boost the speed of innovation. Supplier-data definitions, carbon, water and nature product-level dashboards and assurance-ready evidence trails should be embedded in capital-allocation decisions and innovation gates to increase the pace of innovation. This would help ensure that external claims are in line with internal actions and minimise the risk that sustainability reporting becomes a 'parallel' compliance exercise.</w:t>
      </w:r>
    </w:p>
    <w:p w14:paraId="5F9F21BD" w14:textId="77777777" w:rsidR="00435B57" w:rsidRPr="00AB5785" w:rsidRDefault="007D39C4" w:rsidP="00DC22BE">
      <w:pPr>
        <w:pStyle w:val="Heading1"/>
        <w:rPr>
          <w:rFonts w:asciiTheme="majorBidi" w:hAnsiTheme="majorBidi"/>
          <w:sz w:val="24"/>
          <w:szCs w:val="24"/>
        </w:rPr>
      </w:pPr>
      <w:r w:rsidRPr="00AB5785">
        <w:rPr>
          <w:rFonts w:asciiTheme="majorBidi" w:eastAsia="Times New Roman" w:hAnsiTheme="majorBidi"/>
          <w:color w:val="222222"/>
          <w:sz w:val="24"/>
          <w:szCs w:val="24"/>
        </w:rPr>
        <w:t>5. Conclusion</w:t>
      </w:r>
    </w:p>
    <w:p w14:paraId="76DE406D" w14:textId="13B59CCA" w:rsidR="00435B57" w:rsidRPr="00AB5785" w:rsidRDefault="00DC22BE" w:rsidP="00DC22BE">
      <w:pPr>
        <w:pStyle w:val="BodyText"/>
        <w:jc w:val="both"/>
        <w:rPr>
          <w:rFonts w:asciiTheme="majorBidi" w:hAnsiTheme="majorBidi" w:cstheme="majorBidi"/>
          <w:szCs w:val="24"/>
        </w:rPr>
      </w:pPr>
      <w:r w:rsidRPr="00AB5785">
        <w:rPr>
          <w:rFonts w:asciiTheme="majorBidi" w:hAnsiTheme="majorBidi" w:cstheme="majorBidi"/>
          <w:szCs w:val="24"/>
        </w:rPr>
        <w:t xml:space="preserve">AI, geopolitical disruption and the CSRD are not the end of globalisation but rather changes to the capabilities needed to compete in globalisation. AI can enhance Unilever's demand creation and </w:t>
      </w:r>
      <w:proofErr w:type="gramStart"/>
      <w:r w:rsidRPr="00AB5785">
        <w:rPr>
          <w:rFonts w:asciiTheme="majorBidi" w:hAnsiTheme="majorBidi" w:cstheme="majorBidi"/>
          <w:szCs w:val="24"/>
        </w:rPr>
        <w:t>productivity, and</w:t>
      </w:r>
      <w:proofErr w:type="gramEnd"/>
      <w:r w:rsidRPr="00AB5785">
        <w:rPr>
          <w:rFonts w:asciiTheme="majorBidi" w:hAnsiTheme="majorBidi" w:cstheme="majorBidi"/>
          <w:szCs w:val="24"/>
        </w:rPr>
        <w:t xml:space="preserve"> enable a more selective approach to resilience in supply chains, while also providing the capability to transform sustainability reporting into a more effective strategic management tool. Such benefits are subject to the availability of reliable data, skilled workers, responsible human judgement and clear management of cost and sustainability trade-offs. The three agendas will need to be brought together into an integrated decision system that is digital, viable and externally credible for international success.</w:t>
      </w:r>
    </w:p>
    <w:p w14:paraId="475A7D99" w14:textId="77777777" w:rsidR="00435B57" w:rsidRPr="00AB5785" w:rsidRDefault="007D39C4" w:rsidP="00DC22BE">
      <w:pPr>
        <w:rPr>
          <w:rFonts w:asciiTheme="majorBidi" w:hAnsiTheme="majorBidi" w:cstheme="majorBidi"/>
          <w:szCs w:val="24"/>
        </w:rPr>
      </w:pPr>
      <w:r w:rsidRPr="00AB5785">
        <w:rPr>
          <w:rFonts w:asciiTheme="majorBidi" w:hAnsiTheme="majorBidi" w:cstheme="majorBidi"/>
          <w:szCs w:val="24"/>
        </w:rPr>
        <w:br w:type="page"/>
      </w:r>
    </w:p>
    <w:p w14:paraId="759134EA" w14:textId="77777777" w:rsidR="00435B57" w:rsidRPr="00AB5785" w:rsidRDefault="007D39C4" w:rsidP="00DC22BE">
      <w:pPr>
        <w:pStyle w:val="Heading1"/>
        <w:rPr>
          <w:rFonts w:asciiTheme="majorBidi" w:hAnsiTheme="majorBidi"/>
          <w:sz w:val="24"/>
          <w:szCs w:val="24"/>
        </w:rPr>
      </w:pPr>
      <w:r w:rsidRPr="00AB5785">
        <w:rPr>
          <w:rFonts w:asciiTheme="majorBidi" w:eastAsia="Times New Roman" w:hAnsiTheme="majorBidi"/>
          <w:color w:val="222222"/>
          <w:sz w:val="24"/>
          <w:szCs w:val="24"/>
        </w:rPr>
        <w:lastRenderedPageBreak/>
        <w:t>References</w:t>
      </w:r>
    </w:p>
    <w:p w14:paraId="5EA7E925" w14:textId="49243174" w:rsidR="00435B57" w:rsidRPr="00AB5785" w:rsidRDefault="007D39C4" w:rsidP="00DC22BE">
      <w:pPr>
        <w:spacing w:after="100"/>
        <w:ind w:left="425" w:hanging="425"/>
        <w:rPr>
          <w:rFonts w:asciiTheme="majorBidi" w:hAnsiTheme="majorBidi" w:cstheme="majorBidi"/>
          <w:szCs w:val="24"/>
        </w:rPr>
      </w:pPr>
      <w:r w:rsidRPr="00AB5785">
        <w:rPr>
          <w:rFonts w:asciiTheme="majorBidi" w:hAnsiTheme="majorBidi" w:cstheme="majorBidi"/>
          <w:szCs w:val="24"/>
        </w:rPr>
        <w:t xml:space="preserve">Baumüller, J. and Sopp, K. (2022) 'Double materiality and the shift from non-financial to European sustainability reporting: review, outlook and implications', Journal of Applied Accounting Research, 23(1), pp. 8-28. </w:t>
      </w:r>
      <w:hyperlink r:id="rId8" w:history="1">
        <w:r w:rsidR="00DC22BE" w:rsidRPr="00AB5785">
          <w:rPr>
            <w:rStyle w:val="Hyperlink"/>
            <w:rFonts w:asciiTheme="majorBidi" w:hAnsiTheme="majorBidi" w:cstheme="majorBidi"/>
            <w:szCs w:val="24"/>
          </w:rPr>
          <w:t>https://doi.org/10.1108/JAAR-04-2021-0114</w:t>
        </w:r>
      </w:hyperlink>
      <w:r w:rsidRPr="00AB5785">
        <w:rPr>
          <w:rFonts w:asciiTheme="majorBidi" w:hAnsiTheme="majorBidi" w:cstheme="majorBidi"/>
          <w:szCs w:val="24"/>
        </w:rPr>
        <w:t>.</w:t>
      </w:r>
      <w:r w:rsidR="00DC22BE" w:rsidRPr="00AB5785">
        <w:rPr>
          <w:rFonts w:asciiTheme="majorBidi" w:hAnsiTheme="majorBidi" w:cstheme="majorBidi"/>
          <w:szCs w:val="24"/>
        </w:rPr>
        <w:t xml:space="preserve"> </w:t>
      </w:r>
    </w:p>
    <w:p w14:paraId="6AA81F42" w14:textId="7BFD8C73" w:rsidR="00435B57" w:rsidRPr="00AB5785" w:rsidRDefault="007D39C4" w:rsidP="00DC22BE">
      <w:pPr>
        <w:spacing w:after="100"/>
        <w:ind w:left="425" w:hanging="425"/>
        <w:rPr>
          <w:rFonts w:asciiTheme="majorBidi" w:hAnsiTheme="majorBidi" w:cstheme="majorBidi"/>
          <w:szCs w:val="24"/>
        </w:rPr>
      </w:pPr>
      <w:r w:rsidRPr="00AB5785">
        <w:rPr>
          <w:rFonts w:asciiTheme="majorBidi" w:hAnsiTheme="majorBidi" w:cstheme="majorBidi"/>
          <w:szCs w:val="24"/>
        </w:rPr>
        <w:t xml:space="preserve">Bown, C.P. (2020) 'How the United States marched the semiconductor industry into its trade war with China', East Asian Economic Review, 24(4), pp. 349-388. </w:t>
      </w:r>
      <w:hyperlink r:id="rId9" w:history="1">
        <w:r w:rsidR="00DC22BE" w:rsidRPr="00AB5785">
          <w:rPr>
            <w:rStyle w:val="Hyperlink"/>
            <w:rFonts w:asciiTheme="majorBidi" w:hAnsiTheme="majorBidi" w:cstheme="majorBidi"/>
            <w:szCs w:val="24"/>
          </w:rPr>
          <w:t>https://doi.org/10.11644/KIEP.EAER.2020.24.4.384</w:t>
        </w:r>
      </w:hyperlink>
      <w:r w:rsidRPr="00AB5785">
        <w:rPr>
          <w:rFonts w:asciiTheme="majorBidi" w:hAnsiTheme="majorBidi" w:cstheme="majorBidi"/>
          <w:szCs w:val="24"/>
        </w:rPr>
        <w:t>.</w:t>
      </w:r>
      <w:r w:rsidR="00DC22BE" w:rsidRPr="00AB5785">
        <w:rPr>
          <w:rFonts w:asciiTheme="majorBidi" w:hAnsiTheme="majorBidi" w:cstheme="majorBidi"/>
          <w:szCs w:val="24"/>
        </w:rPr>
        <w:t xml:space="preserve"> </w:t>
      </w:r>
    </w:p>
    <w:p w14:paraId="4EC4199E" w14:textId="00B87C3F" w:rsidR="00435B57" w:rsidRPr="00AB5785" w:rsidRDefault="007D39C4" w:rsidP="00DC22BE">
      <w:pPr>
        <w:spacing w:after="100"/>
        <w:ind w:left="425" w:hanging="425"/>
        <w:rPr>
          <w:rFonts w:asciiTheme="majorBidi" w:hAnsiTheme="majorBidi" w:cstheme="majorBidi"/>
          <w:szCs w:val="24"/>
        </w:rPr>
      </w:pPr>
      <w:r w:rsidRPr="00AB5785">
        <w:rPr>
          <w:rFonts w:asciiTheme="majorBidi" w:hAnsiTheme="majorBidi" w:cstheme="majorBidi"/>
          <w:szCs w:val="24"/>
        </w:rPr>
        <w:t xml:space="preserve">Di Vaio, A., Palladino, R., Hassan, R. and Escobar, O. (2020) 'Artificial intelligence and business models in the sustainable development goals perspective: a systematic literature review', Journal of Business Research, 121, pp. 283-314. </w:t>
      </w:r>
      <w:hyperlink r:id="rId10" w:history="1">
        <w:r w:rsidR="00DC22BE" w:rsidRPr="00AB5785">
          <w:rPr>
            <w:rStyle w:val="Hyperlink"/>
            <w:rFonts w:asciiTheme="majorBidi" w:hAnsiTheme="majorBidi" w:cstheme="majorBidi"/>
            <w:szCs w:val="24"/>
          </w:rPr>
          <w:t>https://doi.org/10.1016/j.jbusres.2020.08.019</w:t>
        </w:r>
      </w:hyperlink>
      <w:r w:rsidRPr="00AB5785">
        <w:rPr>
          <w:rFonts w:asciiTheme="majorBidi" w:hAnsiTheme="majorBidi" w:cstheme="majorBidi"/>
          <w:szCs w:val="24"/>
        </w:rPr>
        <w:t>.</w:t>
      </w:r>
      <w:r w:rsidR="00DC22BE" w:rsidRPr="00AB5785">
        <w:rPr>
          <w:rFonts w:asciiTheme="majorBidi" w:hAnsiTheme="majorBidi" w:cstheme="majorBidi"/>
          <w:szCs w:val="24"/>
        </w:rPr>
        <w:t xml:space="preserve"> </w:t>
      </w:r>
    </w:p>
    <w:p w14:paraId="541798CA" w14:textId="7F571AE8" w:rsidR="00435B57" w:rsidRPr="00AB5785" w:rsidRDefault="007D39C4" w:rsidP="00DC22BE">
      <w:pPr>
        <w:spacing w:after="100"/>
        <w:ind w:left="425" w:hanging="425"/>
        <w:rPr>
          <w:rFonts w:asciiTheme="majorBidi" w:hAnsiTheme="majorBidi" w:cstheme="majorBidi"/>
          <w:szCs w:val="24"/>
        </w:rPr>
      </w:pPr>
      <w:r w:rsidRPr="00AB5785">
        <w:rPr>
          <w:rFonts w:asciiTheme="majorBidi" w:hAnsiTheme="majorBidi" w:cstheme="majorBidi"/>
          <w:szCs w:val="24"/>
        </w:rPr>
        <w:t xml:space="preserve">European Parliament and Council (2022) Directive (EU) 2022/2464 of 14 December 2022 as regards corporate sustainability reporting. Official Journal of the European Union, L322, pp. 15-80. Available at: </w:t>
      </w:r>
      <w:hyperlink r:id="rId11" w:history="1">
        <w:r w:rsidR="00DC22BE" w:rsidRPr="00AB5785">
          <w:rPr>
            <w:rStyle w:val="Hyperlink"/>
            <w:rFonts w:asciiTheme="majorBidi" w:hAnsiTheme="majorBidi" w:cstheme="majorBidi"/>
            <w:szCs w:val="24"/>
          </w:rPr>
          <w:t>https://eur-lex.europa.eu/eli/dir/2022/2464/oj</w:t>
        </w:r>
      </w:hyperlink>
      <w:r w:rsidR="00DC22BE" w:rsidRPr="00AB5785">
        <w:rPr>
          <w:rFonts w:asciiTheme="majorBidi" w:hAnsiTheme="majorBidi" w:cstheme="majorBidi"/>
          <w:szCs w:val="24"/>
        </w:rPr>
        <w:t xml:space="preserve"> </w:t>
      </w:r>
    </w:p>
    <w:p w14:paraId="284D67C8" w14:textId="2A26DDD5" w:rsidR="00435B57" w:rsidRPr="00AB5785" w:rsidRDefault="007D39C4" w:rsidP="00DC22BE">
      <w:pPr>
        <w:spacing w:after="100"/>
        <w:ind w:left="425" w:hanging="425"/>
        <w:rPr>
          <w:rFonts w:asciiTheme="majorBidi" w:hAnsiTheme="majorBidi" w:cstheme="majorBidi"/>
          <w:szCs w:val="24"/>
        </w:rPr>
      </w:pPr>
      <w:r w:rsidRPr="00AB5785">
        <w:rPr>
          <w:rFonts w:asciiTheme="majorBidi" w:hAnsiTheme="majorBidi" w:cstheme="majorBidi"/>
          <w:szCs w:val="24"/>
        </w:rPr>
        <w:t xml:space="preserve">Gereffi, G. (2020) 'What does the COVID-19 pandemic teach us about global value chains? The case of medical supplies', Journal of International Business Policy, 3(3), pp. 287-301. </w:t>
      </w:r>
      <w:hyperlink r:id="rId12" w:history="1">
        <w:r w:rsidR="00DC22BE" w:rsidRPr="00AB5785">
          <w:rPr>
            <w:rStyle w:val="Hyperlink"/>
            <w:rFonts w:asciiTheme="majorBidi" w:hAnsiTheme="majorBidi" w:cstheme="majorBidi"/>
            <w:szCs w:val="24"/>
          </w:rPr>
          <w:t>https://doi.org/10.1057/s42214-020-00062-w</w:t>
        </w:r>
      </w:hyperlink>
      <w:r w:rsidRPr="00AB5785">
        <w:rPr>
          <w:rFonts w:asciiTheme="majorBidi" w:hAnsiTheme="majorBidi" w:cstheme="majorBidi"/>
          <w:szCs w:val="24"/>
        </w:rPr>
        <w:t>.</w:t>
      </w:r>
      <w:r w:rsidR="00DC22BE" w:rsidRPr="00AB5785">
        <w:rPr>
          <w:rFonts w:asciiTheme="majorBidi" w:hAnsiTheme="majorBidi" w:cstheme="majorBidi"/>
          <w:szCs w:val="24"/>
        </w:rPr>
        <w:t xml:space="preserve"> </w:t>
      </w:r>
    </w:p>
    <w:p w14:paraId="3C933ACC" w14:textId="06BE2087" w:rsidR="00435B57" w:rsidRPr="00AB5785" w:rsidRDefault="007D39C4" w:rsidP="00DC22BE">
      <w:pPr>
        <w:spacing w:after="100"/>
        <w:ind w:left="425" w:hanging="425"/>
        <w:rPr>
          <w:rFonts w:asciiTheme="majorBidi" w:hAnsiTheme="majorBidi" w:cstheme="majorBidi"/>
          <w:szCs w:val="24"/>
        </w:rPr>
      </w:pPr>
      <w:r w:rsidRPr="00AB5785">
        <w:rPr>
          <w:rFonts w:asciiTheme="majorBidi" w:hAnsiTheme="majorBidi" w:cstheme="majorBidi"/>
          <w:szCs w:val="24"/>
        </w:rPr>
        <w:t xml:space="preserve">Hahn, T., </w:t>
      </w:r>
      <w:proofErr w:type="spellStart"/>
      <w:r w:rsidRPr="00AB5785">
        <w:rPr>
          <w:rFonts w:asciiTheme="majorBidi" w:hAnsiTheme="majorBidi" w:cstheme="majorBidi"/>
          <w:szCs w:val="24"/>
        </w:rPr>
        <w:t>Pinkse</w:t>
      </w:r>
      <w:proofErr w:type="spellEnd"/>
      <w:r w:rsidRPr="00AB5785">
        <w:rPr>
          <w:rFonts w:asciiTheme="majorBidi" w:hAnsiTheme="majorBidi" w:cstheme="majorBidi"/>
          <w:szCs w:val="24"/>
        </w:rPr>
        <w:t xml:space="preserve">, J., Preuss, L. and Figge, F. (2015) 'Tensions in corporate sustainability: towards an integrative framework', Journal of Business Ethics, 127(2), pp. 297-316. </w:t>
      </w:r>
      <w:hyperlink r:id="rId13" w:history="1">
        <w:r w:rsidR="00DC22BE" w:rsidRPr="00AB5785">
          <w:rPr>
            <w:rStyle w:val="Hyperlink"/>
            <w:rFonts w:asciiTheme="majorBidi" w:hAnsiTheme="majorBidi" w:cstheme="majorBidi"/>
            <w:szCs w:val="24"/>
          </w:rPr>
          <w:t>https://doi.org/10.1007/s10551-014-2047-5</w:t>
        </w:r>
      </w:hyperlink>
      <w:r w:rsidRPr="00AB5785">
        <w:rPr>
          <w:rFonts w:asciiTheme="majorBidi" w:hAnsiTheme="majorBidi" w:cstheme="majorBidi"/>
          <w:szCs w:val="24"/>
        </w:rPr>
        <w:t>.</w:t>
      </w:r>
      <w:r w:rsidR="00DC22BE" w:rsidRPr="00AB5785">
        <w:rPr>
          <w:rFonts w:asciiTheme="majorBidi" w:hAnsiTheme="majorBidi" w:cstheme="majorBidi"/>
          <w:szCs w:val="24"/>
        </w:rPr>
        <w:t xml:space="preserve"> </w:t>
      </w:r>
    </w:p>
    <w:p w14:paraId="77438776" w14:textId="20880396" w:rsidR="00435B57" w:rsidRPr="00AB5785" w:rsidRDefault="007D39C4" w:rsidP="00DC22BE">
      <w:pPr>
        <w:spacing w:after="100"/>
        <w:ind w:left="425" w:hanging="425"/>
        <w:rPr>
          <w:rFonts w:asciiTheme="majorBidi" w:hAnsiTheme="majorBidi" w:cstheme="majorBidi"/>
          <w:szCs w:val="24"/>
        </w:rPr>
      </w:pPr>
      <w:r w:rsidRPr="00AB5785">
        <w:rPr>
          <w:rFonts w:asciiTheme="majorBidi" w:hAnsiTheme="majorBidi" w:cstheme="majorBidi"/>
          <w:szCs w:val="24"/>
        </w:rPr>
        <w:t xml:space="preserve">Ivanov, D. and </w:t>
      </w:r>
      <w:proofErr w:type="spellStart"/>
      <w:r w:rsidRPr="00AB5785">
        <w:rPr>
          <w:rFonts w:asciiTheme="majorBidi" w:hAnsiTheme="majorBidi" w:cstheme="majorBidi"/>
          <w:szCs w:val="24"/>
        </w:rPr>
        <w:t>Dolgui</w:t>
      </w:r>
      <w:proofErr w:type="spellEnd"/>
      <w:r w:rsidRPr="00AB5785">
        <w:rPr>
          <w:rFonts w:asciiTheme="majorBidi" w:hAnsiTheme="majorBidi" w:cstheme="majorBidi"/>
          <w:szCs w:val="24"/>
        </w:rPr>
        <w:t xml:space="preserve">, A. (2020) 'Viability of intertwined supply networks: extending the supply chain resilience angles towards survivability', International Journal of Production Research, 58(10), pp. 2904-2915. </w:t>
      </w:r>
      <w:hyperlink r:id="rId14" w:history="1">
        <w:r w:rsidR="00DC22BE" w:rsidRPr="00AB5785">
          <w:rPr>
            <w:rStyle w:val="Hyperlink"/>
            <w:rFonts w:asciiTheme="majorBidi" w:hAnsiTheme="majorBidi" w:cstheme="majorBidi"/>
            <w:szCs w:val="24"/>
          </w:rPr>
          <w:t>https://doi.org/10.1080/00207543.2020.1750727</w:t>
        </w:r>
      </w:hyperlink>
      <w:r w:rsidRPr="00AB5785">
        <w:rPr>
          <w:rFonts w:asciiTheme="majorBidi" w:hAnsiTheme="majorBidi" w:cstheme="majorBidi"/>
          <w:szCs w:val="24"/>
        </w:rPr>
        <w:t>.</w:t>
      </w:r>
      <w:r w:rsidR="00DC22BE" w:rsidRPr="00AB5785">
        <w:rPr>
          <w:rFonts w:asciiTheme="majorBidi" w:hAnsiTheme="majorBidi" w:cstheme="majorBidi"/>
          <w:szCs w:val="24"/>
        </w:rPr>
        <w:t xml:space="preserve"> </w:t>
      </w:r>
    </w:p>
    <w:p w14:paraId="74B0B486" w14:textId="723C4A83" w:rsidR="00435B57" w:rsidRPr="00AB5785" w:rsidRDefault="007D39C4" w:rsidP="00DC22BE">
      <w:pPr>
        <w:spacing w:after="100"/>
        <w:ind w:left="425" w:hanging="425"/>
        <w:rPr>
          <w:rFonts w:asciiTheme="majorBidi" w:hAnsiTheme="majorBidi" w:cstheme="majorBidi"/>
          <w:szCs w:val="24"/>
        </w:rPr>
      </w:pPr>
      <w:r w:rsidRPr="00AB5785">
        <w:rPr>
          <w:rFonts w:asciiTheme="majorBidi" w:hAnsiTheme="majorBidi" w:cstheme="majorBidi"/>
          <w:szCs w:val="24"/>
        </w:rPr>
        <w:t xml:space="preserve">Jobin, A., Ienca, M. and </w:t>
      </w:r>
      <w:proofErr w:type="spellStart"/>
      <w:r w:rsidRPr="00AB5785">
        <w:rPr>
          <w:rFonts w:asciiTheme="majorBidi" w:hAnsiTheme="majorBidi" w:cstheme="majorBidi"/>
          <w:szCs w:val="24"/>
        </w:rPr>
        <w:t>Vayena</w:t>
      </w:r>
      <w:proofErr w:type="spellEnd"/>
      <w:r w:rsidRPr="00AB5785">
        <w:rPr>
          <w:rFonts w:asciiTheme="majorBidi" w:hAnsiTheme="majorBidi" w:cstheme="majorBidi"/>
          <w:szCs w:val="24"/>
        </w:rPr>
        <w:t xml:space="preserve">, E. (2019) 'The global landscape of AI ethics guidelines', Nature Machine Intelligence, 1, pp. 389-399. </w:t>
      </w:r>
      <w:hyperlink r:id="rId15" w:history="1">
        <w:r w:rsidR="00DC22BE" w:rsidRPr="00AB5785">
          <w:rPr>
            <w:rStyle w:val="Hyperlink"/>
            <w:rFonts w:asciiTheme="majorBidi" w:hAnsiTheme="majorBidi" w:cstheme="majorBidi"/>
            <w:szCs w:val="24"/>
          </w:rPr>
          <w:t>https://doi.org/10.1038/s42256-019-0088-2</w:t>
        </w:r>
      </w:hyperlink>
      <w:r w:rsidRPr="00AB5785">
        <w:rPr>
          <w:rFonts w:asciiTheme="majorBidi" w:hAnsiTheme="majorBidi" w:cstheme="majorBidi"/>
          <w:szCs w:val="24"/>
        </w:rPr>
        <w:t>.</w:t>
      </w:r>
      <w:r w:rsidR="00DC22BE" w:rsidRPr="00AB5785">
        <w:rPr>
          <w:rFonts w:asciiTheme="majorBidi" w:hAnsiTheme="majorBidi" w:cstheme="majorBidi"/>
          <w:szCs w:val="24"/>
        </w:rPr>
        <w:t xml:space="preserve"> </w:t>
      </w:r>
    </w:p>
    <w:p w14:paraId="3A0A5FDB" w14:textId="7EC27377" w:rsidR="00435B57" w:rsidRPr="00AB5785" w:rsidRDefault="007D39C4" w:rsidP="00DC22BE">
      <w:pPr>
        <w:spacing w:after="100"/>
        <w:ind w:left="425" w:hanging="425"/>
        <w:rPr>
          <w:rFonts w:asciiTheme="majorBidi" w:hAnsiTheme="majorBidi" w:cstheme="majorBidi"/>
          <w:szCs w:val="24"/>
        </w:rPr>
      </w:pPr>
      <w:proofErr w:type="spellStart"/>
      <w:r w:rsidRPr="00AB5785">
        <w:rPr>
          <w:rFonts w:asciiTheme="majorBidi" w:hAnsiTheme="majorBidi" w:cstheme="majorBidi"/>
          <w:szCs w:val="24"/>
        </w:rPr>
        <w:t>Jöhnk</w:t>
      </w:r>
      <w:proofErr w:type="spellEnd"/>
      <w:r w:rsidRPr="00AB5785">
        <w:rPr>
          <w:rFonts w:asciiTheme="majorBidi" w:hAnsiTheme="majorBidi" w:cstheme="majorBidi"/>
          <w:szCs w:val="24"/>
        </w:rPr>
        <w:t xml:space="preserve">, J., </w:t>
      </w:r>
      <w:proofErr w:type="spellStart"/>
      <w:r w:rsidRPr="00AB5785">
        <w:rPr>
          <w:rFonts w:asciiTheme="majorBidi" w:hAnsiTheme="majorBidi" w:cstheme="majorBidi"/>
          <w:szCs w:val="24"/>
        </w:rPr>
        <w:t>Weißert</w:t>
      </w:r>
      <w:proofErr w:type="spellEnd"/>
      <w:r w:rsidRPr="00AB5785">
        <w:rPr>
          <w:rFonts w:asciiTheme="majorBidi" w:hAnsiTheme="majorBidi" w:cstheme="majorBidi"/>
          <w:szCs w:val="24"/>
        </w:rPr>
        <w:t xml:space="preserve">, M. and </w:t>
      </w:r>
      <w:proofErr w:type="spellStart"/>
      <w:r w:rsidRPr="00AB5785">
        <w:rPr>
          <w:rFonts w:asciiTheme="majorBidi" w:hAnsiTheme="majorBidi" w:cstheme="majorBidi"/>
          <w:szCs w:val="24"/>
        </w:rPr>
        <w:t>Wyrtki</w:t>
      </w:r>
      <w:proofErr w:type="spellEnd"/>
      <w:r w:rsidRPr="00AB5785">
        <w:rPr>
          <w:rFonts w:asciiTheme="majorBidi" w:hAnsiTheme="majorBidi" w:cstheme="majorBidi"/>
          <w:szCs w:val="24"/>
        </w:rPr>
        <w:t xml:space="preserve">, K. (2021) 'Ready or not, AI comes - an interview study of organizational AI readiness factors', Business &amp; Information Systems Engineering, 63(1), pp. 5-20. </w:t>
      </w:r>
      <w:hyperlink r:id="rId16" w:history="1">
        <w:r w:rsidR="00DC22BE" w:rsidRPr="00AB5785">
          <w:rPr>
            <w:rStyle w:val="Hyperlink"/>
            <w:rFonts w:asciiTheme="majorBidi" w:hAnsiTheme="majorBidi" w:cstheme="majorBidi"/>
            <w:szCs w:val="24"/>
          </w:rPr>
          <w:t>https://doi.org/10.1007/s12599-020-00676-7</w:t>
        </w:r>
      </w:hyperlink>
      <w:r w:rsidRPr="00AB5785">
        <w:rPr>
          <w:rFonts w:asciiTheme="majorBidi" w:hAnsiTheme="majorBidi" w:cstheme="majorBidi"/>
          <w:szCs w:val="24"/>
        </w:rPr>
        <w:t>.</w:t>
      </w:r>
      <w:r w:rsidR="00DC22BE" w:rsidRPr="00AB5785">
        <w:rPr>
          <w:rFonts w:asciiTheme="majorBidi" w:hAnsiTheme="majorBidi" w:cstheme="majorBidi"/>
          <w:szCs w:val="24"/>
        </w:rPr>
        <w:t xml:space="preserve"> </w:t>
      </w:r>
    </w:p>
    <w:p w14:paraId="3B0C330B" w14:textId="4C0D22C1" w:rsidR="00435B57" w:rsidRPr="00AB5785" w:rsidRDefault="007D39C4" w:rsidP="00DC22BE">
      <w:pPr>
        <w:spacing w:after="100"/>
        <w:ind w:left="425" w:hanging="425"/>
        <w:rPr>
          <w:rFonts w:asciiTheme="majorBidi" w:hAnsiTheme="majorBidi" w:cstheme="majorBidi"/>
          <w:szCs w:val="24"/>
        </w:rPr>
      </w:pPr>
      <w:r w:rsidRPr="00AB5785">
        <w:rPr>
          <w:rFonts w:asciiTheme="majorBidi" w:hAnsiTheme="majorBidi" w:cstheme="majorBidi"/>
          <w:szCs w:val="24"/>
        </w:rPr>
        <w:t xml:space="preserve">Kano, L., Tsang, E.W.K. and Yeung, H.W.-C. (2020) 'Global value chains: a review of the multi-disciplinary literature', Journal of International Business Studies, 51(4), pp. 577-622. </w:t>
      </w:r>
      <w:hyperlink r:id="rId17" w:history="1">
        <w:r w:rsidR="00DC22BE" w:rsidRPr="00AB5785">
          <w:rPr>
            <w:rStyle w:val="Hyperlink"/>
            <w:rFonts w:asciiTheme="majorBidi" w:hAnsiTheme="majorBidi" w:cstheme="majorBidi"/>
            <w:szCs w:val="24"/>
          </w:rPr>
          <w:t>https://doi.org/10.1057/s41267-020-00304-2</w:t>
        </w:r>
      </w:hyperlink>
      <w:r w:rsidRPr="00AB5785">
        <w:rPr>
          <w:rFonts w:asciiTheme="majorBidi" w:hAnsiTheme="majorBidi" w:cstheme="majorBidi"/>
          <w:szCs w:val="24"/>
        </w:rPr>
        <w:t>.</w:t>
      </w:r>
      <w:r w:rsidR="00DC22BE" w:rsidRPr="00AB5785">
        <w:rPr>
          <w:rFonts w:asciiTheme="majorBidi" w:hAnsiTheme="majorBidi" w:cstheme="majorBidi"/>
          <w:szCs w:val="24"/>
        </w:rPr>
        <w:t xml:space="preserve"> </w:t>
      </w:r>
    </w:p>
    <w:p w14:paraId="5E0F08B5" w14:textId="61168F28" w:rsidR="00435B57" w:rsidRPr="00AB5785" w:rsidRDefault="007D39C4" w:rsidP="00DC22BE">
      <w:pPr>
        <w:spacing w:after="100"/>
        <w:ind w:left="425" w:hanging="425"/>
        <w:rPr>
          <w:rFonts w:asciiTheme="majorBidi" w:hAnsiTheme="majorBidi" w:cstheme="majorBidi"/>
          <w:szCs w:val="24"/>
        </w:rPr>
      </w:pPr>
      <w:proofErr w:type="spellStart"/>
      <w:r w:rsidRPr="00AB5785">
        <w:rPr>
          <w:rFonts w:asciiTheme="majorBidi" w:hAnsiTheme="majorBidi" w:cstheme="majorBidi"/>
          <w:szCs w:val="24"/>
        </w:rPr>
        <w:lastRenderedPageBreak/>
        <w:t>Mikalef</w:t>
      </w:r>
      <w:proofErr w:type="spellEnd"/>
      <w:r w:rsidRPr="00AB5785">
        <w:rPr>
          <w:rFonts w:asciiTheme="majorBidi" w:hAnsiTheme="majorBidi" w:cstheme="majorBidi"/>
          <w:szCs w:val="24"/>
        </w:rPr>
        <w:t xml:space="preserve">, P. and Gupta, M. (2021) 'Artificial intelligence capability: conceptualization, measurement calibration, and empirical study on its impact on organizational creativity and firm performance', Information &amp; Management, 58(3), article 103434. </w:t>
      </w:r>
      <w:hyperlink r:id="rId18" w:history="1">
        <w:r w:rsidR="00DC22BE" w:rsidRPr="00AB5785">
          <w:rPr>
            <w:rStyle w:val="Hyperlink"/>
            <w:rFonts w:asciiTheme="majorBidi" w:hAnsiTheme="majorBidi" w:cstheme="majorBidi"/>
            <w:szCs w:val="24"/>
          </w:rPr>
          <w:t>https://doi.org/10.1016/j.im.2021.103434</w:t>
        </w:r>
      </w:hyperlink>
      <w:r w:rsidRPr="00AB5785">
        <w:rPr>
          <w:rFonts w:asciiTheme="majorBidi" w:hAnsiTheme="majorBidi" w:cstheme="majorBidi"/>
          <w:szCs w:val="24"/>
        </w:rPr>
        <w:t>.</w:t>
      </w:r>
      <w:r w:rsidR="00DC22BE" w:rsidRPr="00AB5785">
        <w:rPr>
          <w:rFonts w:asciiTheme="majorBidi" w:hAnsiTheme="majorBidi" w:cstheme="majorBidi"/>
          <w:szCs w:val="24"/>
        </w:rPr>
        <w:t xml:space="preserve"> </w:t>
      </w:r>
    </w:p>
    <w:p w14:paraId="01CDEE2F" w14:textId="17F6290D" w:rsidR="00435B57" w:rsidRPr="00AB5785" w:rsidRDefault="007D39C4" w:rsidP="00DC22BE">
      <w:pPr>
        <w:spacing w:after="100"/>
        <w:ind w:left="425" w:hanging="425"/>
        <w:rPr>
          <w:rFonts w:asciiTheme="majorBidi" w:hAnsiTheme="majorBidi" w:cstheme="majorBidi"/>
          <w:szCs w:val="24"/>
        </w:rPr>
      </w:pPr>
      <w:r w:rsidRPr="00AB5785">
        <w:rPr>
          <w:rFonts w:asciiTheme="majorBidi" w:hAnsiTheme="majorBidi" w:cstheme="majorBidi"/>
          <w:szCs w:val="24"/>
        </w:rPr>
        <w:t xml:space="preserve">UNCTAD (2024) Navigating Troubled Waters: Impact to Global Trade of Disruption of Shipping Routes in the Red Sea, Black Sea and Panama Canal. Geneva: UN Trade and Development. Available at: </w:t>
      </w:r>
      <w:hyperlink r:id="rId19" w:history="1">
        <w:r w:rsidR="00DC22BE" w:rsidRPr="00AB5785">
          <w:rPr>
            <w:rStyle w:val="Hyperlink"/>
            <w:rFonts w:asciiTheme="majorBidi" w:hAnsiTheme="majorBidi" w:cstheme="majorBidi"/>
            <w:szCs w:val="24"/>
          </w:rPr>
          <w:t>https://unctad.org/publication/navigating-troubled-waters-impact-global-trade-disruption-shipping-routes-red-sea-black</w:t>
        </w:r>
      </w:hyperlink>
      <w:r w:rsidR="00DC22BE" w:rsidRPr="00AB5785">
        <w:rPr>
          <w:rFonts w:asciiTheme="majorBidi" w:hAnsiTheme="majorBidi" w:cstheme="majorBidi"/>
          <w:szCs w:val="24"/>
        </w:rPr>
        <w:t xml:space="preserve"> </w:t>
      </w:r>
    </w:p>
    <w:p w14:paraId="5437402A" w14:textId="0FCC0CA8" w:rsidR="00435B57" w:rsidRPr="00AB5785" w:rsidRDefault="007D39C4" w:rsidP="00DC22BE">
      <w:pPr>
        <w:spacing w:after="100"/>
        <w:ind w:left="425" w:hanging="425"/>
        <w:rPr>
          <w:rFonts w:asciiTheme="majorBidi" w:hAnsiTheme="majorBidi" w:cstheme="majorBidi"/>
          <w:szCs w:val="24"/>
        </w:rPr>
      </w:pPr>
      <w:r w:rsidRPr="00AB5785">
        <w:rPr>
          <w:rFonts w:asciiTheme="majorBidi" w:hAnsiTheme="majorBidi" w:cstheme="majorBidi"/>
          <w:szCs w:val="24"/>
        </w:rPr>
        <w:t xml:space="preserve">Unilever PLC (2025) Annual Report and Accounts 2024. London: Unilever PLC. Available at: </w:t>
      </w:r>
      <w:hyperlink r:id="rId20" w:history="1">
        <w:r w:rsidR="00DC22BE" w:rsidRPr="00AB5785">
          <w:rPr>
            <w:rStyle w:val="Hyperlink"/>
            <w:rFonts w:asciiTheme="majorBidi" w:hAnsiTheme="majorBidi" w:cstheme="majorBidi"/>
            <w:szCs w:val="24"/>
          </w:rPr>
          <w:t>https://www.unilever.com/files/unilever-annual-report-and-accounts-2024.pdf</w:t>
        </w:r>
      </w:hyperlink>
      <w:r w:rsidR="00DC22BE" w:rsidRPr="00AB5785">
        <w:rPr>
          <w:rFonts w:asciiTheme="majorBidi" w:hAnsiTheme="majorBidi" w:cstheme="majorBidi"/>
          <w:szCs w:val="24"/>
        </w:rPr>
        <w:t xml:space="preserve"> </w:t>
      </w:r>
    </w:p>
    <w:p w14:paraId="66A562D9" w14:textId="4D9F6D64" w:rsidR="00435B57" w:rsidRPr="00DC22BE" w:rsidRDefault="007D39C4" w:rsidP="00DC22BE">
      <w:pPr>
        <w:spacing w:after="100"/>
        <w:ind w:left="425" w:hanging="425"/>
        <w:rPr>
          <w:rFonts w:asciiTheme="majorBidi" w:hAnsiTheme="majorBidi" w:cstheme="majorBidi"/>
          <w:szCs w:val="24"/>
        </w:rPr>
      </w:pPr>
      <w:r w:rsidRPr="00AB5785">
        <w:rPr>
          <w:rFonts w:asciiTheme="majorBidi" w:hAnsiTheme="majorBidi" w:cstheme="majorBidi"/>
          <w:szCs w:val="24"/>
        </w:rPr>
        <w:t>Wamba-</w:t>
      </w:r>
      <w:proofErr w:type="spellStart"/>
      <w:r w:rsidRPr="00AB5785">
        <w:rPr>
          <w:rFonts w:asciiTheme="majorBidi" w:hAnsiTheme="majorBidi" w:cstheme="majorBidi"/>
          <w:szCs w:val="24"/>
        </w:rPr>
        <w:t>Taguimdje</w:t>
      </w:r>
      <w:proofErr w:type="spellEnd"/>
      <w:r w:rsidRPr="00AB5785">
        <w:rPr>
          <w:rFonts w:asciiTheme="majorBidi" w:hAnsiTheme="majorBidi" w:cstheme="majorBidi"/>
          <w:szCs w:val="24"/>
        </w:rPr>
        <w:t xml:space="preserve">, S.-L., Wamba, S.F., </w:t>
      </w:r>
      <w:proofErr w:type="spellStart"/>
      <w:r w:rsidRPr="00AB5785">
        <w:rPr>
          <w:rFonts w:asciiTheme="majorBidi" w:hAnsiTheme="majorBidi" w:cstheme="majorBidi"/>
          <w:szCs w:val="24"/>
        </w:rPr>
        <w:t>Kamdjoug</w:t>
      </w:r>
      <w:proofErr w:type="spellEnd"/>
      <w:r w:rsidRPr="00AB5785">
        <w:rPr>
          <w:rFonts w:asciiTheme="majorBidi" w:hAnsiTheme="majorBidi" w:cstheme="majorBidi"/>
          <w:szCs w:val="24"/>
        </w:rPr>
        <w:t xml:space="preserve">, J.R.K. and Wanko, C.E.T. (2020) 'Influence of artificial intelligence (AI) on firm performance: the business value of AI-based transformation projects', Business Process Management Journal, 26(7), pp. 1893-1924. </w:t>
      </w:r>
      <w:hyperlink r:id="rId21" w:history="1">
        <w:r w:rsidR="00DC22BE" w:rsidRPr="00AB5785">
          <w:rPr>
            <w:rStyle w:val="Hyperlink"/>
            <w:rFonts w:asciiTheme="majorBidi" w:hAnsiTheme="majorBidi" w:cstheme="majorBidi"/>
            <w:szCs w:val="24"/>
          </w:rPr>
          <w:t>https://doi.org/10.1108/BPMJ-10-2019-0411</w:t>
        </w:r>
      </w:hyperlink>
      <w:r w:rsidRPr="00AB5785">
        <w:rPr>
          <w:rFonts w:asciiTheme="majorBidi" w:hAnsiTheme="majorBidi" w:cstheme="majorBidi"/>
          <w:szCs w:val="24"/>
        </w:rPr>
        <w:t>.</w:t>
      </w:r>
      <w:r w:rsidR="00DC22BE" w:rsidRPr="00DC22BE">
        <w:rPr>
          <w:rFonts w:asciiTheme="majorBidi" w:hAnsiTheme="majorBidi" w:cstheme="majorBidi"/>
          <w:szCs w:val="24"/>
        </w:rPr>
        <w:t xml:space="preserve"> </w:t>
      </w:r>
    </w:p>
    <w:sectPr w:rsidR="00435B57" w:rsidRPr="00DC22BE" w:rsidSect="00034616">
      <w:headerReference w:type="default" r:id="rId22"/>
      <w:footerReference w:type="default" r:id="rId23"/>
      <w:pgSz w:w="11906" w:h="16838"/>
      <w:pgMar w:top="1247" w:right="1474" w:bottom="1134" w:left="147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095802" w14:textId="77777777" w:rsidR="00255314" w:rsidRPr="00DC22BE" w:rsidRDefault="00255314">
      <w:pPr>
        <w:spacing w:after="0" w:line="240" w:lineRule="auto"/>
      </w:pPr>
      <w:r w:rsidRPr="00DC22BE">
        <w:separator/>
      </w:r>
    </w:p>
  </w:endnote>
  <w:endnote w:type="continuationSeparator" w:id="0">
    <w:p w14:paraId="5987EA96" w14:textId="77777777" w:rsidR="00255314" w:rsidRPr="00DC22BE" w:rsidRDefault="00255314">
      <w:pPr>
        <w:spacing w:after="0" w:line="240" w:lineRule="auto"/>
      </w:pPr>
      <w:r w:rsidRPr="00DC22BE">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46552291"/>
      <w:docPartObj>
        <w:docPartGallery w:val="Page Numbers (Bottom of Page)"/>
        <w:docPartUnique/>
      </w:docPartObj>
    </w:sdtPr>
    <w:sdtEndPr>
      <w:rPr>
        <w:color w:val="7F7F7F" w:themeColor="background1" w:themeShade="7F"/>
        <w:spacing w:val="60"/>
      </w:rPr>
    </w:sdtEndPr>
    <w:sdtContent>
      <w:p w14:paraId="20610C39" w14:textId="12B3A22D" w:rsidR="00DC22BE" w:rsidRDefault="00DC22BE">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3A1C1384" w14:textId="44E81AB3" w:rsidR="00435B57" w:rsidRPr="00DC22BE" w:rsidRDefault="00435B57">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81DD78" w14:textId="77777777" w:rsidR="00255314" w:rsidRPr="00DC22BE" w:rsidRDefault="00255314">
      <w:pPr>
        <w:spacing w:after="0" w:line="240" w:lineRule="auto"/>
      </w:pPr>
      <w:r w:rsidRPr="00DC22BE">
        <w:separator/>
      </w:r>
    </w:p>
  </w:footnote>
  <w:footnote w:type="continuationSeparator" w:id="0">
    <w:p w14:paraId="3A47295F" w14:textId="77777777" w:rsidR="00255314" w:rsidRPr="00DC22BE" w:rsidRDefault="00255314">
      <w:pPr>
        <w:spacing w:after="0" w:line="240" w:lineRule="auto"/>
      </w:pPr>
      <w:r w:rsidRPr="00DC22BE">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0927F1" w14:textId="37AB7EF5" w:rsidR="00435B57" w:rsidRPr="00DC22BE" w:rsidRDefault="00435B57" w:rsidP="00DC22B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27745593">
    <w:abstractNumId w:val="8"/>
  </w:num>
  <w:num w:numId="2" w16cid:durableId="132598755">
    <w:abstractNumId w:val="6"/>
  </w:num>
  <w:num w:numId="3" w16cid:durableId="1493715959">
    <w:abstractNumId w:val="5"/>
  </w:num>
  <w:num w:numId="4" w16cid:durableId="948439175">
    <w:abstractNumId w:val="4"/>
  </w:num>
  <w:num w:numId="5" w16cid:durableId="2049794997">
    <w:abstractNumId w:val="7"/>
  </w:num>
  <w:num w:numId="6" w16cid:durableId="412627757">
    <w:abstractNumId w:val="3"/>
  </w:num>
  <w:num w:numId="7" w16cid:durableId="435715221">
    <w:abstractNumId w:val="2"/>
  </w:num>
  <w:num w:numId="8" w16cid:durableId="1509834742">
    <w:abstractNumId w:val="1"/>
  </w:num>
  <w:num w:numId="9" w16cid:durableId="18482502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1817C0"/>
    <w:rsid w:val="0023613B"/>
    <w:rsid w:val="00255314"/>
    <w:rsid w:val="0029639D"/>
    <w:rsid w:val="00326F90"/>
    <w:rsid w:val="00435B57"/>
    <w:rsid w:val="00594BCE"/>
    <w:rsid w:val="006C70D1"/>
    <w:rsid w:val="006D14D9"/>
    <w:rsid w:val="007D39C4"/>
    <w:rsid w:val="00806A10"/>
    <w:rsid w:val="0086631F"/>
    <w:rsid w:val="00AA1D8D"/>
    <w:rsid w:val="00AB5785"/>
    <w:rsid w:val="00AE604F"/>
    <w:rsid w:val="00B47730"/>
    <w:rsid w:val="00CB0664"/>
    <w:rsid w:val="00D76549"/>
    <w:rsid w:val="00DC22BE"/>
    <w:rsid w:val="00E70787"/>
    <w:rsid w:val="00F1337B"/>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7C1493D"/>
  <w14:defaultImageDpi w14:val="300"/>
  <w15:docId w15:val="{0C00CD3F-1F94-499F-8C98-CC6ED8964C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360" w:lineRule="auto"/>
    </w:pPr>
    <w:rPr>
      <w:rFonts w:ascii="Times New Roman" w:eastAsia="Times New Roman" w:hAnsi="Times New Roman"/>
      <w:color w:val="222222"/>
      <w:sz w:val="24"/>
      <w:lang w:val="en-GB"/>
    </w:rPr>
  </w:style>
  <w:style w:type="paragraph" w:styleId="Heading1">
    <w:name w:val="heading 1"/>
    <w:basedOn w:val="Normal"/>
    <w:next w:val="Normal"/>
    <w:link w:val="Heading1Char"/>
    <w:uiPriority w:val="9"/>
    <w:qFormat/>
    <w:rsid w:val="00FC693F"/>
    <w:pPr>
      <w:keepNext/>
      <w:keepLines/>
      <w:spacing w:before="240"/>
      <w:outlineLvl w:val="0"/>
    </w:pPr>
    <w:rPr>
      <w:rFonts w:asciiTheme="majorHAnsi" w:eastAsiaTheme="majorEastAsia" w:hAnsiTheme="majorHAnsi" w:cstheme="majorBidi"/>
      <w:b/>
      <w:bCs/>
      <w:color w:val="1F3A5F"/>
      <w:sz w:val="30"/>
      <w:szCs w:val="28"/>
    </w:rPr>
  </w:style>
  <w:style w:type="paragraph" w:styleId="Heading2">
    <w:name w:val="heading 2"/>
    <w:basedOn w:val="Normal"/>
    <w:next w:val="Normal"/>
    <w:link w:val="Heading2Char"/>
    <w:uiPriority w:val="9"/>
    <w:unhideWhenUsed/>
    <w:qFormat/>
    <w:rsid w:val="00DC22BE"/>
    <w:pPr>
      <w:keepNext/>
      <w:keepLines/>
      <w:spacing w:before="180" w:after="80"/>
      <w:outlineLvl w:val="1"/>
    </w:pPr>
    <w:rPr>
      <w:rFonts w:asciiTheme="majorBidi" w:hAnsiTheme="majorBidi" w:cstheme="majorBidi"/>
      <w:b/>
      <w:bCs/>
      <w:i/>
      <w:iCs/>
      <w:szCs w:val="24"/>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DC22BE"/>
    <w:rPr>
      <w:rFonts w:asciiTheme="majorBidi" w:eastAsia="Times New Roman" w:hAnsiTheme="majorBidi" w:cstheme="majorBidi"/>
      <w:b/>
      <w:bCs/>
      <w:i/>
      <w:iCs/>
      <w:color w:val="222222"/>
      <w:sz w:val="24"/>
      <w:szCs w:val="24"/>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4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DC22BE"/>
    <w:rPr>
      <w:color w:val="0000FF" w:themeColor="hyperlink"/>
      <w:u w:val="single"/>
    </w:rPr>
  </w:style>
  <w:style w:type="character" w:styleId="UnresolvedMention">
    <w:name w:val="Unresolved Mention"/>
    <w:basedOn w:val="DefaultParagraphFont"/>
    <w:uiPriority w:val="99"/>
    <w:semiHidden/>
    <w:unhideWhenUsed/>
    <w:rsid w:val="00DC22B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08/JAAR-04-2021-0114" TargetMode="External"/><Relationship Id="rId13" Type="http://schemas.openxmlformats.org/officeDocument/2006/relationships/hyperlink" Target="https://doi.org/10.1007/s10551-014-2047-5" TargetMode="External"/><Relationship Id="rId18" Type="http://schemas.openxmlformats.org/officeDocument/2006/relationships/hyperlink" Target="https://doi.org/10.1016/j.im.2021.103434" TargetMode="External"/><Relationship Id="rId3" Type="http://schemas.openxmlformats.org/officeDocument/2006/relationships/styles" Target="styles.xml"/><Relationship Id="rId21" Type="http://schemas.openxmlformats.org/officeDocument/2006/relationships/hyperlink" Target="https://doi.org/10.1108/BPMJ-10-2019-0411" TargetMode="External"/><Relationship Id="rId7" Type="http://schemas.openxmlformats.org/officeDocument/2006/relationships/endnotes" Target="endnotes.xml"/><Relationship Id="rId12" Type="http://schemas.openxmlformats.org/officeDocument/2006/relationships/hyperlink" Target="https://doi.org/10.1057/s42214-020-00062-w" TargetMode="External"/><Relationship Id="rId17" Type="http://schemas.openxmlformats.org/officeDocument/2006/relationships/hyperlink" Target="https://doi.org/10.1057/s41267-020-00304-2"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doi.org/10.1007/s12599-020-00676-7" TargetMode="External"/><Relationship Id="rId20" Type="http://schemas.openxmlformats.org/officeDocument/2006/relationships/hyperlink" Target="https://www.unilever.com/files/unilever-annual-report-and-accounts-2024.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ur-lex.europa.eu/eli/dir/2022/2464/oj"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doi.org/10.1038/s42256-019-0088-2" TargetMode="External"/><Relationship Id="rId23" Type="http://schemas.openxmlformats.org/officeDocument/2006/relationships/footer" Target="footer1.xml"/><Relationship Id="rId10" Type="http://schemas.openxmlformats.org/officeDocument/2006/relationships/hyperlink" Target="https://doi.org/10.1016/j.jbusres.2020.08.019" TargetMode="External"/><Relationship Id="rId19" Type="http://schemas.openxmlformats.org/officeDocument/2006/relationships/hyperlink" Target="https://unctad.org/publication/navigating-troubled-waters-impact-global-trade-disruption-shipping-routes-red-sea-black" TargetMode="External"/><Relationship Id="rId4" Type="http://schemas.openxmlformats.org/officeDocument/2006/relationships/settings" Target="settings.xml"/><Relationship Id="rId9" Type="http://schemas.openxmlformats.org/officeDocument/2006/relationships/hyperlink" Target="https://doi.org/10.11644/KIEP.EAER.2020.24.4.384" TargetMode="External"/><Relationship Id="rId14" Type="http://schemas.openxmlformats.org/officeDocument/2006/relationships/hyperlink" Target="https://doi.org/10.1080/00207543.2020.1750727"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2252</Words>
  <Characters>12839</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15061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Global Forces Reshaping Unilever's International Strategy</dc:title>
  <dc:subject>LCBB4016 Individual Essay</dc:subject>
  <dc:creator>python-docx</dc:creator>
  <cp:keywords>Unilever, artificial intelligence, supply chain, CSRD, globalisation</cp:keywords>
  <dc:description>Revised academic essay with a clean, minimal layout.</dc:description>
  <cp:lastModifiedBy>Humaira Mahboob (2406922)</cp:lastModifiedBy>
  <cp:revision>2</cp:revision>
  <dcterms:created xsi:type="dcterms:W3CDTF">2026-07-25T18:30:00Z</dcterms:created>
  <dcterms:modified xsi:type="dcterms:W3CDTF">2026-07-25T18:30:00Z</dcterms:modified>
  <cp:category/>
</cp:coreProperties>
</file>