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0E32" w14:textId="649EAF43" w:rsidR="001F4780" w:rsidRDefault="001F4780" w:rsidP="00836E6C"/>
    <w:p w14:paraId="6D943672" w14:textId="77777777" w:rsidR="001F4780" w:rsidRPr="00250EB4" w:rsidRDefault="001F4780" w:rsidP="001F4780">
      <w:pPr>
        <w:jc w:val="center"/>
        <w:rPr>
          <w:rFonts w:ascii="Arial" w:hAnsi="Arial" w:cs="Arial"/>
          <w:b/>
          <w:bCs/>
          <w:sz w:val="52"/>
          <w:szCs w:val="52"/>
        </w:rPr>
      </w:pPr>
      <w:r w:rsidRPr="00250EB4">
        <w:rPr>
          <w:rFonts w:ascii="Arial" w:hAnsi="Arial" w:cs="Arial"/>
          <w:b/>
          <w:bCs/>
          <w:sz w:val="52"/>
          <w:szCs w:val="52"/>
        </w:rPr>
        <w:t>Managing Projects in the Organisation</w:t>
      </w:r>
      <w:r w:rsidRPr="00250EB4">
        <w:rPr>
          <w:rFonts w:ascii="Arial" w:hAnsi="Arial" w:cs="Arial"/>
          <w:b/>
          <w:bCs/>
          <w:sz w:val="52"/>
          <w:szCs w:val="52"/>
        </w:rPr>
        <w:br/>
        <w:t>(BMSW5009_SWAN)</w:t>
      </w:r>
    </w:p>
    <w:p w14:paraId="69F99C29" w14:textId="77777777" w:rsidR="001F4780" w:rsidRPr="00250EB4" w:rsidRDefault="001F4780" w:rsidP="001F4780">
      <w:pPr>
        <w:rPr>
          <w:rFonts w:ascii="Arial" w:hAnsi="Arial" w:cs="Arial"/>
          <w:b/>
          <w:bCs/>
          <w:sz w:val="52"/>
          <w:szCs w:val="52"/>
        </w:rPr>
      </w:pPr>
    </w:p>
    <w:p w14:paraId="43D9F200" w14:textId="4E3CC406" w:rsidR="001F4780" w:rsidRPr="00250EB4" w:rsidRDefault="001F4780" w:rsidP="00431E77">
      <w:pPr>
        <w:jc w:val="center"/>
        <w:rPr>
          <w:rFonts w:ascii="Arial" w:hAnsi="Arial" w:cs="Arial"/>
          <w:b/>
          <w:bCs/>
          <w:sz w:val="52"/>
          <w:szCs w:val="52"/>
        </w:rPr>
      </w:pPr>
      <w:r w:rsidRPr="00250EB4">
        <w:rPr>
          <w:rFonts w:ascii="Arial" w:hAnsi="Arial" w:cs="Arial"/>
          <w:b/>
          <w:bCs/>
          <w:sz w:val="52"/>
          <w:szCs w:val="52"/>
        </w:rPr>
        <w:br/>
        <w:t xml:space="preserve">Lecturer: Giulia </w:t>
      </w:r>
      <w:proofErr w:type="spellStart"/>
      <w:r w:rsidRPr="00250EB4">
        <w:rPr>
          <w:rFonts w:ascii="Arial" w:hAnsi="Arial" w:cs="Arial"/>
          <w:b/>
          <w:bCs/>
          <w:sz w:val="52"/>
          <w:szCs w:val="52"/>
        </w:rPr>
        <w:t>Chifari</w:t>
      </w:r>
      <w:proofErr w:type="spellEnd"/>
    </w:p>
    <w:p w14:paraId="1B25D29A" w14:textId="77777777" w:rsidR="001F4780" w:rsidRPr="00250EB4" w:rsidRDefault="001F4780" w:rsidP="00431E77">
      <w:pPr>
        <w:jc w:val="center"/>
        <w:rPr>
          <w:rFonts w:ascii="Arial" w:hAnsi="Arial" w:cs="Arial"/>
          <w:b/>
          <w:bCs/>
          <w:sz w:val="52"/>
          <w:szCs w:val="52"/>
        </w:rPr>
      </w:pPr>
    </w:p>
    <w:p w14:paraId="36B67801" w14:textId="34A98825" w:rsidR="001F4780" w:rsidRDefault="001F4780" w:rsidP="00431E77">
      <w:pPr>
        <w:jc w:val="center"/>
        <w:rPr>
          <w:rFonts w:ascii="Arial" w:hAnsi="Arial" w:cs="Arial"/>
          <w:b/>
          <w:bCs/>
          <w:sz w:val="52"/>
          <w:szCs w:val="52"/>
        </w:rPr>
      </w:pPr>
      <w:r w:rsidRPr="00250EB4">
        <w:rPr>
          <w:rFonts w:ascii="Arial" w:hAnsi="Arial" w:cs="Arial"/>
          <w:b/>
          <w:bCs/>
          <w:sz w:val="52"/>
          <w:szCs w:val="52"/>
        </w:rPr>
        <w:t>Student: Claudiu Florea – 2330390</w:t>
      </w:r>
    </w:p>
    <w:p w14:paraId="66D8BEBE" w14:textId="241A6DEB" w:rsidR="001F4780" w:rsidRDefault="001F4780" w:rsidP="00431E77">
      <w:pPr>
        <w:jc w:val="center"/>
        <w:rPr>
          <w:rFonts w:ascii="Arial" w:hAnsi="Arial" w:cs="Arial"/>
          <w:b/>
          <w:bCs/>
          <w:sz w:val="52"/>
          <w:szCs w:val="52"/>
        </w:rPr>
      </w:pPr>
    </w:p>
    <w:p w14:paraId="24F7A39E" w14:textId="7C4A179C" w:rsidR="001F4780" w:rsidRDefault="00431E77" w:rsidP="00431E77">
      <w:pPr>
        <w:jc w:val="center"/>
        <w:rPr>
          <w:rFonts w:ascii="Arial" w:hAnsi="Arial" w:cs="Arial"/>
          <w:b/>
          <w:bCs/>
          <w:sz w:val="52"/>
          <w:szCs w:val="52"/>
        </w:rPr>
      </w:pPr>
      <w:r>
        <w:rPr>
          <w:rFonts w:ascii="Arial" w:hAnsi="Arial" w:cs="Arial"/>
          <w:b/>
          <w:bCs/>
          <w:sz w:val="52"/>
          <w:szCs w:val="52"/>
        </w:rPr>
        <w:br/>
      </w:r>
      <w:r>
        <w:rPr>
          <w:rFonts w:ascii="Arial" w:hAnsi="Arial" w:cs="Arial"/>
          <w:b/>
          <w:bCs/>
          <w:sz w:val="52"/>
          <w:szCs w:val="52"/>
        </w:rPr>
        <w:br/>
        <w:t>Saint Thomas Church Food Donation Project</w:t>
      </w:r>
    </w:p>
    <w:p w14:paraId="7F805AC9" w14:textId="77777777" w:rsidR="00431E77" w:rsidRDefault="00431E77" w:rsidP="00431E77">
      <w:pPr>
        <w:jc w:val="center"/>
        <w:rPr>
          <w:rFonts w:ascii="Arial" w:hAnsi="Arial" w:cs="Arial"/>
          <w:b/>
          <w:bCs/>
          <w:sz w:val="52"/>
          <w:szCs w:val="52"/>
        </w:rPr>
      </w:pPr>
    </w:p>
    <w:p w14:paraId="66D40F62" w14:textId="77777777" w:rsidR="00431E77" w:rsidRDefault="00431E77" w:rsidP="00431E77">
      <w:pPr>
        <w:jc w:val="center"/>
        <w:rPr>
          <w:rFonts w:ascii="Arial" w:hAnsi="Arial" w:cs="Arial"/>
          <w:b/>
          <w:bCs/>
          <w:sz w:val="52"/>
          <w:szCs w:val="52"/>
        </w:rPr>
      </w:pPr>
    </w:p>
    <w:p w14:paraId="0951B258" w14:textId="77777777" w:rsidR="00431E77" w:rsidRDefault="00431E77" w:rsidP="00431E77">
      <w:pPr>
        <w:jc w:val="center"/>
        <w:rPr>
          <w:rFonts w:ascii="Arial" w:hAnsi="Arial" w:cs="Arial"/>
          <w:b/>
          <w:bCs/>
          <w:sz w:val="52"/>
          <w:szCs w:val="52"/>
        </w:rPr>
      </w:pPr>
    </w:p>
    <w:p w14:paraId="53847D85" w14:textId="705F0BB9" w:rsidR="00431E77" w:rsidRDefault="00431E77" w:rsidP="00431E77">
      <w:pPr>
        <w:jc w:val="center"/>
      </w:pPr>
      <w:r>
        <w:rPr>
          <w:rFonts w:ascii="Arial" w:hAnsi="Arial" w:cs="Arial"/>
          <w:b/>
          <w:bCs/>
          <w:sz w:val="52"/>
          <w:szCs w:val="52"/>
        </w:rPr>
        <w:br/>
        <w:t>Date: 03/07/2026</w:t>
      </w:r>
    </w:p>
    <w:sdt>
      <w:sdtPr>
        <w:rPr>
          <w:rFonts w:asciiTheme="minorHAnsi" w:eastAsiaTheme="minorHAnsi" w:hAnsiTheme="minorHAnsi" w:cstheme="minorBidi"/>
          <w:color w:val="auto"/>
          <w:sz w:val="22"/>
          <w:szCs w:val="22"/>
          <w:lang w:val="en-GB"/>
        </w:rPr>
        <w:id w:val="1953205548"/>
        <w:docPartObj>
          <w:docPartGallery w:val="Table of Contents"/>
          <w:docPartUnique/>
        </w:docPartObj>
      </w:sdtPr>
      <w:sdtEndPr>
        <w:rPr>
          <w:b/>
          <w:bCs/>
          <w:noProof/>
        </w:rPr>
      </w:sdtEndPr>
      <w:sdtContent>
        <w:p w14:paraId="13811577" w14:textId="3FCD189D" w:rsidR="00D10C94" w:rsidRDefault="00D10C94">
          <w:pPr>
            <w:pStyle w:val="TOCHeading"/>
          </w:pPr>
          <w:r>
            <w:t>Contents</w:t>
          </w:r>
        </w:p>
        <w:p w14:paraId="5EF5F917" w14:textId="07EE66B4" w:rsidR="00DD7DB8" w:rsidRDefault="00D10C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834453" w:history="1">
            <w:r w:rsidR="00DD7DB8" w:rsidRPr="00E46707">
              <w:rPr>
                <w:rStyle w:val="Hyperlink"/>
                <w:noProof/>
              </w:rPr>
              <w:t>Executive summary:</w:t>
            </w:r>
            <w:r w:rsidR="00DD7DB8">
              <w:rPr>
                <w:noProof/>
                <w:webHidden/>
              </w:rPr>
              <w:tab/>
            </w:r>
            <w:r w:rsidR="00DD7DB8">
              <w:rPr>
                <w:noProof/>
                <w:webHidden/>
              </w:rPr>
              <w:fldChar w:fldCharType="begin"/>
            </w:r>
            <w:r w:rsidR="00DD7DB8">
              <w:rPr>
                <w:noProof/>
                <w:webHidden/>
              </w:rPr>
              <w:instrText xml:space="preserve"> PAGEREF _Toc233834453 \h </w:instrText>
            </w:r>
            <w:r w:rsidR="00DD7DB8">
              <w:rPr>
                <w:noProof/>
                <w:webHidden/>
              </w:rPr>
            </w:r>
            <w:r w:rsidR="00DD7DB8">
              <w:rPr>
                <w:noProof/>
                <w:webHidden/>
              </w:rPr>
              <w:fldChar w:fldCharType="separate"/>
            </w:r>
            <w:r w:rsidR="00DD7DB8">
              <w:rPr>
                <w:noProof/>
                <w:webHidden/>
              </w:rPr>
              <w:t>3</w:t>
            </w:r>
            <w:r w:rsidR="00DD7DB8">
              <w:rPr>
                <w:noProof/>
                <w:webHidden/>
              </w:rPr>
              <w:fldChar w:fldCharType="end"/>
            </w:r>
          </w:hyperlink>
        </w:p>
        <w:p w14:paraId="1D61D98C" w14:textId="75B4C229" w:rsidR="00DD7DB8" w:rsidRDefault="00306DCB">
          <w:pPr>
            <w:pStyle w:val="TOC1"/>
            <w:tabs>
              <w:tab w:val="right" w:leader="dot" w:pos="9016"/>
            </w:tabs>
            <w:rPr>
              <w:rFonts w:eastAsiaTheme="minorEastAsia"/>
              <w:noProof/>
              <w:lang w:eastAsia="en-GB"/>
            </w:rPr>
          </w:pPr>
          <w:hyperlink w:anchor="_Toc233834454" w:history="1">
            <w:r w:rsidR="00DD7DB8" w:rsidRPr="00E46707">
              <w:rPr>
                <w:rStyle w:val="Hyperlink"/>
                <w:noProof/>
              </w:rPr>
              <w:t>1. Introduction to Saint Thomas Church Food donation Project.</w:t>
            </w:r>
            <w:r w:rsidR="00DD7DB8">
              <w:rPr>
                <w:noProof/>
                <w:webHidden/>
              </w:rPr>
              <w:tab/>
            </w:r>
            <w:r w:rsidR="00DD7DB8">
              <w:rPr>
                <w:noProof/>
                <w:webHidden/>
              </w:rPr>
              <w:fldChar w:fldCharType="begin"/>
            </w:r>
            <w:r w:rsidR="00DD7DB8">
              <w:rPr>
                <w:noProof/>
                <w:webHidden/>
              </w:rPr>
              <w:instrText xml:space="preserve"> PAGEREF _Toc233834454 \h </w:instrText>
            </w:r>
            <w:r w:rsidR="00DD7DB8">
              <w:rPr>
                <w:noProof/>
                <w:webHidden/>
              </w:rPr>
            </w:r>
            <w:r w:rsidR="00DD7DB8">
              <w:rPr>
                <w:noProof/>
                <w:webHidden/>
              </w:rPr>
              <w:fldChar w:fldCharType="separate"/>
            </w:r>
            <w:r w:rsidR="00DD7DB8">
              <w:rPr>
                <w:noProof/>
                <w:webHidden/>
              </w:rPr>
              <w:t>4</w:t>
            </w:r>
            <w:r w:rsidR="00DD7DB8">
              <w:rPr>
                <w:noProof/>
                <w:webHidden/>
              </w:rPr>
              <w:fldChar w:fldCharType="end"/>
            </w:r>
          </w:hyperlink>
        </w:p>
        <w:p w14:paraId="4DE3A2CE" w14:textId="23CD679F" w:rsidR="00DD7DB8" w:rsidRDefault="00306DCB">
          <w:pPr>
            <w:pStyle w:val="TOC1"/>
            <w:tabs>
              <w:tab w:val="right" w:leader="dot" w:pos="9016"/>
            </w:tabs>
            <w:rPr>
              <w:rFonts w:eastAsiaTheme="minorEastAsia"/>
              <w:noProof/>
              <w:lang w:eastAsia="en-GB"/>
            </w:rPr>
          </w:pPr>
          <w:hyperlink w:anchor="_Toc233834455" w:history="1">
            <w:r w:rsidR="00DD7DB8" w:rsidRPr="00E46707">
              <w:rPr>
                <w:rStyle w:val="Hyperlink"/>
                <w:noProof/>
              </w:rPr>
              <w:t>2. Group Formation and Project Initiation</w:t>
            </w:r>
            <w:r w:rsidR="00DD7DB8">
              <w:rPr>
                <w:noProof/>
                <w:webHidden/>
              </w:rPr>
              <w:tab/>
            </w:r>
            <w:r w:rsidR="00DD7DB8">
              <w:rPr>
                <w:noProof/>
                <w:webHidden/>
              </w:rPr>
              <w:fldChar w:fldCharType="begin"/>
            </w:r>
            <w:r w:rsidR="00DD7DB8">
              <w:rPr>
                <w:noProof/>
                <w:webHidden/>
              </w:rPr>
              <w:instrText xml:space="preserve"> PAGEREF _Toc233834455 \h </w:instrText>
            </w:r>
            <w:r w:rsidR="00DD7DB8">
              <w:rPr>
                <w:noProof/>
                <w:webHidden/>
              </w:rPr>
            </w:r>
            <w:r w:rsidR="00DD7DB8">
              <w:rPr>
                <w:noProof/>
                <w:webHidden/>
              </w:rPr>
              <w:fldChar w:fldCharType="separate"/>
            </w:r>
            <w:r w:rsidR="00DD7DB8">
              <w:rPr>
                <w:noProof/>
                <w:webHidden/>
              </w:rPr>
              <w:t>5</w:t>
            </w:r>
            <w:r w:rsidR="00DD7DB8">
              <w:rPr>
                <w:noProof/>
                <w:webHidden/>
              </w:rPr>
              <w:fldChar w:fldCharType="end"/>
            </w:r>
          </w:hyperlink>
        </w:p>
        <w:p w14:paraId="30E99599" w14:textId="67E823E8" w:rsidR="00DD7DB8" w:rsidRDefault="00306DCB">
          <w:pPr>
            <w:pStyle w:val="TOC1"/>
            <w:tabs>
              <w:tab w:val="right" w:leader="dot" w:pos="9016"/>
            </w:tabs>
            <w:rPr>
              <w:rFonts w:eastAsiaTheme="minorEastAsia"/>
              <w:noProof/>
              <w:lang w:eastAsia="en-GB"/>
            </w:rPr>
          </w:pPr>
          <w:hyperlink w:anchor="_Toc233834456" w:history="1">
            <w:r w:rsidR="00DD7DB8" w:rsidRPr="00E46707">
              <w:rPr>
                <w:rStyle w:val="Hyperlink"/>
                <w:noProof/>
              </w:rPr>
              <w:t>3. Project Scope, Objectives and Stakeholder Management</w:t>
            </w:r>
            <w:r w:rsidR="00DD7DB8">
              <w:rPr>
                <w:noProof/>
                <w:webHidden/>
              </w:rPr>
              <w:tab/>
            </w:r>
            <w:r w:rsidR="00DD7DB8">
              <w:rPr>
                <w:noProof/>
                <w:webHidden/>
              </w:rPr>
              <w:fldChar w:fldCharType="begin"/>
            </w:r>
            <w:r w:rsidR="00DD7DB8">
              <w:rPr>
                <w:noProof/>
                <w:webHidden/>
              </w:rPr>
              <w:instrText xml:space="preserve"> PAGEREF _Toc233834456 \h </w:instrText>
            </w:r>
            <w:r w:rsidR="00DD7DB8">
              <w:rPr>
                <w:noProof/>
                <w:webHidden/>
              </w:rPr>
            </w:r>
            <w:r w:rsidR="00DD7DB8">
              <w:rPr>
                <w:noProof/>
                <w:webHidden/>
              </w:rPr>
              <w:fldChar w:fldCharType="separate"/>
            </w:r>
            <w:r w:rsidR="00DD7DB8">
              <w:rPr>
                <w:noProof/>
                <w:webHidden/>
              </w:rPr>
              <w:t>6</w:t>
            </w:r>
            <w:r w:rsidR="00DD7DB8">
              <w:rPr>
                <w:noProof/>
                <w:webHidden/>
              </w:rPr>
              <w:fldChar w:fldCharType="end"/>
            </w:r>
          </w:hyperlink>
        </w:p>
        <w:p w14:paraId="0C1CE37B" w14:textId="172F1E45" w:rsidR="00DD7DB8" w:rsidRDefault="00306DCB">
          <w:pPr>
            <w:pStyle w:val="TOC1"/>
            <w:tabs>
              <w:tab w:val="right" w:leader="dot" w:pos="9016"/>
            </w:tabs>
            <w:rPr>
              <w:rFonts w:eastAsiaTheme="minorEastAsia"/>
              <w:noProof/>
              <w:lang w:eastAsia="en-GB"/>
            </w:rPr>
          </w:pPr>
          <w:hyperlink w:anchor="_Toc233834457" w:history="1">
            <w:r w:rsidR="00DD7DB8" w:rsidRPr="00E46707">
              <w:rPr>
                <w:rStyle w:val="Hyperlink"/>
                <w:noProof/>
                <w:lang w:eastAsia="en-GB"/>
              </w:rPr>
              <w:t>4. Stakeholder Analysis and Communication</w:t>
            </w:r>
            <w:r w:rsidR="00DD7DB8">
              <w:rPr>
                <w:noProof/>
                <w:webHidden/>
              </w:rPr>
              <w:tab/>
            </w:r>
            <w:r w:rsidR="00DD7DB8">
              <w:rPr>
                <w:noProof/>
                <w:webHidden/>
              </w:rPr>
              <w:fldChar w:fldCharType="begin"/>
            </w:r>
            <w:r w:rsidR="00DD7DB8">
              <w:rPr>
                <w:noProof/>
                <w:webHidden/>
              </w:rPr>
              <w:instrText xml:space="preserve"> PAGEREF _Toc233834457 \h </w:instrText>
            </w:r>
            <w:r w:rsidR="00DD7DB8">
              <w:rPr>
                <w:noProof/>
                <w:webHidden/>
              </w:rPr>
            </w:r>
            <w:r w:rsidR="00DD7DB8">
              <w:rPr>
                <w:noProof/>
                <w:webHidden/>
              </w:rPr>
              <w:fldChar w:fldCharType="separate"/>
            </w:r>
            <w:r w:rsidR="00DD7DB8">
              <w:rPr>
                <w:noProof/>
                <w:webHidden/>
              </w:rPr>
              <w:t>7</w:t>
            </w:r>
            <w:r w:rsidR="00DD7DB8">
              <w:rPr>
                <w:noProof/>
                <w:webHidden/>
              </w:rPr>
              <w:fldChar w:fldCharType="end"/>
            </w:r>
          </w:hyperlink>
        </w:p>
        <w:p w14:paraId="4B4F9171" w14:textId="71339507" w:rsidR="00DD7DB8" w:rsidRDefault="00306DCB">
          <w:pPr>
            <w:pStyle w:val="TOC1"/>
            <w:tabs>
              <w:tab w:val="right" w:leader="dot" w:pos="9016"/>
            </w:tabs>
            <w:rPr>
              <w:rFonts w:eastAsiaTheme="minorEastAsia"/>
              <w:noProof/>
              <w:lang w:eastAsia="en-GB"/>
            </w:rPr>
          </w:pPr>
          <w:hyperlink w:anchor="_Toc233834458" w:history="1">
            <w:r w:rsidR="00DD7DB8" w:rsidRPr="00E46707">
              <w:rPr>
                <w:rStyle w:val="Hyperlink"/>
                <w:noProof/>
              </w:rPr>
              <w:t>5. Project Management Tools and Techniques</w:t>
            </w:r>
            <w:r w:rsidR="00DD7DB8">
              <w:rPr>
                <w:noProof/>
                <w:webHidden/>
              </w:rPr>
              <w:tab/>
            </w:r>
            <w:r w:rsidR="00DD7DB8">
              <w:rPr>
                <w:noProof/>
                <w:webHidden/>
              </w:rPr>
              <w:fldChar w:fldCharType="begin"/>
            </w:r>
            <w:r w:rsidR="00DD7DB8">
              <w:rPr>
                <w:noProof/>
                <w:webHidden/>
              </w:rPr>
              <w:instrText xml:space="preserve"> PAGEREF _Toc233834458 \h </w:instrText>
            </w:r>
            <w:r w:rsidR="00DD7DB8">
              <w:rPr>
                <w:noProof/>
                <w:webHidden/>
              </w:rPr>
            </w:r>
            <w:r w:rsidR="00DD7DB8">
              <w:rPr>
                <w:noProof/>
                <w:webHidden/>
              </w:rPr>
              <w:fldChar w:fldCharType="separate"/>
            </w:r>
            <w:r w:rsidR="00DD7DB8">
              <w:rPr>
                <w:noProof/>
                <w:webHidden/>
              </w:rPr>
              <w:t>8</w:t>
            </w:r>
            <w:r w:rsidR="00DD7DB8">
              <w:rPr>
                <w:noProof/>
                <w:webHidden/>
              </w:rPr>
              <w:fldChar w:fldCharType="end"/>
            </w:r>
          </w:hyperlink>
        </w:p>
        <w:p w14:paraId="468B78E3" w14:textId="402F3BF9" w:rsidR="00DD7DB8" w:rsidRDefault="00306DCB">
          <w:pPr>
            <w:pStyle w:val="TOC2"/>
            <w:tabs>
              <w:tab w:val="right" w:leader="dot" w:pos="9016"/>
            </w:tabs>
            <w:rPr>
              <w:rFonts w:eastAsiaTheme="minorEastAsia"/>
              <w:noProof/>
              <w:lang w:eastAsia="en-GB"/>
            </w:rPr>
          </w:pPr>
          <w:hyperlink w:anchor="_Toc233834459" w:history="1">
            <w:r w:rsidR="00DD7DB8" w:rsidRPr="00E46707">
              <w:rPr>
                <w:rStyle w:val="Hyperlink"/>
                <w:noProof/>
              </w:rPr>
              <w:t>Work Breakdown Structure (WBS)</w:t>
            </w:r>
            <w:r w:rsidR="00DD7DB8">
              <w:rPr>
                <w:noProof/>
                <w:webHidden/>
              </w:rPr>
              <w:tab/>
            </w:r>
            <w:r w:rsidR="00DD7DB8">
              <w:rPr>
                <w:noProof/>
                <w:webHidden/>
              </w:rPr>
              <w:fldChar w:fldCharType="begin"/>
            </w:r>
            <w:r w:rsidR="00DD7DB8">
              <w:rPr>
                <w:noProof/>
                <w:webHidden/>
              </w:rPr>
              <w:instrText xml:space="preserve"> PAGEREF _Toc233834459 \h </w:instrText>
            </w:r>
            <w:r w:rsidR="00DD7DB8">
              <w:rPr>
                <w:noProof/>
                <w:webHidden/>
              </w:rPr>
            </w:r>
            <w:r w:rsidR="00DD7DB8">
              <w:rPr>
                <w:noProof/>
                <w:webHidden/>
              </w:rPr>
              <w:fldChar w:fldCharType="separate"/>
            </w:r>
            <w:r w:rsidR="00DD7DB8">
              <w:rPr>
                <w:noProof/>
                <w:webHidden/>
              </w:rPr>
              <w:t>8</w:t>
            </w:r>
            <w:r w:rsidR="00DD7DB8">
              <w:rPr>
                <w:noProof/>
                <w:webHidden/>
              </w:rPr>
              <w:fldChar w:fldCharType="end"/>
            </w:r>
          </w:hyperlink>
        </w:p>
        <w:p w14:paraId="6FA97853" w14:textId="5A502F6E" w:rsidR="00DD7DB8" w:rsidRDefault="00306DCB">
          <w:pPr>
            <w:pStyle w:val="TOC2"/>
            <w:tabs>
              <w:tab w:val="right" w:leader="dot" w:pos="9016"/>
            </w:tabs>
            <w:rPr>
              <w:rFonts w:eastAsiaTheme="minorEastAsia"/>
              <w:noProof/>
              <w:lang w:eastAsia="en-GB"/>
            </w:rPr>
          </w:pPr>
          <w:hyperlink w:anchor="_Toc233834460" w:history="1">
            <w:r w:rsidR="00DD7DB8" w:rsidRPr="00E46707">
              <w:rPr>
                <w:rStyle w:val="Hyperlink"/>
                <w:noProof/>
              </w:rPr>
              <w:t>Gantt Chart</w:t>
            </w:r>
            <w:r w:rsidR="00DD7DB8">
              <w:rPr>
                <w:noProof/>
                <w:webHidden/>
              </w:rPr>
              <w:tab/>
            </w:r>
            <w:r w:rsidR="00DD7DB8">
              <w:rPr>
                <w:noProof/>
                <w:webHidden/>
              </w:rPr>
              <w:fldChar w:fldCharType="begin"/>
            </w:r>
            <w:r w:rsidR="00DD7DB8">
              <w:rPr>
                <w:noProof/>
                <w:webHidden/>
              </w:rPr>
              <w:instrText xml:space="preserve"> PAGEREF _Toc233834460 \h </w:instrText>
            </w:r>
            <w:r w:rsidR="00DD7DB8">
              <w:rPr>
                <w:noProof/>
                <w:webHidden/>
              </w:rPr>
            </w:r>
            <w:r w:rsidR="00DD7DB8">
              <w:rPr>
                <w:noProof/>
                <w:webHidden/>
              </w:rPr>
              <w:fldChar w:fldCharType="separate"/>
            </w:r>
            <w:r w:rsidR="00DD7DB8">
              <w:rPr>
                <w:noProof/>
                <w:webHidden/>
              </w:rPr>
              <w:t>10</w:t>
            </w:r>
            <w:r w:rsidR="00DD7DB8">
              <w:rPr>
                <w:noProof/>
                <w:webHidden/>
              </w:rPr>
              <w:fldChar w:fldCharType="end"/>
            </w:r>
          </w:hyperlink>
        </w:p>
        <w:p w14:paraId="5379FC84" w14:textId="6AC13965" w:rsidR="00DD7DB8" w:rsidRDefault="00306DCB">
          <w:pPr>
            <w:pStyle w:val="TOC1"/>
            <w:tabs>
              <w:tab w:val="right" w:leader="dot" w:pos="9016"/>
            </w:tabs>
            <w:rPr>
              <w:rFonts w:eastAsiaTheme="minorEastAsia"/>
              <w:noProof/>
              <w:lang w:eastAsia="en-GB"/>
            </w:rPr>
          </w:pPr>
          <w:hyperlink w:anchor="_Toc233834461" w:history="1">
            <w:r w:rsidR="00DD7DB8" w:rsidRPr="00E46707">
              <w:rPr>
                <w:rStyle w:val="Hyperlink"/>
                <w:noProof/>
              </w:rPr>
              <w:t>6. Monitoring and Evaluation Throughout the Project Lifecycle</w:t>
            </w:r>
            <w:r w:rsidR="00DD7DB8">
              <w:rPr>
                <w:noProof/>
                <w:webHidden/>
              </w:rPr>
              <w:tab/>
            </w:r>
            <w:r w:rsidR="00DD7DB8">
              <w:rPr>
                <w:noProof/>
                <w:webHidden/>
              </w:rPr>
              <w:fldChar w:fldCharType="begin"/>
            </w:r>
            <w:r w:rsidR="00DD7DB8">
              <w:rPr>
                <w:noProof/>
                <w:webHidden/>
              </w:rPr>
              <w:instrText xml:space="preserve"> PAGEREF _Toc233834461 \h </w:instrText>
            </w:r>
            <w:r w:rsidR="00DD7DB8">
              <w:rPr>
                <w:noProof/>
                <w:webHidden/>
              </w:rPr>
            </w:r>
            <w:r w:rsidR="00DD7DB8">
              <w:rPr>
                <w:noProof/>
                <w:webHidden/>
              </w:rPr>
              <w:fldChar w:fldCharType="separate"/>
            </w:r>
            <w:r w:rsidR="00DD7DB8">
              <w:rPr>
                <w:noProof/>
                <w:webHidden/>
              </w:rPr>
              <w:t>11</w:t>
            </w:r>
            <w:r w:rsidR="00DD7DB8">
              <w:rPr>
                <w:noProof/>
                <w:webHidden/>
              </w:rPr>
              <w:fldChar w:fldCharType="end"/>
            </w:r>
          </w:hyperlink>
        </w:p>
        <w:p w14:paraId="09D9313E" w14:textId="320AF2FD" w:rsidR="00DD7DB8" w:rsidRDefault="00306DCB">
          <w:pPr>
            <w:pStyle w:val="TOC1"/>
            <w:tabs>
              <w:tab w:val="right" w:leader="dot" w:pos="9016"/>
            </w:tabs>
            <w:rPr>
              <w:rFonts w:eastAsiaTheme="minorEastAsia"/>
              <w:noProof/>
              <w:lang w:eastAsia="en-GB"/>
            </w:rPr>
          </w:pPr>
          <w:hyperlink w:anchor="_Toc233834462" w:history="1">
            <w:r w:rsidR="00DD7DB8" w:rsidRPr="00E46707">
              <w:rPr>
                <w:rStyle w:val="Hyperlink"/>
                <w:noProof/>
              </w:rPr>
              <w:t>7. Recommendations for Future Projects</w:t>
            </w:r>
            <w:r w:rsidR="00DD7DB8">
              <w:rPr>
                <w:noProof/>
                <w:webHidden/>
              </w:rPr>
              <w:tab/>
            </w:r>
            <w:r w:rsidR="00DD7DB8">
              <w:rPr>
                <w:noProof/>
                <w:webHidden/>
              </w:rPr>
              <w:fldChar w:fldCharType="begin"/>
            </w:r>
            <w:r w:rsidR="00DD7DB8">
              <w:rPr>
                <w:noProof/>
                <w:webHidden/>
              </w:rPr>
              <w:instrText xml:space="preserve"> PAGEREF _Toc233834462 \h </w:instrText>
            </w:r>
            <w:r w:rsidR="00DD7DB8">
              <w:rPr>
                <w:noProof/>
                <w:webHidden/>
              </w:rPr>
            </w:r>
            <w:r w:rsidR="00DD7DB8">
              <w:rPr>
                <w:noProof/>
                <w:webHidden/>
              </w:rPr>
              <w:fldChar w:fldCharType="separate"/>
            </w:r>
            <w:r w:rsidR="00DD7DB8">
              <w:rPr>
                <w:noProof/>
                <w:webHidden/>
              </w:rPr>
              <w:t>12</w:t>
            </w:r>
            <w:r w:rsidR="00DD7DB8">
              <w:rPr>
                <w:noProof/>
                <w:webHidden/>
              </w:rPr>
              <w:fldChar w:fldCharType="end"/>
            </w:r>
          </w:hyperlink>
        </w:p>
        <w:p w14:paraId="6C42D077" w14:textId="175A02CF" w:rsidR="00DD7DB8" w:rsidRDefault="00306DCB">
          <w:pPr>
            <w:pStyle w:val="TOC1"/>
            <w:tabs>
              <w:tab w:val="right" w:leader="dot" w:pos="9016"/>
            </w:tabs>
            <w:rPr>
              <w:rFonts w:eastAsiaTheme="minorEastAsia"/>
              <w:noProof/>
              <w:lang w:eastAsia="en-GB"/>
            </w:rPr>
          </w:pPr>
          <w:hyperlink w:anchor="_Toc233834463" w:history="1">
            <w:r w:rsidR="00DD7DB8" w:rsidRPr="00E46707">
              <w:rPr>
                <w:rStyle w:val="Hyperlink"/>
                <w:noProof/>
              </w:rPr>
              <w:t>8. Conclusion</w:t>
            </w:r>
            <w:r w:rsidR="00DD7DB8">
              <w:rPr>
                <w:noProof/>
                <w:webHidden/>
              </w:rPr>
              <w:tab/>
            </w:r>
            <w:r w:rsidR="00DD7DB8">
              <w:rPr>
                <w:noProof/>
                <w:webHidden/>
              </w:rPr>
              <w:fldChar w:fldCharType="begin"/>
            </w:r>
            <w:r w:rsidR="00DD7DB8">
              <w:rPr>
                <w:noProof/>
                <w:webHidden/>
              </w:rPr>
              <w:instrText xml:space="preserve"> PAGEREF _Toc233834463 \h </w:instrText>
            </w:r>
            <w:r w:rsidR="00DD7DB8">
              <w:rPr>
                <w:noProof/>
                <w:webHidden/>
              </w:rPr>
            </w:r>
            <w:r w:rsidR="00DD7DB8">
              <w:rPr>
                <w:noProof/>
                <w:webHidden/>
              </w:rPr>
              <w:fldChar w:fldCharType="separate"/>
            </w:r>
            <w:r w:rsidR="00DD7DB8">
              <w:rPr>
                <w:noProof/>
                <w:webHidden/>
              </w:rPr>
              <w:t>13</w:t>
            </w:r>
            <w:r w:rsidR="00DD7DB8">
              <w:rPr>
                <w:noProof/>
                <w:webHidden/>
              </w:rPr>
              <w:fldChar w:fldCharType="end"/>
            </w:r>
          </w:hyperlink>
        </w:p>
        <w:p w14:paraId="5A44673B" w14:textId="25045554" w:rsidR="00DD7DB8" w:rsidRDefault="00306DCB">
          <w:pPr>
            <w:pStyle w:val="TOC1"/>
            <w:tabs>
              <w:tab w:val="right" w:leader="dot" w:pos="9016"/>
            </w:tabs>
            <w:rPr>
              <w:rFonts w:eastAsiaTheme="minorEastAsia"/>
              <w:noProof/>
              <w:lang w:eastAsia="en-GB"/>
            </w:rPr>
          </w:pPr>
          <w:hyperlink w:anchor="_Toc233834464" w:history="1">
            <w:r w:rsidR="00DD7DB8" w:rsidRPr="00E46707">
              <w:rPr>
                <w:rStyle w:val="Hyperlink"/>
                <w:noProof/>
              </w:rPr>
              <w:t>Reference list:</w:t>
            </w:r>
            <w:r w:rsidR="00DD7DB8">
              <w:rPr>
                <w:noProof/>
                <w:webHidden/>
              </w:rPr>
              <w:tab/>
            </w:r>
            <w:r w:rsidR="00DD7DB8">
              <w:rPr>
                <w:noProof/>
                <w:webHidden/>
              </w:rPr>
              <w:fldChar w:fldCharType="begin"/>
            </w:r>
            <w:r w:rsidR="00DD7DB8">
              <w:rPr>
                <w:noProof/>
                <w:webHidden/>
              </w:rPr>
              <w:instrText xml:space="preserve"> PAGEREF _Toc233834464 \h </w:instrText>
            </w:r>
            <w:r w:rsidR="00DD7DB8">
              <w:rPr>
                <w:noProof/>
                <w:webHidden/>
              </w:rPr>
            </w:r>
            <w:r w:rsidR="00DD7DB8">
              <w:rPr>
                <w:noProof/>
                <w:webHidden/>
              </w:rPr>
              <w:fldChar w:fldCharType="separate"/>
            </w:r>
            <w:r w:rsidR="00DD7DB8">
              <w:rPr>
                <w:noProof/>
                <w:webHidden/>
              </w:rPr>
              <w:t>14</w:t>
            </w:r>
            <w:r w:rsidR="00DD7DB8">
              <w:rPr>
                <w:noProof/>
                <w:webHidden/>
              </w:rPr>
              <w:fldChar w:fldCharType="end"/>
            </w:r>
          </w:hyperlink>
        </w:p>
        <w:p w14:paraId="5A21243C" w14:textId="0D3921F8" w:rsidR="00D10C94" w:rsidRDefault="00D10C94">
          <w:r>
            <w:rPr>
              <w:b/>
              <w:bCs/>
              <w:noProof/>
            </w:rPr>
            <w:fldChar w:fldCharType="end"/>
          </w:r>
        </w:p>
      </w:sdtContent>
    </w:sdt>
    <w:p w14:paraId="0F6DA2CB" w14:textId="7C0AF1BA" w:rsidR="001F4780" w:rsidRDefault="001F4780" w:rsidP="00836E6C"/>
    <w:p w14:paraId="4AE85E50" w14:textId="632E65C8" w:rsidR="001F4780" w:rsidRDefault="001F4780" w:rsidP="00836E6C"/>
    <w:p w14:paraId="214A0D2E" w14:textId="30E8681E" w:rsidR="001F4780" w:rsidRDefault="001F4780" w:rsidP="00836E6C"/>
    <w:p w14:paraId="5EEF0889" w14:textId="13274E1B" w:rsidR="001F4780" w:rsidRDefault="001F4780" w:rsidP="00836E6C"/>
    <w:p w14:paraId="65EC2F95" w14:textId="30EA55CD" w:rsidR="001F4780" w:rsidRDefault="001F4780" w:rsidP="00836E6C"/>
    <w:p w14:paraId="28EA57D1" w14:textId="4137A532" w:rsidR="001F4780" w:rsidRDefault="001F4780" w:rsidP="00836E6C"/>
    <w:p w14:paraId="0EC958D1" w14:textId="5D6101BF" w:rsidR="001F4780" w:rsidRDefault="001F4780" w:rsidP="00836E6C"/>
    <w:p w14:paraId="6D8CE296" w14:textId="50DD8B67" w:rsidR="001F4780" w:rsidRDefault="001F4780" w:rsidP="00836E6C"/>
    <w:p w14:paraId="5E39D272" w14:textId="6B4B4C0F" w:rsidR="001F4780" w:rsidRDefault="001F4780" w:rsidP="00836E6C"/>
    <w:p w14:paraId="42B1C3D3" w14:textId="38B2508B" w:rsidR="001F4780" w:rsidRDefault="001F4780" w:rsidP="00836E6C"/>
    <w:p w14:paraId="2BC8A4A3" w14:textId="4B60C746" w:rsidR="001F4780" w:rsidRDefault="001F4780" w:rsidP="00836E6C"/>
    <w:p w14:paraId="5AC99BE6" w14:textId="036EADBC" w:rsidR="001F4780" w:rsidRDefault="001F4780" w:rsidP="00836E6C"/>
    <w:p w14:paraId="480BBD58" w14:textId="056BADB7" w:rsidR="001F4780" w:rsidRDefault="001F4780" w:rsidP="00836E6C"/>
    <w:p w14:paraId="0EF409AB" w14:textId="4323A3D6" w:rsidR="001F4780" w:rsidRDefault="001F4780" w:rsidP="00836E6C"/>
    <w:p w14:paraId="495123DB" w14:textId="48D95D9A" w:rsidR="001F4780" w:rsidRDefault="001F4780" w:rsidP="00836E6C"/>
    <w:p w14:paraId="55E8BD01" w14:textId="5CA7A3F5" w:rsidR="001F4780" w:rsidRDefault="001F4780" w:rsidP="00836E6C"/>
    <w:p w14:paraId="2649CA9E" w14:textId="77EED65A" w:rsidR="001F4780" w:rsidRDefault="001F4780" w:rsidP="00836E6C"/>
    <w:p w14:paraId="20A23B6D" w14:textId="0ACE7A7A" w:rsidR="001F4780" w:rsidRDefault="001F4780" w:rsidP="00836E6C"/>
    <w:p w14:paraId="2E3D3E70" w14:textId="7E91174A" w:rsidR="001F4780" w:rsidRDefault="001F4780" w:rsidP="00836E6C"/>
    <w:p w14:paraId="540D5845" w14:textId="77777777" w:rsidR="00D00267" w:rsidRDefault="00D00267" w:rsidP="00836E6C">
      <w:pPr>
        <w:rPr>
          <w:rStyle w:val="Heading1Char"/>
        </w:rPr>
      </w:pPr>
    </w:p>
    <w:p w14:paraId="65B22C7E" w14:textId="77777777" w:rsidR="00D00267" w:rsidRDefault="001F4780" w:rsidP="00836E6C">
      <w:pPr>
        <w:rPr>
          <w:rStyle w:val="Heading1Char"/>
        </w:rPr>
      </w:pPr>
      <w:bookmarkStart w:id="0" w:name="_Toc233834453"/>
      <w:r w:rsidRPr="00431E77">
        <w:rPr>
          <w:rStyle w:val="Heading1Char"/>
        </w:rPr>
        <w:t>Executive summary:</w:t>
      </w:r>
      <w:bookmarkEnd w:id="0"/>
    </w:p>
    <w:p w14:paraId="5688198F" w14:textId="139D7CC8" w:rsidR="00D00267" w:rsidRPr="00D00267" w:rsidRDefault="001F4780" w:rsidP="00D00267">
      <w:pPr>
        <w:pStyle w:val="isselectedend"/>
        <w:rPr>
          <w:rFonts w:ascii="Arial" w:hAnsi="Arial" w:cs="Arial"/>
          <w:sz w:val="22"/>
          <w:szCs w:val="22"/>
        </w:rPr>
      </w:pPr>
      <w:r w:rsidRPr="00431E77">
        <w:br/>
      </w:r>
      <w:r w:rsidRPr="00431E77">
        <w:br/>
      </w:r>
      <w:r w:rsidR="00D00267" w:rsidRPr="00D00267">
        <w:rPr>
          <w:rFonts w:ascii="Arial" w:hAnsi="Arial" w:cs="Arial"/>
          <w:sz w:val="22"/>
          <w:szCs w:val="22"/>
        </w:rPr>
        <w:t xml:space="preserve">This report critically evaluates the management of the St Thomas Church Food Donation Project, </w:t>
      </w:r>
      <w:r w:rsidR="00E20785" w:rsidRPr="00D00267">
        <w:rPr>
          <w:rFonts w:ascii="Arial" w:hAnsi="Arial" w:cs="Arial"/>
          <w:sz w:val="22"/>
          <w:szCs w:val="22"/>
        </w:rPr>
        <w:t>an</w:t>
      </w:r>
      <w:r w:rsidR="00D00267" w:rsidRPr="00D00267">
        <w:rPr>
          <w:rFonts w:ascii="Arial" w:hAnsi="Arial" w:cs="Arial"/>
          <w:sz w:val="22"/>
          <w:szCs w:val="22"/>
        </w:rPr>
        <w:t xml:space="preserve"> initiative designed to support individuals and families experiencing food insecurity. The project aimed to collect</w:t>
      </w:r>
      <w:r w:rsidR="00973F7F">
        <w:rPr>
          <w:rFonts w:ascii="Arial" w:hAnsi="Arial" w:cs="Arial"/>
          <w:sz w:val="22"/>
          <w:szCs w:val="22"/>
        </w:rPr>
        <w:t xml:space="preserve"> approximately</w:t>
      </w:r>
      <w:r w:rsidR="00D00267" w:rsidRPr="00D00267">
        <w:rPr>
          <w:rFonts w:ascii="Arial" w:hAnsi="Arial" w:cs="Arial"/>
          <w:sz w:val="22"/>
          <w:szCs w:val="22"/>
        </w:rPr>
        <w:t xml:space="preserve"> 30–50 non-perishable food items within a £100–£300 budget and complete delivery within a four-week timeframe. Following consultation with St Thomas Church, the team identified a local need and developed a practical response supported by community donations and Tesco</w:t>
      </w:r>
      <w:r w:rsidR="00973F7F">
        <w:rPr>
          <w:rFonts w:ascii="Arial" w:hAnsi="Arial" w:cs="Arial"/>
          <w:sz w:val="22"/>
          <w:szCs w:val="22"/>
        </w:rPr>
        <w:t xml:space="preserve"> management</w:t>
      </w:r>
      <w:r w:rsidR="00D00267" w:rsidRPr="00D00267">
        <w:rPr>
          <w:rFonts w:ascii="Arial" w:hAnsi="Arial" w:cs="Arial"/>
          <w:sz w:val="22"/>
          <w:szCs w:val="22"/>
        </w:rPr>
        <w:t xml:space="preserve"> through discounts and vouchers.</w:t>
      </w:r>
    </w:p>
    <w:p w14:paraId="3E495885" w14:textId="77777777" w:rsidR="00D00267" w:rsidRPr="00D00267" w:rsidRDefault="00D00267" w:rsidP="00D00267">
      <w:pPr>
        <w:pStyle w:val="isselectedend"/>
        <w:rPr>
          <w:rFonts w:ascii="Arial" w:hAnsi="Arial" w:cs="Arial"/>
          <w:sz w:val="22"/>
          <w:szCs w:val="22"/>
        </w:rPr>
      </w:pPr>
      <w:r w:rsidRPr="00D00267">
        <w:rPr>
          <w:rFonts w:ascii="Arial" w:hAnsi="Arial" w:cs="Arial"/>
          <w:sz w:val="22"/>
          <w:szCs w:val="22"/>
        </w:rPr>
        <w:t>The report examines the project lifecycle, including group formation, project initiation, scope management, stakeholder engagement, communication, project management tools, monitoring and evaluation, and lessons learned. The analysis highlights the use of traditional project management techniques, particularly the Work Breakdown Structure (WBS) and Gantt chart, which supported task organisation, scheduling and accountability. However, the project demonstrated that such tools must be combined with flexibility, effective communication and stakeholder collaboration to respond to uncertainty.</w:t>
      </w:r>
    </w:p>
    <w:p w14:paraId="1ED5AA6E" w14:textId="77777777" w:rsidR="00D00267" w:rsidRPr="00D00267" w:rsidRDefault="00D00267" w:rsidP="00D00267">
      <w:pPr>
        <w:pStyle w:val="isselectedend"/>
        <w:rPr>
          <w:rFonts w:ascii="Arial" w:hAnsi="Arial" w:cs="Arial"/>
          <w:sz w:val="22"/>
          <w:szCs w:val="22"/>
        </w:rPr>
      </w:pPr>
      <w:r w:rsidRPr="00D00267">
        <w:rPr>
          <w:rFonts w:ascii="Arial" w:hAnsi="Arial" w:cs="Arial"/>
          <w:sz w:val="22"/>
          <w:szCs w:val="22"/>
        </w:rPr>
        <w:t>Key challenges included the initial consideration of unrealistic project ideas, reliance on informal communication methods and dependency on external stakeholders. These experiences highlighted the importance of feasibility analysis, structured communication and proactive risk management. The project was successful in achieving its objectives due to strong teamwork, shared commitment and effective stakeholder support.</w:t>
      </w:r>
    </w:p>
    <w:p w14:paraId="1E12D0C9" w14:textId="77777777" w:rsidR="00C771C1" w:rsidRDefault="00D00267" w:rsidP="00D00267">
      <w:pPr>
        <w:pStyle w:val="NormalWeb"/>
        <w:rPr>
          <w:rFonts w:ascii="Arial" w:hAnsi="Arial" w:cs="Arial"/>
          <w:sz w:val="22"/>
          <w:szCs w:val="22"/>
        </w:rPr>
      </w:pPr>
      <w:r w:rsidRPr="00D00267">
        <w:rPr>
          <w:rFonts w:ascii="Arial" w:hAnsi="Arial" w:cs="Arial"/>
          <w:sz w:val="22"/>
          <w:szCs w:val="22"/>
        </w:rPr>
        <w:t xml:space="preserve">The report concludes that successful community project management extends beyond meeting time, cost and scope constraints. </w:t>
      </w:r>
    </w:p>
    <w:p w14:paraId="05F7F5B6" w14:textId="4F62D85A" w:rsidR="00D00267" w:rsidRPr="00D00267" w:rsidRDefault="00D00267" w:rsidP="00D00267">
      <w:pPr>
        <w:pStyle w:val="NormalWeb"/>
        <w:rPr>
          <w:rFonts w:ascii="Arial" w:hAnsi="Arial" w:cs="Arial"/>
          <w:sz w:val="22"/>
          <w:szCs w:val="22"/>
        </w:rPr>
      </w:pPr>
      <w:r w:rsidRPr="00D00267">
        <w:rPr>
          <w:rFonts w:ascii="Arial" w:hAnsi="Arial" w:cs="Arial"/>
          <w:sz w:val="22"/>
          <w:szCs w:val="22"/>
        </w:rPr>
        <w:t>Future projects would benefit from earlier feasibility assessment, formal communication strategies, wider stakeholder involvement and stronger contingency planning to improve resilience and long-term social impact.</w:t>
      </w:r>
    </w:p>
    <w:p w14:paraId="531F0A3A" w14:textId="1499FFFE" w:rsidR="001F4780" w:rsidRPr="00431E77" w:rsidRDefault="001F4780" w:rsidP="00D00267"/>
    <w:p w14:paraId="4939CD11" w14:textId="77777777" w:rsidR="001F4780" w:rsidRPr="00431E77" w:rsidRDefault="001F4780" w:rsidP="00836E6C"/>
    <w:p w14:paraId="547665CA" w14:textId="77777777" w:rsidR="001F4780" w:rsidRPr="00431E77" w:rsidRDefault="001F4780" w:rsidP="00836E6C"/>
    <w:p w14:paraId="78976192" w14:textId="77777777" w:rsidR="001F4780" w:rsidRPr="00431E77" w:rsidRDefault="001F4780" w:rsidP="00836E6C"/>
    <w:p w14:paraId="715B87D4" w14:textId="77777777" w:rsidR="001F4780" w:rsidRPr="00431E77" w:rsidRDefault="001F4780" w:rsidP="00836E6C"/>
    <w:p w14:paraId="67CC17F4" w14:textId="77777777" w:rsidR="001F4780" w:rsidRPr="00431E77" w:rsidRDefault="001F4780" w:rsidP="00836E6C"/>
    <w:p w14:paraId="2B1B4269" w14:textId="77777777" w:rsidR="001F4780" w:rsidRPr="00431E77" w:rsidRDefault="001F4780" w:rsidP="00836E6C"/>
    <w:p w14:paraId="68CAE89B" w14:textId="77777777" w:rsidR="001F4780" w:rsidRPr="00431E77" w:rsidRDefault="001F4780" w:rsidP="00836E6C"/>
    <w:p w14:paraId="0086FAEB" w14:textId="77777777" w:rsidR="001F4780" w:rsidRPr="00431E77" w:rsidRDefault="001F4780" w:rsidP="00836E6C"/>
    <w:p w14:paraId="126CD06E" w14:textId="6F2D938A" w:rsidR="00836E6C" w:rsidRPr="00431E77" w:rsidRDefault="00836E6C" w:rsidP="00431E77">
      <w:pPr>
        <w:pStyle w:val="Heading1"/>
      </w:pPr>
      <w:r w:rsidRPr="00431E77">
        <w:lastRenderedPageBreak/>
        <w:br/>
      </w:r>
      <w:bookmarkStart w:id="1" w:name="_Toc233834454"/>
      <w:r w:rsidRPr="00431E77">
        <w:t>1. Introduction</w:t>
      </w:r>
      <w:r w:rsidR="00007111" w:rsidRPr="00431E77">
        <w:t xml:space="preserve"> to Saint Thomas Church Food donation Project.</w:t>
      </w:r>
      <w:bookmarkEnd w:id="1"/>
    </w:p>
    <w:p w14:paraId="222E5C5B" w14:textId="77777777" w:rsidR="00AA331C" w:rsidRPr="00431E77" w:rsidRDefault="00AA331C" w:rsidP="00836E6C">
      <w:pPr>
        <w:rPr>
          <w:b/>
          <w:bCs/>
        </w:rPr>
      </w:pPr>
    </w:p>
    <w:p w14:paraId="49863347" w14:textId="77777777" w:rsidR="00D00267" w:rsidRDefault="00836E6C" w:rsidP="00836E6C">
      <w:pPr>
        <w:rPr>
          <w:rFonts w:ascii="Arial" w:hAnsi="Arial" w:cs="Arial"/>
        </w:rPr>
      </w:pPr>
      <w:r w:rsidRPr="00431E77">
        <w:rPr>
          <w:rFonts w:ascii="Arial" w:hAnsi="Arial" w:cs="Arial"/>
        </w:rPr>
        <w:t xml:space="preserve">Project management involves the application of knowledge, skills and techniques to achieve specific objectives within agreed constraints of time, cost and </w:t>
      </w:r>
      <w:r w:rsidR="00374928" w:rsidRPr="00431E77">
        <w:rPr>
          <w:rFonts w:ascii="Arial" w:hAnsi="Arial" w:cs="Arial"/>
        </w:rPr>
        <w:t>quality.</w:t>
      </w:r>
      <w:r w:rsidRPr="00431E77">
        <w:rPr>
          <w:rFonts w:ascii="Arial" w:hAnsi="Arial" w:cs="Arial"/>
        </w:rPr>
        <w:t xml:space="preserve"> Effective project management is particularly important in community-based initiatives where resources are </w:t>
      </w:r>
      <w:r w:rsidR="00954FF7" w:rsidRPr="00431E77">
        <w:rPr>
          <w:rFonts w:ascii="Arial" w:hAnsi="Arial" w:cs="Arial"/>
        </w:rPr>
        <w:t>limited,</w:t>
      </w:r>
      <w:r w:rsidRPr="00431E77">
        <w:rPr>
          <w:rFonts w:ascii="Arial" w:hAnsi="Arial" w:cs="Arial"/>
        </w:rPr>
        <w:t xml:space="preserve"> and stakeholder expectations are diverse</w:t>
      </w:r>
      <w:r w:rsidR="00C55D68" w:rsidRPr="00431E77">
        <w:rPr>
          <w:rFonts w:ascii="Arial" w:hAnsi="Arial" w:cs="Arial"/>
        </w:rPr>
        <w:t xml:space="preserve"> (</w:t>
      </w:r>
      <w:proofErr w:type="spellStart"/>
      <w:r w:rsidR="00C55D68" w:rsidRPr="00431E77">
        <w:rPr>
          <w:rFonts w:ascii="Arial" w:hAnsi="Arial" w:cs="Arial"/>
        </w:rPr>
        <w:t>Joos</w:t>
      </w:r>
      <w:proofErr w:type="spellEnd"/>
      <w:r w:rsidR="00C55D68" w:rsidRPr="00431E77">
        <w:rPr>
          <w:rFonts w:ascii="Arial" w:hAnsi="Arial" w:cs="Arial"/>
        </w:rPr>
        <w:t>, et. al., 2020)</w:t>
      </w:r>
      <w:r w:rsidRPr="00431E77">
        <w:rPr>
          <w:rFonts w:ascii="Arial" w:hAnsi="Arial" w:cs="Arial"/>
        </w:rPr>
        <w:t xml:space="preserve">. </w:t>
      </w:r>
    </w:p>
    <w:p w14:paraId="15497F96" w14:textId="77B0825D" w:rsidR="00AA331C" w:rsidRPr="00431E77" w:rsidRDefault="00C55D68" w:rsidP="00836E6C">
      <w:pPr>
        <w:rPr>
          <w:rFonts w:ascii="Arial" w:hAnsi="Arial" w:cs="Arial"/>
        </w:rPr>
      </w:pPr>
      <w:r w:rsidRPr="00431E77">
        <w:rPr>
          <w:rStyle w:val="Strong"/>
          <w:rFonts w:ascii="Arial" w:hAnsi="Arial" w:cs="Arial"/>
          <w:b w:val="0"/>
          <w:bCs w:val="0"/>
        </w:rPr>
        <w:t>However, reliance on the traditional time–cost–quality framework alone has been criticised for overlooking broader measures of project success, such as stakeholder satisfaction and long-term community value</w:t>
      </w:r>
      <w:r w:rsidRPr="00431E77">
        <w:rPr>
          <w:rFonts w:ascii="Arial" w:hAnsi="Arial" w:cs="Arial"/>
          <w:b/>
          <w:bCs/>
        </w:rPr>
        <w:t xml:space="preserve"> </w:t>
      </w:r>
      <w:r w:rsidRPr="00431E77">
        <w:rPr>
          <w:rFonts w:ascii="Arial" w:hAnsi="Arial" w:cs="Arial"/>
        </w:rPr>
        <w:t>(Pereira, et al., 2021).</w:t>
      </w:r>
    </w:p>
    <w:p w14:paraId="4C0C77D5" w14:textId="77777777" w:rsidR="00D00267" w:rsidRDefault="00007111" w:rsidP="00836E6C">
      <w:pPr>
        <w:rPr>
          <w:rFonts w:ascii="Arial" w:hAnsi="Arial" w:cs="Arial"/>
        </w:rPr>
      </w:pPr>
      <w:r w:rsidRPr="00431E77">
        <w:rPr>
          <w:rFonts w:ascii="Arial" w:hAnsi="Arial" w:cs="Arial"/>
        </w:rPr>
        <w:t xml:space="preserve">The St Thomas Church Food Donation Project was established to address food insecurity by providing non-perishable food to vulnerable individuals and families (Lambie-Mumford et al., 2023). </w:t>
      </w:r>
    </w:p>
    <w:p w14:paraId="43B1EB03" w14:textId="3C6A109F" w:rsidR="00007111" w:rsidRPr="00431E77" w:rsidRDefault="00007111" w:rsidP="00836E6C">
      <w:pPr>
        <w:rPr>
          <w:rFonts w:ascii="Arial" w:hAnsi="Arial" w:cs="Arial"/>
        </w:rPr>
      </w:pPr>
      <w:r w:rsidRPr="00431E77">
        <w:rPr>
          <w:rFonts w:ascii="Arial" w:hAnsi="Arial" w:cs="Arial"/>
        </w:rPr>
        <w:t>Following consultation with St Thomas Church, the group identified this need and organised a food donation initiative, supported by community contributions and Tesco through discounts and vouchers.</w:t>
      </w:r>
      <w:r w:rsidR="005830F1" w:rsidRPr="00431E77">
        <w:rPr>
          <w:rFonts w:ascii="Arial" w:hAnsi="Arial" w:cs="Arial"/>
        </w:rPr>
        <w:br/>
      </w:r>
    </w:p>
    <w:p w14:paraId="5190A7D8" w14:textId="022AE16C" w:rsidR="00836E6C" w:rsidRPr="00431E77" w:rsidRDefault="005830F1" w:rsidP="00836E6C">
      <w:pPr>
        <w:rPr>
          <w:rFonts w:ascii="Arial" w:hAnsi="Arial" w:cs="Arial"/>
        </w:rPr>
      </w:pPr>
      <w:r w:rsidRPr="00431E77">
        <w:rPr>
          <w:rFonts w:ascii="Arial" w:hAnsi="Arial" w:cs="Arial"/>
        </w:rPr>
        <w:t xml:space="preserve">The project aimed to support local people experiencing food insecurity by collecting 30–50 food items within a £100–£300 budget over four weeks. This report critically evaluates the project lifecycle, recognising that project success extends beyond meeting time, cost and scope constraints to include stakeholder value and continuous learning for future practice (Pereira, </w:t>
      </w:r>
      <w:proofErr w:type="spellStart"/>
      <w:r w:rsidRPr="00431E77">
        <w:rPr>
          <w:rFonts w:ascii="Arial" w:hAnsi="Arial" w:cs="Arial"/>
        </w:rPr>
        <w:t>Varajão</w:t>
      </w:r>
      <w:proofErr w:type="spellEnd"/>
      <w:r w:rsidRPr="00431E77">
        <w:rPr>
          <w:rFonts w:ascii="Arial" w:hAnsi="Arial" w:cs="Arial"/>
        </w:rPr>
        <w:t xml:space="preserve"> and Takagi, 2021).</w:t>
      </w:r>
    </w:p>
    <w:p w14:paraId="7EA1F435" w14:textId="77777777" w:rsidR="00AA331C" w:rsidRPr="00431E77" w:rsidRDefault="00AA331C" w:rsidP="00836E6C"/>
    <w:p w14:paraId="164E2C87" w14:textId="77777777" w:rsidR="00AA331C" w:rsidRPr="00431E77" w:rsidRDefault="00AA331C" w:rsidP="00836E6C"/>
    <w:p w14:paraId="6AF3B7B2" w14:textId="77777777" w:rsidR="00AA331C" w:rsidRPr="00431E77" w:rsidRDefault="00AA331C" w:rsidP="00836E6C"/>
    <w:p w14:paraId="4BC92A81" w14:textId="77777777" w:rsidR="00AA331C" w:rsidRPr="00431E77" w:rsidRDefault="00AA331C" w:rsidP="00836E6C"/>
    <w:p w14:paraId="156A348B" w14:textId="77777777" w:rsidR="00AA331C" w:rsidRPr="00431E77" w:rsidRDefault="00AA331C" w:rsidP="00836E6C"/>
    <w:p w14:paraId="7611370A" w14:textId="77777777" w:rsidR="00AA331C" w:rsidRPr="00431E77" w:rsidRDefault="00AA331C" w:rsidP="00836E6C"/>
    <w:p w14:paraId="062B4F5C" w14:textId="77777777" w:rsidR="00AA331C" w:rsidRPr="00431E77" w:rsidRDefault="00AA331C" w:rsidP="00836E6C"/>
    <w:p w14:paraId="228D931F" w14:textId="77777777" w:rsidR="00AA331C" w:rsidRPr="00431E77" w:rsidRDefault="00AA331C" w:rsidP="00836E6C"/>
    <w:p w14:paraId="57386734" w14:textId="77777777" w:rsidR="00AA331C" w:rsidRPr="00431E77" w:rsidRDefault="00AA331C" w:rsidP="00836E6C"/>
    <w:p w14:paraId="79A4F27E" w14:textId="77777777" w:rsidR="00AA331C" w:rsidRPr="00431E77" w:rsidRDefault="00AA331C" w:rsidP="00836E6C"/>
    <w:p w14:paraId="05B585E3" w14:textId="25126860" w:rsidR="00AA331C" w:rsidRPr="00431E77" w:rsidRDefault="00AA331C" w:rsidP="00836E6C"/>
    <w:p w14:paraId="4E3AE9BD" w14:textId="4525E0B6" w:rsidR="005830F1" w:rsidRPr="00431E77" w:rsidRDefault="005830F1" w:rsidP="00836E6C"/>
    <w:p w14:paraId="255FE7D6" w14:textId="77777777" w:rsidR="00AA331C" w:rsidRPr="00431E77" w:rsidRDefault="00AA331C" w:rsidP="00836E6C"/>
    <w:p w14:paraId="3583DDD7" w14:textId="77777777" w:rsidR="00836E6C" w:rsidRPr="00431E77" w:rsidRDefault="00836E6C" w:rsidP="00431E77">
      <w:pPr>
        <w:pStyle w:val="Heading1"/>
      </w:pPr>
      <w:bookmarkStart w:id="2" w:name="_Toc233834455"/>
      <w:r w:rsidRPr="00431E77">
        <w:lastRenderedPageBreak/>
        <w:t>2. Group Formation and Project Initiation</w:t>
      </w:r>
      <w:bookmarkEnd w:id="2"/>
    </w:p>
    <w:p w14:paraId="1F9BF870" w14:textId="77777777" w:rsidR="00AA331C" w:rsidRPr="00431E77" w:rsidRDefault="00AA331C" w:rsidP="00836E6C">
      <w:pPr>
        <w:rPr>
          <w:b/>
          <w:bCs/>
        </w:rPr>
      </w:pPr>
    </w:p>
    <w:p w14:paraId="3E9300F8" w14:textId="77777777" w:rsidR="001F4780" w:rsidRPr="00D00267" w:rsidRDefault="001F4780" w:rsidP="001F4780">
      <w:pPr>
        <w:pStyle w:val="isselectedend"/>
        <w:rPr>
          <w:rFonts w:ascii="Arial" w:hAnsi="Arial" w:cs="Arial"/>
          <w:sz w:val="22"/>
          <w:szCs w:val="22"/>
        </w:rPr>
      </w:pPr>
      <w:r w:rsidRPr="00D00267">
        <w:rPr>
          <w:rFonts w:ascii="Arial" w:hAnsi="Arial" w:cs="Arial"/>
          <w:sz w:val="22"/>
          <w:szCs w:val="22"/>
        </w:rPr>
        <w:t xml:space="preserve">The project team consisted of five mature students: Claudiu, </w:t>
      </w:r>
      <w:proofErr w:type="spellStart"/>
      <w:r w:rsidRPr="00D00267">
        <w:rPr>
          <w:rFonts w:ascii="Arial" w:hAnsi="Arial" w:cs="Arial"/>
          <w:sz w:val="22"/>
          <w:szCs w:val="22"/>
        </w:rPr>
        <w:t>Iustina</w:t>
      </w:r>
      <w:proofErr w:type="spellEnd"/>
      <w:r w:rsidRPr="00D00267">
        <w:rPr>
          <w:rFonts w:ascii="Arial" w:hAnsi="Arial" w:cs="Arial"/>
          <w:sz w:val="22"/>
          <w:szCs w:val="22"/>
        </w:rPr>
        <w:t>, Raluca, Piotr and Dre. Despite different backgrounds, members shared common values centred on supporting the community. Following democratic discussions, Claudiu was elected group leader, which encouraged participation and commitment. However, democratic leadership can sometimes delay decision-making when quick action is required (Briscoe and Fortuna, 2024; Vroom, 2000).</w:t>
      </w:r>
    </w:p>
    <w:p w14:paraId="2898F673" w14:textId="77777777" w:rsidR="001F4780" w:rsidRPr="00D00267" w:rsidRDefault="001F4780" w:rsidP="001F4780">
      <w:pPr>
        <w:pStyle w:val="isselectedend"/>
        <w:rPr>
          <w:rFonts w:ascii="Arial" w:hAnsi="Arial" w:cs="Arial"/>
          <w:sz w:val="22"/>
          <w:szCs w:val="22"/>
        </w:rPr>
      </w:pPr>
      <w:r w:rsidRPr="00D00267">
        <w:rPr>
          <w:rFonts w:ascii="Arial" w:hAnsi="Arial" w:cs="Arial"/>
          <w:sz w:val="22"/>
          <w:szCs w:val="22"/>
        </w:rPr>
        <w:t>According to Tuckman (1965) and Kohn and Smith (2010), teams typically progress through forming, storming, norming and performing stages. The team experienced forming while developing relationships and exploring ideas, followed by storming when disagreements emerged regarding project selection. This reflects a common stage of team development where differing viewpoints influence decision-making (</w:t>
      </w:r>
      <w:proofErr w:type="spellStart"/>
      <w:r w:rsidRPr="00D00267">
        <w:rPr>
          <w:rFonts w:ascii="Arial" w:hAnsi="Arial" w:cs="Arial"/>
          <w:sz w:val="22"/>
          <w:szCs w:val="22"/>
        </w:rPr>
        <w:t>Zirar</w:t>
      </w:r>
      <w:proofErr w:type="spellEnd"/>
      <w:r w:rsidRPr="00D00267">
        <w:rPr>
          <w:rFonts w:ascii="Arial" w:hAnsi="Arial" w:cs="Arial"/>
          <w:sz w:val="22"/>
          <w:szCs w:val="22"/>
        </w:rPr>
        <w:t xml:space="preserve"> et al., 2024).</w:t>
      </w:r>
    </w:p>
    <w:p w14:paraId="51160335" w14:textId="77777777" w:rsidR="00D00267" w:rsidRDefault="001F4780" w:rsidP="001F4780">
      <w:pPr>
        <w:pStyle w:val="NormalWeb"/>
        <w:rPr>
          <w:rFonts w:ascii="Arial" w:hAnsi="Arial" w:cs="Arial"/>
          <w:sz w:val="22"/>
          <w:szCs w:val="22"/>
        </w:rPr>
      </w:pPr>
      <w:r w:rsidRPr="00D00267">
        <w:rPr>
          <w:rFonts w:ascii="Arial" w:hAnsi="Arial" w:cs="Arial"/>
          <w:sz w:val="22"/>
          <w:szCs w:val="22"/>
        </w:rPr>
        <w:t>Several ideas were considered, including volunteering initiatives, beach-cleaning and student wellbeing activities. Although socially valuable, these were rejected due to limitations in time, resources and organisational approval, demonstrating that creativity must be balanced with feasibility (</w:t>
      </w:r>
      <w:proofErr w:type="spellStart"/>
      <w:r w:rsidRPr="00D00267">
        <w:rPr>
          <w:rFonts w:ascii="Arial" w:hAnsi="Arial" w:cs="Arial"/>
          <w:sz w:val="22"/>
          <w:szCs w:val="22"/>
        </w:rPr>
        <w:t>Sarhadi</w:t>
      </w:r>
      <w:proofErr w:type="spellEnd"/>
      <w:r w:rsidRPr="00D00267">
        <w:rPr>
          <w:rFonts w:ascii="Arial" w:hAnsi="Arial" w:cs="Arial"/>
          <w:sz w:val="22"/>
          <w:szCs w:val="22"/>
        </w:rPr>
        <w:t xml:space="preserve"> et al., 2021). </w:t>
      </w:r>
    </w:p>
    <w:p w14:paraId="2EEF0803" w14:textId="77777777" w:rsidR="00D00267" w:rsidRDefault="001F4780" w:rsidP="001F4780">
      <w:pPr>
        <w:pStyle w:val="NormalWeb"/>
        <w:rPr>
          <w:rFonts w:ascii="Arial" w:hAnsi="Arial" w:cs="Arial"/>
          <w:sz w:val="22"/>
          <w:szCs w:val="22"/>
        </w:rPr>
      </w:pPr>
      <w:r w:rsidRPr="00D00267">
        <w:rPr>
          <w:rFonts w:ascii="Arial" w:hAnsi="Arial" w:cs="Arial"/>
          <w:sz w:val="22"/>
          <w:szCs w:val="22"/>
        </w:rPr>
        <w:t>The final project was selected after Raluca identified St Thomas Church as requiring support, with discussions confirming food insecurity as a key community need. The food donation initiative was achievable within four weeks and aligned with SMART principles for realistic objectives (Delisle, 2020).</w:t>
      </w:r>
    </w:p>
    <w:p w14:paraId="0F3350C7" w14:textId="231334C8" w:rsidR="001F4780" w:rsidRPr="00D00267" w:rsidRDefault="001F4780" w:rsidP="001F4780">
      <w:pPr>
        <w:pStyle w:val="NormalWeb"/>
        <w:rPr>
          <w:rFonts w:ascii="Arial" w:hAnsi="Arial" w:cs="Arial"/>
          <w:sz w:val="22"/>
          <w:szCs w:val="22"/>
        </w:rPr>
      </w:pPr>
      <w:r w:rsidRPr="00D00267">
        <w:rPr>
          <w:rFonts w:ascii="Arial" w:hAnsi="Arial" w:cs="Arial"/>
          <w:sz w:val="22"/>
          <w:szCs w:val="22"/>
        </w:rPr>
        <w:t xml:space="preserve">However, SMART objectives may overemphasise measurable outputs, meaning successful delivery also depends on stakeholder engagement, communication and understanding community needs (Raiden and King, 2021; </w:t>
      </w:r>
      <w:proofErr w:type="spellStart"/>
      <w:r w:rsidRPr="00D00267">
        <w:rPr>
          <w:rFonts w:ascii="Arial" w:hAnsi="Arial" w:cs="Arial"/>
          <w:sz w:val="22"/>
          <w:szCs w:val="22"/>
        </w:rPr>
        <w:t>Maddaloni</w:t>
      </w:r>
      <w:proofErr w:type="spellEnd"/>
      <w:r w:rsidRPr="00D00267">
        <w:rPr>
          <w:rFonts w:ascii="Arial" w:hAnsi="Arial" w:cs="Arial"/>
          <w:sz w:val="22"/>
          <w:szCs w:val="22"/>
        </w:rPr>
        <w:t xml:space="preserve"> and </w:t>
      </w:r>
      <w:proofErr w:type="spellStart"/>
      <w:r w:rsidRPr="00D00267">
        <w:rPr>
          <w:rFonts w:ascii="Arial" w:hAnsi="Arial" w:cs="Arial"/>
          <w:sz w:val="22"/>
          <w:szCs w:val="22"/>
        </w:rPr>
        <w:t>Sabini</w:t>
      </w:r>
      <w:proofErr w:type="spellEnd"/>
      <w:r w:rsidRPr="00D00267">
        <w:rPr>
          <w:rFonts w:ascii="Arial" w:hAnsi="Arial" w:cs="Arial"/>
          <w:sz w:val="22"/>
          <w:szCs w:val="22"/>
        </w:rPr>
        <w:t>, 2022).</w:t>
      </w:r>
    </w:p>
    <w:p w14:paraId="5C906C11" w14:textId="77777777" w:rsidR="00222EFE" w:rsidRPr="00431E77" w:rsidRDefault="00222EFE" w:rsidP="00836E6C"/>
    <w:p w14:paraId="1B1DD74A" w14:textId="207D5FC4" w:rsidR="00222EFE" w:rsidRPr="00431E77" w:rsidRDefault="00222EFE" w:rsidP="00836E6C"/>
    <w:p w14:paraId="04CFA5DE" w14:textId="2D1AE9F3" w:rsidR="00427191" w:rsidRPr="00431E77" w:rsidRDefault="00427191" w:rsidP="00836E6C"/>
    <w:p w14:paraId="7C8DE0DF" w14:textId="69F8C3CB" w:rsidR="00427191" w:rsidRPr="00431E77" w:rsidRDefault="00427191" w:rsidP="00836E6C"/>
    <w:p w14:paraId="077C3B76" w14:textId="4401C2E2" w:rsidR="00427191" w:rsidRPr="00431E77" w:rsidRDefault="00427191" w:rsidP="00836E6C"/>
    <w:p w14:paraId="129E279B" w14:textId="58620E12" w:rsidR="00427191" w:rsidRPr="00431E77" w:rsidRDefault="00427191" w:rsidP="00836E6C"/>
    <w:p w14:paraId="44C29B2F" w14:textId="77777777" w:rsidR="00427191" w:rsidRPr="00431E77" w:rsidRDefault="00427191" w:rsidP="00836E6C"/>
    <w:p w14:paraId="38BB0B60" w14:textId="77777777" w:rsidR="00222EFE" w:rsidRPr="00431E77" w:rsidRDefault="00222EFE" w:rsidP="00836E6C"/>
    <w:p w14:paraId="54D8D9B2" w14:textId="77777777" w:rsidR="00222EFE" w:rsidRPr="00431E77" w:rsidRDefault="00222EFE" w:rsidP="00836E6C"/>
    <w:p w14:paraId="4E872A37" w14:textId="47FA3787" w:rsidR="00472070" w:rsidRDefault="00472070" w:rsidP="00431E77">
      <w:pPr>
        <w:pStyle w:val="Heading1"/>
      </w:pPr>
      <w:r w:rsidRPr="00431E77">
        <w:lastRenderedPageBreak/>
        <w:br/>
      </w:r>
      <w:bookmarkStart w:id="3" w:name="_Toc233834456"/>
      <w:r w:rsidRPr="00431E77">
        <w:t>3. Project Scope, Objectives and Stakeholder Management</w:t>
      </w:r>
      <w:bookmarkEnd w:id="3"/>
    </w:p>
    <w:p w14:paraId="6531132D" w14:textId="77777777" w:rsidR="00D00267" w:rsidRPr="00D00267" w:rsidRDefault="00D00267" w:rsidP="00D00267"/>
    <w:p w14:paraId="5501FDF5" w14:textId="77777777" w:rsidR="00D00267" w:rsidRDefault="001F4780" w:rsidP="001F4780">
      <w:pPr>
        <w:pStyle w:val="isselectedend"/>
        <w:rPr>
          <w:rFonts w:ascii="Arial" w:hAnsi="Arial" w:cs="Arial"/>
          <w:sz w:val="22"/>
          <w:szCs w:val="22"/>
        </w:rPr>
      </w:pPr>
      <w:r w:rsidRPr="00D00267">
        <w:rPr>
          <w:rFonts w:ascii="Arial" w:hAnsi="Arial" w:cs="Arial"/>
          <w:sz w:val="22"/>
          <w:szCs w:val="22"/>
        </w:rPr>
        <w:t xml:space="preserve">Following project selection, defining the scope of the St Thomas Church Food Donation Project was essential to establish clear boundaries and prevent scope creep. The scope included identifying food requirements with church representatives, collecting donations, securing Tesco support, purchasing non-perishable items and delivering supplies by 16 June 2026. </w:t>
      </w:r>
    </w:p>
    <w:p w14:paraId="2F3B79B1" w14:textId="487893D8" w:rsidR="001F4780" w:rsidRPr="00D00267" w:rsidRDefault="001F4780" w:rsidP="001F4780">
      <w:pPr>
        <w:pStyle w:val="isselectedend"/>
        <w:rPr>
          <w:rFonts w:ascii="Arial" w:hAnsi="Arial" w:cs="Arial"/>
          <w:sz w:val="22"/>
          <w:szCs w:val="22"/>
        </w:rPr>
      </w:pPr>
      <w:r w:rsidRPr="00D00267">
        <w:rPr>
          <w:rFonts w:ascii="Arial" w:hAnsi="Arial" w:cs="Arial"/>
          <w:sz w:val="22"/>
          <w:szCs w:val="22"/>
        </w:rPr>
        <w:t xml:space="preserve">Activities such as long-term financial assistance, permanent food bank operations and supporting other charities were excluded to maintain focus. However, while scope control supports effective use of time and resources, overly restrictive boundaries may limit wider social impact. Therefore, scope management requires balancing project constraints with stakeholder needs and community value (Association for Project Management, 2019; </w:t>
      </w:r>
      <w:proofErr w:type="spellStart"/>
      <w:r w:rsidRPr="00D00267">
        <w:rPr>
          <w:rFonts w:ascii="Arial" w:hAnsi="Arial" w:cs="Arial"/>
          <w:sz w:val="22"/>
          <w:szCs w:val="22"/>
        </w:rPr>
        <w:t>Leiringer</w:t>
      </w:r>
      <w:proofErr w:type="spellEnd"/>
      <w:r w:rsidRPr="00D00267">
        <w:rPr>
          <w:rFonts w:ascii="Arial" w:hAnsi="Arial" w:cs="Arial"/>
          <w:sz w:val="22"/>
          <w:szCs w:val="22"/>
        </w:rPr>
        <w:t>, 2021).</w:t>
      </w:r>
    </w:p>
    <w:p w14:paraId="39CC1282" w14:textId="77777777" w:rsidR="00D00267" w:rsidRDefault="001F4780" w:rsidP="001F4780">
      <w:pPr>
        <w:pStyle w:val="isselectedend"/>
        <w:rPr>
          <w:rFonts w:ascii="Arial" w:hAnsi="Arial" w:cs="Arial"/>
          <w:sz w:val="22"/>
          <w:szCs w:val="22"/>
        </w:rPr>
      </w:pPr>
      <w:r w:rsidRPr="00D00267">
        <w:rPr>
          <w:rFonts w:ascii="Arial" w:hAnsi="Arial" w:cs="Arial"/>
          <w:sz w:val="22"/>
          <w:szCs w:val="22"/>
        </w:rPr>
        <w:t xml:space="preserve">The project aimed to support individuals and families experiencing food insecurity through practical community action. Objectives included collecting 30–50 food items, maintaining expenditure within a £100–£300 budget and completing the project within four weeks. </w:t>
      </w:r>
    </w:p>
    <w:p w14:paraId="17B84C14" w14:textId="26B99D16" w:rsidR="001F4780" w:rsidRPr="00D00267" w:rsidRDefault="001F4780" w:rsidP="001F4780">
      <w:pPr>
        <w:pStyle w:val="isselectedend"/>
        <w:rPr>
          <w:rFonts w:ascii="Arial" w:hAnsi="Arial" w:cs="Arial"/>
          <w:sz w:val="22"/>
          <w:szCs w:val="22"/>
        </w:rPr>
      </w:pPr>
      <w:r w:rsidRPr="00D00267">
        <w:rPr>
          <w:rFonts w:ascii="Arial" w:hAnsi="Arial" w:cs="Arial"/>
          <w:sz w:val="22"/>
          <w:szCs w:val="22"/>
        </w:rPr>
        <w:t xml:space="preserve">Although measurable objectives supported planning, project success should also consider social value and beneficiary outcomes, as stakeholders may assess success differently (Chow and </w:t>
      </w:r>
      <w:proofErr w:type="spellStart"/>
      <w:r w:rsidRPr="00D00267">
        <w:rPr>
          <w:rFonts w:ascii="Arial" w:hAnsi="Arial" w:cs="Arial"/>
          <w:sz w:val="22"/>
          <w:szCs w:val="22"/>
        </w:rPr>
        <w:t>Leiringer</w:t>
      </w:r>
      <w:proofErr w:type="spellEnd"/>
      <w:r w:rsidRPr="00D00267">
        <w:rPr>
          <w:rFonts w:ascii="Arial" w:hAnsi="Arial" w:cs="Arial"/>
          <w:sz w:val="22"/>
          <w:szCs w:val="22"/>
        </w:rPr>
        <w:t>, 2020; Mulholland et al., 2020).</w:t>
      </w:r>
    </w:p>
    <w:p w14:paraId="3BAB3871" w14:textId="77777777" w:rsidR="00D00267" w:rsidRDefault="001F4780" w:rsidP="001F4780">
      <w:pPr>
        <w:pStyle w:val="NormalWeb"/>
        <w:rPr>
          <w:rFonts w:ascii="Arial" w:hAnsi="Arial" w:cs="Arial"/>
          <w:sz w:val="22"/>
          <w:szCs w:val="22"/>
        </w:rPr>
      </w:pPr>
      <w:r w:rsidRPr="00D00267">
        <w:rPr>
          <w:rFonts w:ascii="Arial" w:hAnsi="Arial" w:cs="Arial"/>
          <w:sz w:val="22"/>
          <w:szCs w:val="22"/>
        </w:rPr>
        <w:t>The project also reflected the balance between time, cost and quality. While completing the project within budget and timeframe was important, quality depended on whether donations addressed the needs identified by St Thomas Church rather than simply achieving numerical targets (</w:t>
      </w:r>
      <w:proofErr w:type="spellStart"/>
      <w:r w:rsidRPr="00D00267">
        <w:rPr>
          <w:rFonts w:ascii="Arial" w:hAnsi="Arial" w:cs="Arial"/>
          <w:sz w:val="22"/>
          <w:szCs w:val="22"/>
        </w:rPr>
        <w:t>Joos</w:t>
      </w:r>
      <w:proofErr w:type="spellEnd"/>
      <w:r w:rsidRPr="00D00267">
        <w:rPr>
          <w:rFonts w:ascii="Arial" w:hAnsi="Arial" w:cs="Arial"/>
          <w:sz w:val="22"/>
          <w:szCs w:val="22"/>
        </w:rPr>
        <w:t xml:space="preserve"> et al., 2020). </w:t>
      </w:r>
    </w:p>
    <w:p w14:paraId="144B4767" w14:textId="64EEE3EF" w:rsidR="001F4780" w:rsidRPr="00D00267" w:rsidRDefault="001F4780" w:rsidP="001F4780">
      <w:pPr>
        <w:pStyle w:val="NormalWeb"/>
        <w:rPr>
          <w:rFonts w:ascii="Arial" w:hAnsi="Arial" w:cs="Arial"/>
          <w:sz w:val="22"/>
          <w:szCs w:val="22"/>
        </w:rPr>
      </w:pPr>
      <w:r w:rsidRPr="00D00267">
        <w:rPr>
          <w:rFonts w:ascii="Arial" w:hAnsi="Arial" w:cs="Arial"/>
          <w:sz w:val="22"/>
          <w:szCs w:val="22"/>
        </w:rPr>
        <w:t>Although the Iron Triangle remains widely recognised, it has been criticised for overlooking stakeholder satisfaction and long-term benefits (Atkinson, 1999). Therefore, success depended not only on meeting constraints but also on creating meaningful community impact.</w:t>
      </w:r>
    </w:p>
    <w:p w14:paraId="605D5242" w14:textId="77777777" w:rsidR="00CD1539" w:rsidRPr="00431E77" w:rsidRDefault="00CD1539" w:rsidP="00472070"/>
    <w:p w14:paraId="0FB689D1" w14:textId="77777777" w:rsidR="00CD1539" w:rsidRPr="00431E77" w:rsidRDefault="00CD1539" w:rsidP="00472070"/>
    <w:p w14:paraId="5365A20E" w14:textId="77777777" w:rsidR="00CD1539" w:rsidRPr="00431E77" w:rsidRDefault="00CD1539" w:rsidP="00472070"/>
    <w:p w14:paraId="09AE293D" w14:textId="77777777" w:rsidR="00CD1539" w:rsidRPr="00431E77" w:rsidRDefault="00CD1539" w:rsidP="00472070"/>
    <w:p w14:paraId="746C119C" w14:textId="77777777" w:rsidR="00CD1539" w:rsidRPr="00431E77" w:rsidRDefault="00CD1539" w:rsidP="00472070"/>
    <w:p w14:paraId="3B9EB80F" w14:textId="77777777" w:rsidR="00CD1539" w:rsidRPr="00431E77" w:rsidRDefault="00CD1539" w:rsidP="00472070"/>
    <w:p w14:paraId="6F289EF0" w14:textId="77777777" w:rsidR="00CD1539" w:rsidRPr="00431E77" w:rsidRDefault="00CD1539" w:rsidP="00472070"/>
    <w:p w14:paraId="6270813C" w14:textId="5B062431" w:rsidR="00CD1539" w:rsidRPr="00431E77" w:rsidRDefault="00CD1539" w:rsidP="00472070"/>
    <w:p w14:paraId="6A803C1C" w14:textId="77777777" w:rsidR="00D00267" w:rsidRDefault="00472070" w:rsidP="001F4780">
      <w:pPr>
        <w:pStyle w:val="isselectedend"/>
        <w:rPr>
          <w:rStyle w:val="Heading1Char"/>
        </w:rPr>
      </w:pPr>
      <w:bookmarkStart w:id="4" w:name="_Toc233834457"/>
      <w:r w:rsidRPr="00431E77">
        <w:rPr>
          <w:rStyle w:val="Heading1Char"/>
        </w:rPr>
        <w:lastRenderedPageBreak/>
        <w:t>4. Stakeholder Analysis and Communication</w:t>
      </w:r>
      <w:bookmarkEnd w:id="4"/>
    </w:p>
    <w:p w14:paraId="0AD5F0AA" w14:textId="77777777" w:rsidR="00D00267" w:rsidRDefault="00F55010" w:rsidP="001F4780">
      <w:pPr>
        <w:pStyle w:val="isselectedend"/>
        <w:rPr>
          <w:rFonts w:ascii="Arial" w:hAnsi="Arial" w:cs="Arial"/>
          <w:sz w:val="22"/>
          <w:szCs w:val="22"/>
        </w:rPr>
      </w:pPr>
      <w:r w:rsidRPr="00431E77">
        <w:rPr>
          <w:rStyle w:val="Heading1Char"/>
        </w:rPr>
        <w:br/>
      </w:r>
      <w:r w:rsidRPr="00431E77">
        <w:rPr>
          <w:b/>
          <w:bCs/>
        </w:rPr>
        <w:br/>
      </w:r>
      <w:r w:rsidR="001F4780" w:rsidRPr="00D00267">
        <w:rPr>
          <w:rFonts w:ascii="Arial" w:hAnsi="Arial" w:cs="Arial"/>
          <w:sz w:val="22"/>
          <w:szCs w:val="22"/>
        </w:rPr>
        <w:t xml:space="preserve">Stakeholder management was essential throughout the project lifecycle, as delivery depended on collaboration between the project team, St Thomas Church representatives, Tesco, donors and community beneficiaries. </w:t>
      </w:r>
    </w:p>
    <w:p w14:paraId="07032415" w14:textId="4C7E6AF2" w:rsidR="001F4780" w:rsidRPr="00D00267" w:rsidRDefault="001F4780" w:rsidP="001F4780">
      <w:pPr>
        <w:pStyle w:val="isselectedend"/>
        <w:rPr>
          <w:rFonts w:ascii="Arial" w:hAnsi="Arial" w:cs="Arial"/>
          <w:sz w:val="22"/>
          <w:szCs w:val="22"/>
        </w:rPr>
      </w:pPr>
      <w:r w:rsidRPr="00D00267">
        <w:rPr>
          <w:rFonts w:ascii="Arial" w:hAnsi="Arial" w:cs="Arial"/>
          <w:sz w:val="22"/>
          <w:szCs w:val="22"/>
        </w:rPr>
        <w:t>St Thomas Church helped identify community needs, while Tesco and donors provided resources that supported delivery within budget. However, stakeholders have different levels of influence and expectations, requiring effective engagement to maintain alignment and maximise value (</w:t>
      </w:r>
      <w:proofErr w:type="spellStart"/>
      <w:r w:rsidRPr="00D00267">
        <w:rPr>
          <w:rFonts w:ascii="Arial" w:hAnsi="Arial" w:cs="Arial"/>
          <w:sz w:val="22"/>
          <w:szCs w:val="22"/>
        </w:rPr>
        <w:t>Aaltonen</w:t>
      </w:r>
      <w:proofErr w:type="spellEnd"/>
      <w:r w:rsidRPr="00D00267">
        <w:rPr>
          <w:rFonts w:ascii="Arial" w:hAnsi="Arial" w:cs="Arial"/>
          <w:sz w:val="22"/>
          <w:szCs w:val="22"/>
        </w:rPr>
        <w:t xml:space="preserve"> and </w:t>
      </w:r>
      <w:proofErr w:type="spellStart"/>
      <w:r w:rsidRPr="00D00267">
        <w:rPr>
          <w:rFonts w:ascii="Arial" w:hAnsi="Arial" w:cs="Arial"/>
          <w:sz w:val="22"/>
          <w:szCs w:val="22"/>
        </w:rPr>
        <w:t>Kujala</w:t>
      </w:r>
      <w:proofErr w:type="spellEnd"/>
      <w:r w:rsidRPr="00D00267">
        <w:rPr>
          <w:rFonts w:ascii="Arial" w:hAnsi="Arial" w:cs="Arial"/>
          <w:sz w:val="22"/>
          <w:szCs w:val="22"/>
        </w:rPr>
        <w:t xml:space="preserve">, 2016; </w:t>
      </w:r>
      <w:proofErr w:type="spellStart"/>
      <w:r w:rsidRPr="00D00267">
        <w:rPr>
          <w:rFonts w:ascii="Arial" w:hAnsi="Arial" w:cs="Arial"/>
          <w:sz w:val="22"/>
          <w:szCs w:val="22"/>
        </w:rPr>
        <w:t>Mok</w:t>
      </w:r>
      <w:proofErr w:type="spellEnd"/>
      <w:r w:rsidRPr="00D00267">
        <w:rPr>
          <w:rFonts w:ascii="Arial" w:hAnsi="Arial" w:cs="Arial"/>
          <w:sz w:val="22"/>
          <w:szCs w:val="22"/>
        </w:rPr>
        <w:t xml:space="preserve"> et al., 2015).</w:t>
      </w:r>
    </w:p>
    <w:p w14:paraId="1E8BEEFB" w14:textId="77777777" w:rsidR="001F4780" w:rsidRPr="00D00267" w:rsidRDefault="001F4780" w:rsidP="001F4780">
      <w:pPr>
        <w:pStyle w:val="isselectedend"/>
        <w:rPr>
          <w:rFonts w:ascii="Arial" w:hAnsi="Arial" w:cs="Arial"/>
          <w:sz w:val="22"/>
          <w:szCs w:val="22"/>
        </w:rPr>
      </w:pPr>
      <w:r w:rsidRPr="00D00267">
        <w:rPr>
          <w:rFonts w:ascii="Arial" w:hAnsi="Arial" w:cs="Arial"/>
          <w:sz w:val="22"/>
          <w:szCs w:val="22"/>
        </w:rPr>
        <w:t>Communication through meetings, calls, messages and group discussions enabled information sharing and quick responses to issues. Although effective communication contributes to project success (PMI, 2021), reliance on informal methods increased the risk of misunderstandings and unclear responsibilities. A more structured communication plan could have strengthened accountability.</w:t>
      </w:r>
    </w:p>
    <w:p w14:paraId="795BD33E" w14:textId="77777777" w:rsidR="001F4780" w:rsidRPr="00D00267" w:rsidRDefault="001F4780" w:rsidP="001F4780">
      <w:pPr>
        <w:pStyle w:val="NormalWeb"/>
        <w:rPr>
          <w:rFonts w:ascii="Arial" w:hAnsi="Arial" w:cs="Arial"/>
          <w:sz w:val="22"/>
          <w:szCs w:val="22"/>
        </w:rPr>
      </w:pPr>
      <w:r w:rsidRPr="00D00267">
        <w:rPr>
          <w:rFonts w:ascii="Arial" w:hAnsi="Arial" w:cs="Arial"/>
          <w:sz w:val="22"/>
          <w:szCs w:val="22"/>
        </w:rPr>
        <w:t>The project also demonstrated stakeholder dependency, as external support from Tesco and donors influenced outcomes. While these relationships increased available resources, they also created risks if support changed. Therefore, stakeholder relationships require active management and contingency planning to improve project resilience (</w:t>
      </w:r>
      <w:proofErr w:type="spellStart"/>
      <w:r w:rsidRPr="00D00267">
        <w:rPr>
          <w:rFonts w:ascii="Arial" w:hAnsi="Arial" w:cs="Arial"/>
          <w:sz w:val="22"/>
          <w:szCs w:val="22"/>
        </w:rPr>
        <w:t>Aaltonen</w:t>
      </w:r>
      <w:proofErr w:type="spellEnd"/>
      <w:r w:rsidRPr="00D00267">
        <w:rPr>
          <w:rFonts w:ascii="Arial" w:hAnsi="Arial" w:cs="Arial"/>
          <w:sz w:val="22"/>
          <w:szCs w:val="22"/>
        </w:rPr>
        <w:t xml:space="preserve"> et al., 2021).</w:t>
      </w:r>
    </w:p>
    <w:p w14:paraId="6A469D09" w14:textId="52C3FD57" w:rsidR="0033500E" w:rsidRPr="00431E77" w:rsidRDefault="0033500E" w:rsidP="001F4780"/>
    <w:p w14:paraId="42C0DD5A" w14:textId="77777777" w:rsidR="0033500E" w:rsidRPr="00431E77" w:rsidRDefault="0033500E"/>
    <w:p w14:paraId="09E81525" w14:textId="77777777" w:rsidR="0033500E" w:rsidRPr="00431E77" w:rsidRDefault="0033500E"/>
    <w:p w14:paraId="72A96A6A" w14:textId="77777777" w:rsidR="0033500E" w:rsidRPr="00431E77" w:rsidRDefault="0033500E"/>
    <w:p w14:paraId="6ECEA7FB" w14:textId="77777777" w:rsidR="0033500E" w:rsidRPr="00431E77" w:rsidRDefault="0033500E"/>
    <w:p w14:paraId="2A0B3321" w14:textId="47EA3F32" w:rsidR="0033500E" w:rsidRPr="00431E77" w:rsidRDefault="0033500E"/>
    <w:p w14:paraId="00874A5E" w14:textId="3FFABEFA" w:rsidR="00196171" w:rsidRDefault="00196171"/>
    <w:p w14:paraId="117D42E2" w14:textId="0D7B8536" w:rsidR="00D00267" w:rsidRDefault="00D00267"/>
    <w:p w14:paraId="56B2296E" w14:textId="0BEC3F60" w:rsidR="00D00267" w:rsidRDefault="00D00267"/>
    <w:p w14:paraId="0147F443" w14:textId="40724C29" w:rsidR="00D00267" w:rsidRDefault="00D00267"/>
    <w:p w14:paraId="7BE0A5F8" w14:textId="744C2808" w:rsidR="00D00267" w:rsidRDefault="00D00267"/>
    <w:p w14:paraId="28A8AE5F" w14:textId="77777777" w:rsidR="00D00267" w:rsidRPr="00431E77" w:rsidRDefault="00D00267"/>
    <w:p w14:paraId="6893880F" w14:textId="77777777" w:rsidR="0033500E" w:rsidRPr="00431E77" w:rsidRDefault="0033500E"/>
    <w:p w14:paraId="324046B7" w14:textId="1C21F0BC" w:rsidR="00BB4271" w:rsidRDefault="00CC302E" w:rsidP="00431E77">
      <w:pPr>
        <w:pStyle w:val="Heading1"/>
      </w:pPr>
      <w:r>
        <w:lastRenderedPageBreak/>
        <w:br/>
      </w:r>
      <w:bookmarkStart w:id="5" w:name="_Toc233834458"/>
      <w:r w:rsidR="00BB4271" w:rsidRPr="00431E77">
        <w:t>5. Project Management Tools and Techniques</w:t>
      </w:r>
      <w:bookmarkEnd w:id="5"/>
    </w:p>
    <w:p w14:paraId="635AA007" w14:textId="77777777" w:rsidR="00D00267" w:rsidRPr="00D00267" w:rsidRDefault="00D00267" w:rsidP="00D00267"/>
    <w:p w14:paraId="66E5A901" w14:textId="26BA2734" w:rsidR="00BB4271" w:rsidRDefault="00BB4271" w:rsidP="00BB4271">
      <w:pPr>
        <w:rPr>
          <w:rFonts w:ascii="Arial" w:hAnsi="Arial" w:cs="Arial"/>
        </w:rPr>
      </w:pPr>
      <w:r w:rsidRPr="00D00267">
        <w:rPr>
          <w:rFonts w:ascii="Arial" w:hAnsi="Arial" w:cs="Arial"/>
        </w:rPr>
        <w:t>The planning and execution of the St Thomas Church Food Donation Project relied primarily on traditional project management tools, including the Work Breakdown Structure (WBS) and Gantt chart. These tools supported the planning, scheduling and monitoring of activities throughout the project lifecycle. According to the Project Management Institute (PMI, 2021), project management tools facilitate coordination and improve control over resources, time and deliverables. However, their effectiveness depends largely upon the complexity and uncertainty associated with the project.</w:t>
      </w:r>
    </w:p>
    <w:p w14:paraId="4E7EB6A1" w14:textId="77777777" w:rsidR="00D00267" w:rsidRPr="00D00267" w:rsidRDefault="00D00267" w:rsidP="00BB4271">
      <w:pPr>
        <w:rPr>
          <w:rFonts w:ascii="Arial" w:hAnsi="Arial" w:cs="Arial"/>
        </w:rPr>
      </w:pPr>
    </w:p>
    <w:p w14:paraId="139172FE" w14:textId="1B356E7A" w:rsidR="00BB4271" w:rsidRDefault="00BB4271" w:rsidP="00431E77">
      <w:pPr>
        <w:pStyle w:val="Heading2"/>
      </w:pPr>
      <w:bookmarkStart w:id="6" w:name="_Toc233834459"/>
      <w:r w:rsidRPr="00431E77">
        <w:t>Work Breakdown Structure (WBS)</w:t>
      </w:r>
      <w:bookmarkEnd w:id="6"/>
    </w:p>
    <w:p w14:paraId="6BDC0E91" w14:textId="7A82357E" w:rsidR="00D00267" w:rsidRDefault="00CC302E" w:rsidP="00D00267">
      <w:r>
        <w:rPr>
          <w:noProof/>
        </w:rPr>
        <w:drawing>
          <wp:inline distT="0" distB="0" distL="0" distR="0" wp14:anchorId="0DB28026" wp14:editId="6D294854">
            <wp:extent cx="5731510" cy="4991100"/>
            <wp:effectExtent l="0" t="0" r="2540" b="0"/>
            <wp:docPr id="2113501409" name="Picture 3"/>
            <wp:cNvGraphicFramePr/>
            <a:graphic xmlns:a="http://schemas.openxmlformats.org/drawingml/2006/main">
              <a:graphicData uri="http://schemas.openxmlformats.org/drawingml/2006/picture">
                <pic:pic xmlns:pic="http://schemas.openxmlformats.org/drawingml/2006/picture">
                  <pic:nvPicPr>
                    <pic:cNvPr id="2113501409" name="Picture 3"/>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991100"/>
                    </a:xfrm>
                    <a:prstGeom prst="rect">
                      <a:avLst/>
                    </a:prstGeom>
                    <a:noFill/>
                    <a:ln>
                      <a:noFill/>
                    </a:ln>
                  </pic:spPr>
                </pic:pic>
              </a:graphicData>
            </a:graphic>
          </wp:inline>
        </w:drawing>
      </w:r>
    </w:p>
    <w:p w14:paraId="704B103E" w14:textId="3E180AE4" w:rsidR="00CC302E" w:rsidRDefault="00CC302E" w:rsidP="00D00267">
      <w:r>
        <w:t xml:space="preserve">                                                                (Florea, 2026 – St Thomas Church food donation WBS).</w:t>
      </w:r>
    </w:p>
    <w:p w14:paraId="436B0C71" w14:textId="7CC9318D" w:rsidR="00CC302E" w:rsidRDefault="00CC302E" w:rsidP="00D00267"/>
    <w:p w14:paraId="4D7EDAA5" w14:textId="77777777" w:rsidR="00CC302E" w:rsidRPr="00D00267" w:rsidRDefault="00CC302E" w:rsidP="00D00267"/>
    <w:p w14:paraId="23B753B8" w14:textId="77777777" w:rsidR="00CC302E" w:rsidRDefault="00CC302E" w:rsidP="00BB4271">
      <w:pPr>
        <w:rPr>
          <w:rFonts w:ascii="Arial" w:hAnsi="Arial" w:cs="Arial"/>
        </w:rPr>
      </w:pPr>
    </w:p>
    <w:p w14:paraId="453B7E9B" w14:textId="77777777" w:rsidR="00CC302E" w:rsidRDefault="00CC302E" w:rsidP="00BB4271">
      <w:pPr>
        <w:rPr>
          <w:rFonts w:ascii="Arial" w:hAnsi="Arial" w:cs="Arial"/>
        </w:rPr>
      </w:pPr>
    </w:p>
    <w:p w14:paraId="1AED6079" w14:textId="77777777" w:rsidR="00CC302E" w:rsidRDefault="001F4780" w:rsidP="00BB4271">
      <w:pPr>
        <w:rPr>
          <w:rFonts w:ascii="Arial" w:hAnsi="Arial" w:cs="Arial"/>
        </w:rPr>
      </w:pPr>
      <w:r w:rsidRPr="00D00267">
        <w:rPr>
          <w:rFonts w:ascii="Arial" w:hAnsi="Arial" w:cs="Arial"/>
        </w:rPr>
        <w:t xml:space="preserve">A Work Breakdown Structure (WBS) was used to divide the St Thomas Church Food Donation Project into smaller and manageable activities, including identifying project ideas, consulting church representatives, promoting donations, contacting Tesco, collecting contributions, purchasing supplies and organising delivery. </w:t>
      </w:r>
    </w:p>
    <w:p w14:paraId="7078053B" w14:textId="1674D3C8" w:rsidR="00D00267" w:rsidRDefault="001F4780" w:rsidP="00BB4271">
      <w:pPr>
        <w:rPr>
          <w:rFonts w:ascii="Arial" w:hAnsi="Arial" w:cs="Arial"/>
        </w:rPr>
      </w:pPr>
      <w:r w:rsidRPr="00D00267">
        <w:rPr>
          <w:rFonts w:ascii="Arial" w:hAnsi="Arial" w:cs="Arial"/>
        </w:rPr>
        <w:t xml:space="preserve">This improved task visibility, role allocation and accountability among team members. However, although WBS supports effective scope planning and control, it does not eliminate uncertainty or guarantee successful delivery when project requirements change. </w:t>
      </w:r>
    </w:p>
    <w:p w14:paraId="5389B6CB" w14:textId="77777777" w:rsidR="00D00267" w:rsidRDefault="001F4780" w:rsidP="00BB4271">
      <w:pPr>
        <w:rPr>
          <w:rFonts w:ascii="Arial" w:hAnsi="Arial" w:cs="Arial"/>
        </w:rPr>
      </w:pPr>
      <w:r w:rsidRPr="00D00267">
        <w:rPr>
          <w:rFonts w:ascii="Arial" w:hAnsi="Arial" w:cs="Arial"/>
        </w:rPr>
        <w:t>Therefore, structured planning tools must be combined with flexibility and continuous review throughout the project lifecycle (</w:t>
      </w:r>
      <w:proofErr w:type="spellStart"/>
      <w:r w:rsidRPr="00D00267">
        <w:rPr>
          <w:rFonts w:ascii="Arial" w:hAnsi="Arial" w:cs="Arial"/>
        </w:rPr>
        <w:t>Cerezo-Narváez</w:t>
      </w:r>
      <w:proofErr w:type="spellEnd"/>
      <w:r w:rsidRPr="00D00267">
        <w:rPr>
          <w:rFonts w:ascii="Arial" w:hAnsi="Arial" w:cs="Arial"/>
        </w:rPr>
        <w:t xml:space="preserve"> et al., 2020). </w:t>
      </w:r>
    </w:p>
    <w:p w14:paraId="73BF55D7" w14:textId="77777777" w:rsidR="00D00267" w:rsidRDefault="001F4780" w:rsidP="00BB4271">
      <w:pPr>
        <w:rPr>
          <w:rFonts w:ascii="Arial" w:hAnsi="Arial" w:cs="Arial"/>
        </w:rPr>
      </w:pPr>
      <w:r w:rsidRPr="00D00267">
        <w:rPr>
          <w:rFonts w:ascii="Arial" w:hAnsi="Arial" w:cs="Arial"/>
        </w:rPr>
        <w:t xml:space="preserve">Responsibilities were distributed across the group, with Claudiu coordinating progress, Piotr and Dre exploring alternative project ideas, and Raluca and </w:t>
      </w:r>
      <w:proofErr w:type="spellStart"/>
      <w:r w:rsidRPr="00D00267">
        <w:rPr>
          <w:rFonts w:ascii="Arial" w:hAnsi="Arial" w:cs="Arial"/>
        </w:rPr>
        <w:t>Iustina</w:t>
      </w:r>
      <w:proofErr w:type="spellEnd"/>
      <w:r w:rsidRPr="00D00267">
        <w:rPr>
          <w:rFonts w:ascii="Arial" w:hAnsi="Arial" w:cs="Arial"/>
        </w:rPr>
        <w:t xml:space="preserve"> maintaining communication with St Thomas Church. </w:t>
      </w:r>
    </w:p>
    <w:p w14:paraId="3E60A26A" w14:textId="77777777" w:rsidR="00D00267" w:rsidRDefault="001F4780" w:rsidP="00BB4271">
      <w:pPr>
        <w:rPr>
          <w:rFonts w:ascii="Arial" w:hAnsi="Arial" w:cs="Arial"/>
        </w:rPr>
      </w:pPr>
      <w:r w:rsidRPr="00D00267">
        <w:rPr>
          <w:rFonts w:ascii="Arial" w:hAnsi="Arial" w:cs="Arial"/>
        </w:rPr>
        <w:t>The early changes in project direction demonstrated that while WBS improves organisation, project teams must also adapt decisions as new information emerges (</w:t>
      </w:r>
      <w:proofErr w:type="spellStart"/>
      <w:r w:rsidRPr="00D00267">
        <w:rPr>
          <w:rFonts w:ascii="Arial" w:hAnsi="Arial" w:cs="Arial"/>
        </w:rPr>
        <w:t>Cerezo-Narváez</w:t>
      </w:r>
      <w:proofErr w:type="spellEnd"/>
      <w:r w:rsidRPr="00D00267">
        <w:rPr>
          <w:rFonts w:ascii="Arial" w:hAnsi="Arial" w:cs="Arial"/>
        </w:rPr>
        <w:t xml:space="preserve"> et al., 2020). </w:t>
      </w:r>
    </w:p>
    <w:p w14:paraId="68F13A3C" w14:textId="77777777" w:rsidR="00D00267" w:rsidRDefault="001F4780" w:rsidP="00BB4271">
      <w:pPr>
        <w:rPr>
          <w:rFonts w:ascii="Arial" w:hAnsi="Arial" w:cs="Arial"/>
        </w:rPr>
      </w:pPr>
      <w:r w:rsidRPr="00D00267">
        <w:rPr>
          <w:rFonts w:ascii="Arial" w:hAnsi="Arial" w:cs="Arial"/>
        </w:rPr>
        <w:t xml:space="preserve">Although the WBS improved organisation and task visibility, its effectiveness was constrained by the dynamic nature of the project. Initially, the group considered several alternative projects, including Amazon-sponsored volunteering hours, beach-cleaning initiatives and mindfulness sessions. The need to abandon these ideas demonstrated that project planning rarely follows a linear process. </w:t>
      </w:r>
    </w:p>
    <w:p w14:paraId="0AD65B39" w14:textId="1C439D2B" w:rsidR="00952E66" w:rsidRPr="00D00267" w:rsidRDefault="001F4780" w:rsidP="00BB4271">
      <w:pPr>
        <w:rPr>
          <w:rFonts w:ascii="Arial" w:hAnsi="Arial" w:cs="Arial"/>
        </w:rPr>
      </w:pPr>
      <w:proofErr w:type="spellStart"/>
      <w:r w:rsidRPr="00D00267">
        <w:rPr>
          <w:rFonts w:ascii="Arial" w:hAnsi="Arial" w:cs="Arial"/>
        </w:rPr>
        <w:t>Geraldi</w:t>
      </w:r>
      <w:proofErr w:type="spellEnd"/>
      <w:r w:rsidRPr="00D00267">
        <w:rPr>
          <w:rFonts w:ascii="Arial" w:hAnsi="Arial" w:cs="Arial"/>
        </w:rPr>
        <w:t xml:space="preserve"> and </w:t>
      </w:r>
      <w:proofErr w:type="spellStart"/>
      <w:r w:rsidRPr="00D00267">
        <w:rPr>
          <w:rFonts w:ascii="Arial" w:hAnsi="Arial" w:cs="Arial"/>
        </w:rPr>
        <w:t>Lechter</w:t>
      </w:r>
      <w:proofErr w:type="spellEnd"/>
      <w:r w:rsidRPr="00D00267">
        <w:rPr>
          <w:rFonts w:ascii="Arial" w:hAnsi="Arial" w:cs="Arial"/>
        </w:rPr>
        <w:t xml:space="preserve"> (2012) argue that projects frequently evolve due to uncertainty and changing circumstances. Therefore, whilst the WBS facilitated structure and coordination, it provided limited flexibility when adapting to new priorities.</w:t>
      </w:r>
    </w:p>
    <w:p w14:paraId="412B595E" w14:textId="77777777" w:rsidR="00952E66" w:rsidRPr="00431E77" w:rsidRDefault="00952E66" w:rsidP="00BB4271"/>
    <w:p w14:paraId="062DAFD8" w14:textId="77777777" w:rsidR="00952E66" w:rsidRPr="00431E77" w:rsidRDefault="00952E66" w:rsidP="00BB4271"/>
    <w:p w14:paraId="51529C23" w14:textId="77777777" w:rsidR="00952E66" w:rsidRPr="00431E77" w:rsidRDefault="00952E66" w:rsidP="00BB4271"/>
    <w:p w14:paraId="1A9EEFF5" w14:textId="1F9ABA01" w:rsidR="00952E66" w:rsidRDefault="00952E66" w:rsidP="00BB4271"/>
    <w:p w14:paraId="0DDE8D1C" w14:textId="2DD82F5C" w:rsidR="00CC302E" w:rsidRDefault="00CC302E" w:rsidP="00BB4271"/>
    <w:p w14:paraId="599D9B23" w14:textId="0E5568D5" w:rsidR="00CC302E" w:rsidRDefault="00CC302E" w:rsidP="00BB4271"/>
    <w:p w14:paraId="7DA3620E" w14:textId="7FF5B981" w:rsidR="00CC302E" w:rsidRDefault="00CC302E" w:rsidP="00BB4271"/>
    <w:p w14:paraId="10DA84F9" w14:textId="2A2C08B8" w:rsidR="00CC302E" w:rsidRDefault="00CC302E" w:rsidP="00BB4271"/>
    <w:p w14:paraId="76574086" w14:textId="0C53520A" w:rsidR="00CC302E" w:rsidRDefault="00CC302E" w:rsidP="00BB4271"/>
    <w:p w14:paraId="737EF8C3" w14:textId="691A3458" w:rsidR="00CC302E" w:rsidRDefault="00CC302E" w:rsidP="00BB4271"/>
    <w:p w14:paraId="2D56F634" w14:textId="77777777" w:rsidR="00CC302E" w:rsidRPr="00431E77" w:rsidRDefault="00CC302E" w:rsidP="00BB4271"/>
    <w:p w14:paraId="7DDAA60B" w14:textId="6D068345" w:rsidR="00BB4271" w:rsidRPr="00431E77" w:rsidRDefault="00BB4271" w:rsidP="00431E77">
      <w:pPr>
        <w:pStyle w:val="Heading2"/>
      </w:pPr>
      <w:bookmarkStart w:id="7" w:name="_Toc233834460"/>
      <w:r w:rsidRPr="00431E77">
        <w:lastRenderedPageBreak/>
        <w:t>Gantt Chart</w:t>
      </w:r>
      <w:bookmarkEnd w:id="7"/>
    </w:p>
    <w:p w14:paraId="2DE6E5BA" w14:textId="641786B4" w:rsidR="00D8409C" w:rsidRPr="00431E77" w:rsidRDefault="00CC302E" w:rsidP="00BB4271">
      <w:pPr>
        <w:rPr>
          <w:b/>
          <w:bCs/>
        </w:rPr>
      </w:pPr>
      <w:r>
        <w:rPr>
          <w:noProof/>
        </w:rPr>
        <w:drawing>
          <wp:inline distT="0" distB="0" distL="0" distR="0" wp14:anchorId="75979F33" wp14:editId="1AC0E43F">
            <wp:extent cx="5731510" cy="3576955"/>
            <wp:effectExtent l="0" t="0" r="2540" b="4445"/>
            <wp:docPr id="1460619683" name="Picture 2"/>
            <wp:cNvGraphicFramePr/>
            <a:graphic xmlns:a="http://schemas.openxmlformats.org/drawingml/2006/main">
              <a:graphicData uri="http://schemas.openxmlformats.org/drawingml/2006/picture">
                <pic:pic xmlns:pic="http://schemas.openxmlformats.org/drawingml/2006/picture">
                  <pic:nvPicPr>
                    <pic:cNvPr id="1460619683"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576955"/>
                    </a:xfrm>
                    <a:prstGeom prst="rect">
                      <a:avLst/>
                    </a:prstGeom>
                    <a:noFill/>
                    <a:ln>
                      <a:noFill/>
                    </a:ln>
                  </pic:spPr>
                </pic:pic>
              </a:graphicData>
            </a:graphic>
          </wp:inline>
        </w:drawing>
      </w:r>
    </w:p>
    <w:p w14:paraId="45E85F4C" w14:textId="77777777" w:rsidR="00CC302E" w:rsidRDefault="00CC302E" w:rsidP="00CC302E">
      <w:r>
        <w:rPr>
          <w:b/>
          <w:bCs/>
        </w:rPr>
        <w:t xml:space="preserve">                 </w:t>
      </w:r>
      <w:r>
        <w:t>(Florea, 2026 –Gantt Chart Saint Thomas Church project).</w:t>
      </w:r>
    </w:p>
    <w:p w14:paraId="61314A62" w14:textId="7E9CC4F1" w:rsidR="00D8409C" w:rsidRDefault="00D8409C" w:rsidP="00BB4271">
      <w:pPr>
        <w:rPr>
          <w:b/>
          <w:bCs/>
        </w:rPr>
      </w:pPr>
    </w:p>
    <w:p w14:paraId="53E66B28" w14:textId="49A9AF6D" w:rsidR="00CC302E" w:rsidRDefault="00CC302E" w:rsidP="00BB4271">
      <w:pPr>
        <w:rPr>
          <w:b/>
          <w:bCs/>
        </w:rPr>
      </w:pPr>
    </w:p>
    <w:p w14:paraId="253876AB" w14:textId="77777777" w:rsidR="00CC302E" w:rsidRPr="00431E77" w:rsidRDefault="00CC302E" w:rsidP="00BB4271">
      <w:pPr>
        <w:rPr>
          <w:b/>
          <w:bCs/>
        </w:rPr>
      </w:pPr>
    </w:p>
    <w:p w14:paraId="43753300" w14:textId="77777777" w:rsidR="00A51847" w:rsidRPr="005127E1" w:rsidRDefault="00A51847" w:rsidP="00BB4271">
      <w:pPr>
        <w:rPr>
          <w:rFonts w:ascii="Arial" w:hAnsi="Arial" w:cs="Arial"/>
        </w:rPr>
      </w:pPr>
      <w:r w:rsidRPr="005127E1">
        <w:rPr>
          <w:rFonts w:ascii="Arial" w:hAnsi="Arial" w:cs="Arial"/>
        </w:rPr>
        <w:t>In addition to the WBS, a Gantt chart was used to schedule activities over a three-to-four-week period. Tasks were organised chronologically from initial meetings and stakeholder communication through to food collection and final delivery on 16 June 2026. The chart enabled the team to visualise deadlines, dependencies and progress, improving coordination and communication among members (</w:t>
      </w:r>
      <w:proofErr w:type="spellStart"/>
      <w:r w:rsidRPr="005127E1">
        <w:rPr>
          <w:rFonts w:ascii="Arial" w:hAnsi="Arial" w:cs="Arial"/>
        </w:rPr>
        <w:t>Vanhoucke</w:t>
      </w:r>
      <w:proofErr w:type="spellEnd"/>
      <w:r w:rsidRPr="005127E1">
        <w:rPr>
          <w:rFonts w:ascii="Arial" w:hAnsi="Arial" w:cs="Arial"/>
        </w:rPr>
        <w:t>, 2013).</w:t>
      </w:r>
    </w:p>
    <w:p w14:paraId="6D35A53E" w14:textId="0232535B" w:rsidR="00D8409C" w:rsidRPr="005127E1" w:rsidRDefault="00A51847" w:rsidP="00BB4271">
      <w:pPr>
        <w:rPr>
          <w:rFonts w:ascii="Arial" w:hAnsi="Arial" w:cs="Arial"/>
        </w:rPr>
      </w:pPr>
      <w:r w:rsidRPr="005127E1">
        <w:rPr>
          <w:rFonts w:ascii="Arial" w:hAnsi="Arial" w:cs="Arial"/>
        </w:rPr>
        <w:br/>
        <w:t>However, although Gantt charts provide a clear overview of planned activities, they can create a simplified representation of project progress and may become less effective when schedules require frequent adjustment due to uncertainty or changing conditions. Therefore, the chart supported monitoring and accountability but required regular review throughout the project lifecycle (</w:t>
      </w:r>
      <w:proofErr w:type="spellStart"/>
      <w:r w:rsidRPr="005127E1">
        <w:rPr>
          <w:rFonts w:ascii="Arial" w:hAnsi="Arial" w:cs="Arial"/>
        </w:rPr>
        <w:t>Maravas</w:t>
      </w:r>
      <w:proofErr w:type="spellEnd"/>
      <w:r w:rsidRPr="005127E1">
        <w:rPr>
          <w:rFonts w:ascii="Arial" w:hAnsi="Arial" w:cs="Arial"/>
        </w:rPr>
        <w:t xml:space="preserve"> and </w:t>
      </w:r>
      <w:proofErr w:type="spellStart"/>
      <w:r w:rsidRPr="005127E1">
        <w:rPr>
          <w:rFonts w:ascii="Arial" w:hAnsi="Arial" w:cs="Arial"/>
        </w:rPr>
        <w:t>Pantouvakis</w:t>
      </w:r>
      <w:proofErr w:type="spellEnd"/>
      <w:r w:rsidRPr="005127E1">
        <w:rPr>
          <w:rFonts w:ascii="Arial" w:hAnsi="Arial" w:cs="Arial"/>
        </w:rPr>
        <w:t xml:space="preserve">, 2025; </w:t>
      </w:r>
      <w:proofErr w:type="spellStart"/>
      <w:r w:rsidRPr="005127E1">
        <w:rPr>
          <w:rFonts w:ascii="Arial" w:hAnsi="Arial" w:cs="Arial"/>
        </w:rPr>
        <w:t>Brčić</w:t>
      </w:r>
      <w:proofErr w:type="spellEnd"/>
      <w:r w:rsidRPr="005127E1">
        <w:rPr>
          <w:rFonts w:ascii="Arial" w:hAnsi="Arial" w:cs="Arial"/>
        </w:rPr>
        <w:t xml:space="preserve"> and </w:t>
      </w:r>
      <w:proofErr w:type="spellStart"/>
      <w:r w:rsidRPr="005127E1">
        <w:rPr>
          <w:rFonts w:ascii="Arial" w:hAnsi="Arial" w:cs="Arial"/>
        </w:rPr>
        <w:t>Mlinarić</w:t>
      </w:r>
      <w:proofErr w:type="spellEnd"/>
      <w:r w:rsidRPr="005127E1">
        <w:rPr>
          <w:rFonts w:ascii="Arial" w:hAnsi="Arial" w:cs="Arial"/>
        </w:rPr>
        <w:t>, 2018).</w:t>
      </w:r>
    </w:p>
    <w:p w14:paraId="32F14590" w14:textId="77777777" w:rsidR="00D8409C" w:rsidRPr="005127E1" w:rsidRDefault="00D8409C" w:rsidP="00BB4271">
      <w:pPr>
        <w:rPr>
          <w:rFonts w:ascii="Arial" w:hAnsi="Arial" w:cs="Arial"/>
        </w:rPr>
      </w:pPr>
    </w:p>
    <w:p w14:paraId="34629044" w14:textId="3E112626" w:rsidR="00BB4271" w:rsidRPr="005127E1" w:rsidRDefault="00BB4271" w:rsidP="00BB4271">
      <w:pPr>
        <w:rPr>
          <w:rFonts w:ascii="Arial" w:hAnsi="Arial" w:cs="Arial"/>
        </w:rPr>
      </w:pPr>
      <w:r w:rsidRPr="005127E1">
        <w:rPr>
          <w:rFonts w:ascii="Arial" w:hAnsi="Arial" w:cs="Arial"/>
        </w:rPr>
        <w:t>This highlights one of the major criticisms of traditional project planning approaches: they often struggle to accommodate unexpected changes and may create unrealistic expectations of certainty (</w:t>
      </w:r>
      <w:proofErr w:type="spellStart"/>
      <w:r w:rsidRPr="005127E1">
        <w:rPr>
          <w:rFonts w:ascii="Arial" w:hAnsi="Arial" w:cs="Arial"/>
        </w:rPr>
        <w:t>Geraldi</w:t>
      </w:r>
      <w:proofErr w:type="spellEnd"/>
      <w:r w:rsidRPr="005127E1">
        <w:rPr>
          <w:rFonts w:ascii="Arial" w:hAnsi="Arial" w:cs="Arial"/>
        </w:rPr>
        <w:t xml:space="preserve"> and </w:t>
      </w:r>
      <w:proofErr w:type="spellStart"/>
      <w:r w:rsidRPr="005127E1">
        <w:rPr>
          <w:rFonts w:ascii="Arial" w:hAnsi="Arial" w:cs="Arial"/>
        </w:rPr>
        <w:t>Lechter</w:t>
      </w:r>
      <w:proofErr w:type="spellEnd"/>
      <w:r w:rsidRPr="005127E1">
        <w:rPr>
          <w:rFonts w:ascii="Arial" w:hAnsi="Arial" w:cs="Arial"/>
        </w:rPr>
        <w:t>, 2012). More adaptive approaches, such as Agile project management, may have enhanced flexibility and responsiveness.</w:t>
      </w:r>
    </w:p>
    <w:p w14:paraId="63C3E3CF" w14:textId="77777777" w:rsidR="00374928" w:rsidRPr="00431E77" w:rsidRDefault="00374928" w:rsidP="00BB4271"/>
    <w:p w14:paraId="444548B6" w14:textId="2BB2230A" w:rsidR="00BB4271" w:rsidRPr="00431E77" w:rsidRDefault="00431E77" w:rsidP="00431E77">
      <w:pPr>
        <w:pStyle w:val="Heading1"/>
      </w:pPr>
      <w:bookmarkStart w:id="8" w:name="_Toc233834461"/>
      <w:r>
        <w:lastRenderedPageBreak/>
        <w:t xml:space="preserve">6. </w:t>
      </w:r>
      <w:r w:rsidR="00BB4271" w:rsidRPr="00431E77">
        <w:t>Monitoring and Evaluation Throughout the Project Lifecycle</w:t>
      </w:r>
      <w:bookmarkEnd w:id="8"/>
    </w:p>
    <w:p w14:paraId="1E33A877" w14:textId="308FCB08" w:rsidR="00804A40" w:rsidRPr="00431E77" w:rsidRDefault="00804A40" w:rsidP="00804A40"/>
    <w:p w14:paraId="176CAC34" w14:textId="3F170681" w:rsidR="001F4780" w:rsidRPr="00431E77" w:rsidRDefault="001F4780" w:rsidP="00804A40"/>
    <w:p w14:paraId="1485D4F5" w14:textId="77777777" w:rsidR="001F4780" w:rsidRPr="00CC302E" w:rsidRDefault="001F4780" w:rsidP="001F4780">
      <w:pPr>
        <w:pStyle w:val="NormalWeb"/>
        <w:rPr>
          <w:rFonts w:ascii="Arial" w:hAnsi="Arial" w:cs="Arial"/>
          <w:sz w:val="22"/>
          <w:szCs w:val="22"/>
        </w:rPr>
      </w:pPr>
      <w:r w:rsidRPr="00CC302E">
        <w:rPr>
          <w:rFonts w:ascii="Arial" w:hAnsi="Arial" w:cs="Arial"/>
          <w:sz w:val="22"/>
          <w:szCs w:val="22"/>
        </w:rPr>
        <w:t>Monitoring and evaluation occurred throughout the project lifecycle through meetings, calls and group discussions, enabling progress reviews and identification of challenges (Chapman and Ward, 2011). Although effective for a small team, reliance on informal communication created risks of unclear responsibilities and inconsistent information sharing; therefore, more structured processes could improve accountability and transparency (</w:t>
      </w:r>
      <w:proofErr w:type="spellStart"/>
      <w:r w:rsidRPr="00CC302E">
        <w:rPr>
          <w:rFonts w:ascii="Arial" w:hAnsi="Arial" w:cs="Arial"/>
          <w:sz w:val="22"/>
          <w:szCs w:val="22"/>
        </w:rPr>
        <w:t>Sicotte</w:t>
      </w:r>
      <w:proofErr w:type="spellEnd"/>
      <w:r w:rsidRPr="00CC302E">
        <w:rPr>
          <w:rFonts w:ascii="Arial" w:hAnsi="Arial" w:cs="Arial"/>
          <w:sz w:val="22"/>
          <w:szCs w:val="22"/>
        </w:rPr>
        <w:t xml:space="preserve"> and </w:t>
      </w:r>
      <w:proofErr w:type="spellStart"/>
      <w:r w:rsidRPr="00CC302E">
        <w:rPr>
          <w:rFonts w:ascii="Arial" w:hAnsi="Arial" w:cs="Arial"/>
          <w:sz w:val="22"/>
          <w:szCs w:val="22"/>
        </w:rPr>
        <w:t>Delerue</w:t>
      </w:r>
      <w:proofErr w:type="spellEnd"/>
      <w:r w:rsidRPr="00CC302E">
        <w:rPr>
          <w:rFonts w:ascii="Arial" w:hAnsi="Arial" w:cs="Arial"/>
          <w:sz w:val="22"/>
          <w:szCs w:val="22"/>
        </w:rPr>
        <w:t>, 2021).</w:t>
      </w:r>
    </w:p>
    <w:p w14:paraId="6D476FD3" w14:textId="7AF379AB" w:rsidR="001F4780" w:rsidRPr="00CC302E" w:rsidRDefault="001F4780" w:rsidP="001F4780">
      <w:pPr>
        <w:pStyle w:val="NormalWeb"/>
        <w:rPr>
          <w:rFonts w:ascii="Arial" w:hAnsi="Arial" w:cs="Arial"/>
          <w:sz w:val="22"/>
          <w:szCs w:val="22"/>
        </w:rPr>
      </w:pPr>
      <w:r w:rsidRPr="00CC302E">
        <w:rPr>
          <w:rFonts w:ascii="Arial" w:hAnsi="Arial" w:cs="Arial"/>
          <w:sz w:val="22"/>
          <w:szCs w:val="22"/>
        </w:rPr>
        <w:t xml:space="preserve">The WBS, Gantt chart and monitoring activities supported coordination and problem-solving. However, the project highlighted </w:t>
      </w:r>
      <w:r w:rsidR="005127E1" w:rsidRPr="00CC302E">
        <w:rPr>
          <w:rFonts w:ascii="Arial" w:hAnsi="Arial" w:cs="Arial"/>
          <w:sz w:val="22"/>
          <w:szCs w:val="22"/>
        </w:rPr>
        <w:t>that</w:t>
      </w:r>
      <w:r w:rsidR="005127E1">
        <w:rPr>
          <w:rFonts w:ascii="Arial" w:hAnsi="Arial" w:cs="Arial"/>
          <w:sz w:val="22"/>
          <w:szCs w:val="22"/>
        </w:rPr>
        <w:t xml:space="preserve"> a </w:t>
      </w:r>
      <w:r w:rsidR="005127E1" w:rsidRPr="00CC302E">
        <w:rPr>
          <w:rFonts w:ascii="Arial" w:hAnsi="Arial" w:cs="Arial"/>
          <w:sz w:val="22"/>
          <w:szCs w:val="22"/>
        </w:rPr>
        <w:t>tool</w:t>
      </w:r>
      <w:r w:rsidRPr="00CC302E">
        <w:rPr>
          <w:rFonts w:ascii="Arial" w:hAnsi="Arial" w:cs="Arial"/>
          <w:sz w:val="22"/>
          <w:szCs w:val="22"/>
        </w:rPr>
        <w:t xml:space="preserve"> alone cannot ensure success, as outcomes also depend on communication, stakeholder engagement and adaptability to uncertainty (</w:t>
      </w:r>
      <w:proofErr w:type="spellStart"/>
      <w:r w:rsidRPr="00CC302E">
        <w:rPr>
          <w:rFonts w:ascii="Arial" w:hAnsi="Arial" w:cs="Arial"/>
          <w:sz w:val="22"/>
          <w:szCs w:val="22"/>
        </w:rPr>
        <w:t>Serrador</w:t>
      </w:r>
      <w:proofErr w:type="spellEnd"/>
      <w:r w:rsidRPr="00CC302E">
        <w:rPr>
          <w:rFonts w:ascii="Arial" w:hAnsi="Arial" w:cs="Arial"/>
          <w:sz w:val="22"/>
          <w:szCs w:val="22"/>
        </w:rPr>
        <w:t xml:space="preserve"> and Turner, 2015). Dependence on Tesco and donors further demonstrated the importance of early risk identification and contingency planning.</w:t>
      </w:r>
    </w:p>
    <w:p w14:paraId="6899F407" w14:textId="77777777" w:rsidR="001F4780" w:rsidRPr="00CC302E" w:rsidRDefault="001F4780" w:rsidP="001F4780">
      <w:pPr>
        <w:pStyle w:val="NormalWeb"/>
        <w:rPr>
          <w:rFonts w:ascii="Arial" w:hAnsi="Arial" w:cs="Arial"/>
          <w:sz w:val="22"/>
          <w:szCs w:val="22"/>
        </w:rPr>
      </w:pPr>
      <w:r w:rsidRPr="00CC302E">
        <w:rPr>
          <w:rFonts w:ascii="Arial" w:hAnsi="Arial" w:cs="Arial"/>
          <w:sz w:val="22"/>
          <w:szCs w:val="22"/>
        </w:rPr>
        <w:t>Belbin’s model also highlighted that team roles are not fixed, as members may demonstrate multiple behaviours depending on the situation. During the project, adapting to challenges required leadership beyond coordination, including problem-solving and decision-making (</w:t>
      </w:r>
      <w:proofErr w:type="spellStart"/>
      <w:r w:rsidRPr="00CC302E">
        <w:rPr>
          <w:rFonts w:ascii="Arial" w:hAnsi="Arial" w:cs="Arial"/>
          <w:sz w:val="22"/>
          <w:szCs w:val="22"/>
        </w:rPr>
        <w:t>Syahlan</w:t>
      </w:r>
      <w:proofErr w:type="spellEnd"/>
      <w:r w:rsidRPr="00CC302E">
        <w:rPr>
          <w:rFonts w:ascii="Arial" w:hAnsi="Arial" w:cs="Arial"/>
          <w:sz w:val="22"/>
          <w:szCs w:val="22"/>
        </w:rPr>
        <w:t xml:space="preserve"> et al., 2024). SWOT analysis, peer feedback and Action Learning supported reflection and continuous improvement, although feedback can be subjective and influenced by participant engagement (Helms and Nixon, 2010; Kenton, 2025).</w:t>
      </w:r>
    </w:p>
    <w:p w14:paraId="75338C7A" w14:textId="4D3A4D86" w:rsidR="001F4780" w:rsidRDefault="001F4780" w:rsidP="001F4780">
      <w:pPr>
        <w:pStyle w:val="NormalWeb"/>
        <w:rPr>
          <w:rFonts w:ascii="Arial" w:hAnsi="Arial" w:cs="Arial"/>
          <w:sz w:val="22"/>
          <w:szCs w:val="22"/>
        </w:rPr>
      </w:pPr>
      <w:r w:rsidRPr="00CC302E">
        <w:rPr>
          <w:rFonts w:ascii="Arial" w:hAnsi="Arial" w:cs="Arial"/>
          <w:sz w:val="22"/>
          <w:szCs w:val="22"/>
        </w:rPr>
        <w:t>A key lesson learned was the importance of feasibility assessment. Initial ideas created delays due to insufficient consideration of practical constraints, demonstrating that successful projects require a balance between ambition, resources and realistic objectives. Effective delivery depends not only on technical planning but also on communication and stakeholder alignment (</w:t>
      </w:r>
      <w:proofErr w:type="spellStart"/>
      <w:r w:rsidRPr="00CC302E">
        <w:rPr>
          <w:rFonts w:ascii="Arial" w:hAnsi="Arial" w:cs="Arial"/>
          <w:sz w:val="22"/>
          <w:szCs w:val="22"/>
        </w:rPr>
        <w:t>Badewi</w:t>
      </w:r>
      <w:proofErr w:type="spellEnd"/>
      <w:r w:rsidRPr="00CC302E">
        <w:rPr>
          <w:rFonts w:ascii="Arial" w:hAnsi="Arial" w:cs="Arial"/>
          <w:sz w:val="22"/>
          <w:szCs w:val="22"/>
        </w:rPr>
        <w:t xml:space="preserve">, 2021; </w:t>
      </w:r>
      <w:proofErr w:type="spellStart"/>
      <w:r w:rsidRPr="00CC302E">
        <w:rPr>
          <w:rFonts w:ascii="Arial" w:hAnsi="Arial" w:cs="Arial"/>
          <w:sz w:val="22"/>
          <w:szCs w:val="22"/>
        </w:rPr>
        <w:t>Eskerod</w:t>
      </w:r>
      <w:proofErr w:type="spellEnd"/>
      <w:r w:rsidR="00B843D3">
        <w:rPr>
          <w:rFonts w:ascii="Arial" w:hAnsi="Arial" w:cs="Arial"/>
          <w:sz w:val="22"/>
          <w:szCs w:val="22"/>
        </w:rPr>
        <w:t xml:space="preserve"> et al.</w:t>
      </w:r>
      <w:r w:rsidRPr="00CC302E">
        <w:rPr>
          <w:rFonts w:ascii="Arial" w:hAnsi="Arial" w:cs="Arial"/>
          <w:sz w:val="22"/>
          <w:szCs w:val="22"/>
        </w:rPr>
        <w:t>, 2015).</w:t>
      </w:r>
    </w:p>
    <w:p w14:paraId="4888402E" w14:textId="405DED55" w:rsidR="00C164C0" w:rsidRPr="00B55C62" w:rsidRDefault="00B55C62" w:rsidP="00B55C62">
      <w:pPr>
        <w:pStyle w:val="NormalWeb"/>
        <w:rPr>
          <w:rFonts w:ascii="Arial" w:hAnsi="Arial" w:cs="Arial"/>
          <w:sz w:val="22"/>
          <w:szCs w:val="22"/>
        </w:rPr>
      </w:pPr>
      <w:r>
        <w:rPr>
          <w:noProof/>
        </w:rPr>
        <w:drawing>
          <wp:inline distT="0" distB="0" distL="0" distR="0" wp14:anchorId="730B620F" wp14:editId="75462DB8">
            <wp:extent cx="5915025" cy="2915920"/>
            <wp:effectExtent l="0" t="0" r="9525" b="0"/>
            <wp:docPr id="125882510" name="Picture 5"/>
            <wp:cNvGraphicFramePr/>
            <a:graphic xmlns:a="http://schemas.openxmlformats.org/drawingml/2006/main">
              <a:graphicData uri="http://schemas.openxmlformats.org/drawingml/2006/picture">
                <pic:pic xmlns:pic="http://schemas.openxmlformats.org/drawingml/2006/picture">
                  <pic:nvPicPr>
                    <pic:cNvPr id="125882510" name="Picture 5"/>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5025" cy="2915920"/>
                    </a:xfrm>
                    <a:prstGeom prst="rect">
                      <a:avLst/>
                    </a:prstGeom>
                    <a:noFill/>
                    <a:ln>
                      <a:noFill/>
                    </a:ln>
                  </pic:spPr>
                </pic:pic>
              </a:graphicData>
            </a:graphic>
          </wp:inline>
        </w:drawing>
      </w:r>
      <w:r>
        <w:rPr>
          <w:rFonts w:ascii="Arial" w:hAnsi="Arial" w:cs="Arial"/>
          <w:sz w:val="22"/>
          <w:szCs w:val="22"/>
        </w:rPr>
        <w:br/>
        <w:t xml:space="preserve">                                                        (Florea, 2026 – food delivered at St. Thomas Church).</w:t>
      </w:r>
    </w:p>
    <w:p w14:paraId="626B4303" w14:textId="006521F4" w:rsidR="00804A40" w:rsidRPr="00431E77" w:rsidRDefault="00431E77" w:rsidP="00431E77">
      <w:pPr>
        <w:pStyle w:val="Heading1"/>
      </w:pPr>
      <w:bookmarkStart w:id="9" w:name="_Toc233834462"/>
      <w:r>
        <w:lastRenderedPageBreak/>
        <w:t>7</w:t>
      </w:r>
      <w:r w:rsidR="00804A40" w:rsidRPr="00431E77">
        <w:t>. Recommendations for Future Projects</w:t>
      </w:r>
      <w:bookmarkEnd w:id="9"/>
    </w:p>
    <w:p w14:paraId="3EE2F27F" w14:textId="388FCFD0" w:rsidR="002802CD" w:rsidRPr="00CC302E" w:rsidRDefault="002802CD" w:rsidP="002802CD">
      <w:pPr>
        <w:pStyle w:val="isselectedend"/>
        <w:rPr>
          <w:rFonts w:ascii="Arial" w:hAnsi="Arial" w:cs="Arial"/>
          <w:sz w:val="22"/>
          <w:szCs w:val="22"/>
        </w:rPr>
      </w:pPr>
      <w:r w:rsidRPr="00CC302E">
        <w:rPr>
          <w:rFonts w:ascii="Arial" w:hAnsi="Arial" w:cs="Arial"/>
          <w:sz w:val="22"/>
          <w:szCs w:val="22"/>
        </w:rPr>
        <w:t>Several recommendations can be proposed to improve future project management. Firstly, greater emphasis should be placed on feasibility analysis during project initiation, as unrealistic ideas can create delays and require resources to be redirected. Therefore, early evaluation of project constraints, resources and stakeholder expectations should complement brainstorming activities (</w:t>
      </w:r>
      <w:proofErr w:type="spellStart"/>
      <w:r w:rsidR="00427E71" w:rsidRPr="00CC302E">
        <w:rPr>
          <w:rFonts w:ascii="Arial" w:hAnsi="Arial" w:cs="Arial"/>
          <w:sz w:val="22"/>
          <w:szCs w:val="22"/>
        </w:rPr>
        <w:t>Ssegawa</w:t>
      </w:r>
      <w:proofErr w:type="spellEnd"/>
      <w:r w:rsidR="00427E71" w:rsidRPr="00CC302E">
        <w:rPr>
          <w:rFonts w:ascii="Arial" w:hAnsi="Arial" w:cs="Arial"/>
          <w:sz w:val="22"/>
          <w:szCs w:val="22"/>
        </w:rPr>
        <w:t xml:space="preserve">, and </w:t>
      </w:r>
      <w:proofErr w:type="spellStart"/>
      <w:r w:rsidR="00427E71" w:rsidRPr="00CC302E">
        <w:rPr>
          <w:rFonts w:ascii="Arial" w:hAnsi="Arial" w:cs="Arial"/>
          <w:sz w:val="22"/>
          <w:szCs w:val="22"/>
        </w:rPr>
        <w:t>Muzinda</w:t>
      </w:r>
      <w:proofErr w:type="spellEnd"/>
      <w:r w:rsidR="00427E71" w:rsidRPr="00CC302E">
        <w:rPr>
          <w:rFonts w:ascii="Arial" w:hAnsi="Arial" w:cs="Arial"/>
          <w:sz w:val="22"/>
          <w:szCs w:val="22"/>
        </w:rPr>
        <w:t>, 2021</w:t>
      </w:r>
      <w:r w:rsidRPr="00CC302E">
        <w:rPr>
          <w:rFonts w:ascii="Arial" w:hAnsi="Arial" w:cs="Arial"/>
          <w:sz w:val="22"/>
          <w:szCs w:val="22"/>
        </w:rPr>
        <w:t>).</w:t>
      </w:r>
    </w:p>
    <w:p w14:paraId="237DCF59" w14:textId="77777777" w:rsidR="002802CD" w:rsidRPr="00CC302E" w:rsidRDefault="002802CD" w:rsidP="002802CD">
      <w:pPr>
        <w:pStyle w:val="isselectedend"/>
        <w:rPr>
          <w:rFonts w:ascii="Arial" w:hAnsi="Arial" w:cs="Arial"/>
          <w:sz w:val="22"/>
          <w:szCs w:val="22"/>
        </w:rPr>
      </w:pPr>
      <w:r w:rsidRPr="00CC302E">
        <w:rPr>
          <w:rFonts w:ascii="Arial" w:hAnsi="Arial" w:cs="Arial"/>
          <w:sz w:val="22"/>
          <w:szCs w:val="22"/>
        </w:rPr>
        <w:t>Secondly, a formal communication plan should be introduced. Although informal communication was effective for this project, relying mainly on verbal updates may increase the risk of unclear responsibilities and inconsistent information sharing. Structured communication processes can improve coordination and accountability among project participants (</w:t>
      </w:r>
      <w:proofErr w:type="spellStart"/>
      <w:r w:rsidRPr="00CC302E">
        <w:rPr>
          <w:rFonts w:ascii="Arial" w:hAnsi="Arial" w:cs="Arial"/>
          <w:sz w:val="22"/>
          <w:szCs w:val="22"/>
        </w:rPr>
        <w:t>Zulch</w:t>
      </w:r>
      <w:proofErr w:type="spellEnd"/>
      <w:r w:rsidRPr="00CC302E">
        <w:rPr>
          <w:rFonts w:ascii="Arial" w:hAnsi="Arial" w:cs="Arial"/>
          <w:sz w:val="22"/>
          <w:szCs w:val="22"/>
        </w:rPr>
        <w:t>, 2014).</w:t>
      </w:r>
    </w:p>
    <w:p w14:paraId="2C8861AD" w14:textId="695E974A" w:rsidR="002802CD" w:rsidRPr="00CC302E" w:rsidRDefault="002802CD" w:rsidP="002802CD">
      <w:pPr>
        <w:pStyle w:val="isselectedend"/>
        <w:rPr>
          <w:rFonts w:ascii="Arial" w:hAnsi="Arial" w:cs="Arial"/>
          <w:sz w:val="22"/>
          <w:szCs w:val="22"/>
        </w:rPr>
      </w:pPr>
      <w:r w:rsidRPr="00CC302E">
        <w:rPr>
          <w:rFonts w:ascii="Arial" w:hAnsi="Arial" w:cs="Arial"/>
          <w:sz w:val="22"/>
          <w:szCs w:val="22"/>
        </w:rPr>
        <w:t xml:space="preserve">Thirdly, risk management should become more proactive through risk registers and contingency planning. However, risk management should not only identify possible problems but also support decision-making when uncertainty occurs (Raz, </w:t>
      </w:r>
      <w:r w:rsidR="00E251B3">
        <w:rPr>
          <w:rFonts w:ascii="Arial" w:hAnsi="Arial" w:cs="Arial"/>
          <w:sz w:val="22"/>
          <w:szCs w:val="22"/>
        </w:rPr>
        <w:t xml:space="preserve">et al., </w:t>
      </w:r>
      <w:r w:rsidRPr="00CC302E">
        <w:rPr>
          <w:rFonts w:ascii="Arial" w:hAnsi="Arial" w:cs="Arial"/>
          <w:sz w:val="22"/>
          <w:szCs w:val="22"/>
        </w:rPr>
        <w:t>2002).</w:t>
      </w:r>
    </w:p>
    <w:p w14:paraId="0717E33F" w14:textId="1A1BDD9F" w:rsidR="002802CD" w:rsidRPr="00CC302E" w:rsidRDefault="002802CD" w:rsidP="002802CD">
      <w:pPr>
        <w:pStyle w:val="isselectedend"/>
        <w:rPr>
          <w:rFonts w:ascii="Arial" w:hAnsi="Arial" w:cs="Arial"/>
          <w:sz w:val="22"/>
          <w:szCs w:val="22"/>
        </w:rPr>
      </w:pPr>
      <w:r w:rsidRPr="00CC302E">
        <w:rPr>
          <w:rFonts w:ascii="Arial" w:hAnsi="Arial" w:cs="Arial"/>
          <w:sz w:val="22"/>
          <w:szCs w:val="22"/>
        </w:rPr>
        <w:t>Furthermore, digital project management tools such as Trello or Microsoft Project could improve collaboration, visibility and monitoring. Nevertheless, technology should support rather than replace effective teamwork and communication, as tools alone cannot resolve project complexity (</w:t>
      </w:r>
      <w:proofErr w:type="spellStart"/>
      <w:r w:rsidRPr="00CC302E">
        <w:rPr>
          <w:rFonts w:ascii="Arial" w:hAnsi="Arial" w:cs="Arial"/>
          <w:sz w:val="22"/>
          <w:szCs w:val="22"/>
        </w:rPr>
        <w:t>Gemino</w:t>
      </w:r>
      <w:proofErr w:type="spellEnd"/>
      <w:r w:rsidR="005213BA">
        <w:rPr>
          <w:rFonts w:ascii="Arial" w:hAnsi="Arial" w:cs="Arial"/>
          <w:sz w:val="22"/>
          <w:szCs w:val="22"/>
        </w:rPr>
        <w:t xml:space="preserve"> et al.</w:t>
      </w:r>
      <w:r w:rsidRPr="00CC302E">
        <w:rPr>
          <w:rFonts w:ascii="Arial" w:hAnsi="Arial" w:cs="Arial"/>
          <w:sz w:val="22"/>
          <w:szCs w:val="22"/>
        </w:rPr>
        <w:t>, 2021).</w:t>
      </w:r>
    </w:p>
    <w:p w14:paraId="3A75A09C" w14:textId="77777777" w:rsidR="002802CD" w:rsidRPr="00CC302E" w:rsidRDefault="002802CD" w:rsidP="002802CD">
      <w:pPr>
        <w:pStyle w:val="NormalWeb"/>
        <w:rPr>
          <w:rFonts w:ascii="Arial" w:hAnsi="Arial" w:cs="Arial"/>
          <w:sz w:val="22"/>
          <w:szCs w:val="22"/>
        </w:rPr>
      </w:pPr>
      <w:r w:rsidRPr="00CC302E">
        <w:rPr>
          <w:rFonts w:ascii="Arial" w:hAnsi="Arial" w:cs="Arial"/>
          <w:sz w:val="22"/>
          <w:szCs w:val="22"/>
        </w:rPr>
        <w:t>Finally, stakeholder involvement should be expanded to include local businesses, community organisations and volunteers. A wider stakeholder network can strengthen resources and reduce dependence on individual contributors, improving project sustainability (</w:t>
      </w:r>
      <w:proofErr w:type="spellStart"/>
      <w:r w:rsidRPr="00CC302E">
        <w:rPr>
          <w:rFonts w:ascii="Arial" w:hAnsi="Arial" w:cs="Arial"/>
          <w:sz w:val="22"/>
          <w:szCs w:val="22"/>
        </w:rPr>
        <w:t>Aaltonen</w:t>
      </w:r>
      <w:proofErr w:type="spellEnd"/>
      <w:r w:rsidRPr="00CC302E">
        <w:rPr>
          <w:rFonts w:ascii="Arial" w:hAnsi="Arial" w:cs="Arial"/>
          <w:sz w:val="22"/>
          <w:szCs w:val="22"/>
        </w:rPr>
        <w:t xml:space="preserve"> and </w:t>
      </w:r>
      <w:proofErr w:type="spellStart"/>
      <w:r w:rsidRPr="00CC302E">
        <w:rPr>
          <w:rFonts w:ascii="Arial" w:hAnsi="Arial" w:cs="Arial"/>
          <w:sz w:val="22"/>
          <w:szCs w:val="22"/>
        </w:rPr>
        <w:t>Kujala</w:t>
      </w:r>
      <w:proofErr w:type="spellEnd"/>
      <w:r w:rsidRPr="00CC302E">
        <w:rPr>
          <w:rFonts w:ascii="Arial" w:hAnsi="Arial" w:cs="Arial"/>
          <w:sz w:val="22"/>
          <w:szCs w:val="22"/>
        </w:rPr>
        <w:t>, 2016).</w:t>
      </w:r>
    </w:p>
    <w:p w14:paraId="388E074E" w14:textId="77777777" w:rsidR="00C164C0" w:rsidRPr="00431E77" w:rsidRDefault="00C164C0" w:rsidP="00804A40">
      <w:pPr>
        <w:rPr>
          <w:b/>
          <w:bCs/>
        </w:rPr>
      </w:pPr>
    </w:p>
    <w:p w14:paraId="1419A629" w14:textId="77777777" w:rsidR="00C164C0" w:rsidRPr="00431E77" w:rsidRDefault="00C164C0" w:rsidP="00804A40">
      <w:pPr>
        <w:rPr>
          <w:b/>
          <w:bCs/>
        </w:rPr>
      </w:pPr>
    </w:p>
    <w:p w14:paraId="4E811E83" w14:textId="77777777" w:rsidR="00C164C0" w:rsidRPr="00431E77" w:rsidRDefault="00C164C0" w:rsidP="00804A40">
      <w:pPr>
        <w:rPr>
          <w:b/>
          <w:bCs/>
        </w:rPr>
      </w:pPr>
    </w:p>
    <w:p w14:paraId="203F8FCF" w14:textId="77777777" w:rsidR="00C164C0" w:rsidRPr="00431E77" w:rsidRDefault="00C164C0" w:rsidP="00804A40">
      <w:pPr>
        <w:rPr>
          <w:b/>
          <w:bCs/>
        </w:rPr>
      </w:pPr>
    </w:p>
    <w:p w14:paraId="68768AA3" w14:textId="77777777" w:rsidR="00C164C0" w:rsidRPr="00431E77" w:rsidRDefault="00C164C0" w:rsidP="00804A40">
      <w:pPr>
        <w:rPr>
          <w:b/>
          <w:bCs/>
        </w:rPr>
      </w:pPr>
    </w:p>
    <w:p w14:paraId="00D87B96" w14:textId="77777777" w:rsidR="00C164C0" w:rsidRPr="00431E77" w:rsidRDefault="00C164C0" w:rsidP="00804A40">
      <w:pPr>
        <w:rPr>
          <w:b/>
          <w:bCs/>
        </w:rPr>
      </w:pPr>
    </w:p>
    <w:p w14:paraId="72C21881" w14:textId="77777777" w:rsidR="00C164C0" w:rsidRPr="00431E77" w:rsidRDefault="00C164C0" w:rsidP="00804A40">
      <w:pPr>
        <w:rPr>
          <w:b/>
          <w:bCs/>
        </w:rPr>
      </w:pPr>
    </w:p>
    <w:p w14:paraId="0E4E80A2" w14:textId="77777777" w:rsidR="00C164C0" w:rsidRPr="00431E77" w:rsidRDefault="00C164C0" w:rsidP="00804A40">
      <w:pPr>
        <w:rPr>
          <w:b/>
          <w:bCs/>
        </w:rPr>
      </w:pPr>
    </w:p>
    <w:p w14:paraId="28223385" w14:textId="77777777" w:rsidR="00C164C0" w:rsidRPr="00431E77" w:rsidRDefault="00C164C0" w:rsidP="00804A40">
      <w:pPr>
        <w:rPr>
          <w:b/>
          <w:bCs/>
        </w:rPr>
      </w:pPr>
    </w:p>
    <w:p w14:paraId="226ECBBE" w14:textId="77777777" w:rsidR="00C164C0" w:rsidRPr="00431E77" w:rsidRDefault="00C164C0" w:rsidP="00804A40">
      <w:pPr>
        <w:rPr>
          <w:b/>
          <w:bCs/>
        </w:rPr>
      </w:pPr>
    </w:p>
    <w:p w14:paraId="5FEC59FF" w14:textId="77777777" w:rsidR="00C164C0" w:rsidRPr="00431E77" w:rsidRDefault="00C164C0" w:rsidP="00804A40">
      <w:pPr>
        <w:rPr>
          <w:b/>
          <w:bCs/>
        </w:rPr>
      </w:pPr>
    </w:p>
    <w:p w14:paraId="4A4C5D36" w14:textId="77777777" w:rsidR="00C164C0" w:rsidRPr="00431E77" w:rsidRDefault="00C164C0" w:rsidP="00804A40">
      <w:pPr>
        <w:rPr>
          <w:b/>
          <w:bCs/>
        </w:rPr>
      </w:pPr>
    </w:p>
    <w:p w14:paraId="26E46EC4" w14:textId="77777777" w:rsidR="00C164C0" w:rsidRPr="00431E77" w:rsidRDefault="00C164C0" w:rsidP="00804A40">
      <w:pPr>
        <w:rPr>
          <w:b/>
          <w:bCs/>
        </w:rPr>
      </w:pPr>
    </w:p>
    <w:p w14:paraId="797AC391" w14:textId="77777777" w:rsidR="00C164C0" w:rsidRPr="00431E77" w:rsidRDefault="00C164C0" w:rsidP="00804A40">
      <w:pPr>
        <w:rPr>
          <w:b/>
          <w:bCs/>
        </w:rPr>
      </w:pPr>
    </w:p>
    <w:p w14:paraId="2037E5AD" w14:textId="77777777" w:rsidR="00C164C0" w:rsidRPr="00431E77" w:rsidRDefault="00C164C0" w:rsidP="00804A40">
      <w:pPr>
        <w:rPr>
          <w:b/>
          <w:bCs/>
        </w:rPr>
      </w:pPr>
    </w:p>
    <w:p w14:paraId="5BF65FB7" w14:textId="77777777" w:rsidR="00C164C0" w:rsidRPr="00431E77" w:rsidRDefault="00C164C0" w:rsidP="00804A40">
      <w:pPr>
        <w:rPr>
          <w:b/>
          <w:bCs/>
        </w:rPr>
      </w:pPr>
    </w:p>
    <w:p w14:paraId="14FCE7CF" w14:textId="5F3C45B0" w:rsidR="00804A40" w:rsidRDefault="00431E77" w:rsidP="00431E77">
      <w:pPr>
        <w:pStyle w:val="Heading1"/>
      </w:pPr>
      <w:bookmarkStart w:id="10" w:name="_Toc233834463"/>
      <w:r>
        <w:t>8</w:t>
      </w:r>
      <w:r w:rsidR="00804A40" w:rsidRPr="00431E77">
        <w:t>. Conclusion</w:t>
      </w:r>
      <w:bookmarkEnd w:id="10"/>
    </w:p>
    <w:p w14:paraId="264A5FC2" w14:textId="77777777" w:rsidR="00CC302E" w:rsidRPr="00CC302E" w:rsidRDefault="00CC302E" w:rsidP="00CC302E"/>
    <w:p w14:paraId="4555B402" w14:textId="77777777" w:rsidR="00804A40" w:rsidRPr="00CC302E" w:rsidRDefault="00804A40" w:rsidP="00804A40">
      <w:pPr>
        <w:rPr>
          <w:rFonts w:ascii="Arial" w:hAnsi="Arial" w:cs="Arial"/>
        </w:rPr>
      </w:pPr>
      <w:r w:rsidRPr="00CC302E">
        <w:rPr>
          <w:rFonts w:ascii="Arial" w:hAnsi="Arial" w:cs="Arial"/>
        </w:rPr>
        <w:t>The St Thomas Church Food Donation Project demonstrated the importance of effective project management throughout the entire project lifecycle. Beginning with group formation and project initiation, the team successfully selected a realistic and socially meaningful project that addressed food insecurity within the local community. Project management tools, including the Work Breakdown Structure and Gantt chart, facilitated planning and coordination, whilst stakeholder engagement and continuous monitoring contributed to successful implementation.</w:t>
      </w:r>
    </w:p>
    <w:p w14:paraId="03E79955" w14:textId="11F19024" w:rsidR="00804A40" w:rsidRPr="00CC302E" w:rsidRDefault="00804A40" w:rsidP="00804A40">
      <w:pPr>
        <w:rPr>
          <w:rFonts w:ascii="Arial" w:hAnsi="Arial" w:cs="Arial"/>
        </w:rPr>
      </w:pPr>
      <w:r w:rsidRPr="00CC302E">
        <w:rPr>
          <w:rFonts w:ascii="Arial" w:hAnsi="Arial" w:cs="Arial"/>
        </w:rPr>
        <w:t>However, the project also highlighted limitations associated with traditional planning techniques, stakeholder dependency and informal communication processes. Self-reflection through SWOT analysis, Belbin Team Roles and peer feedback provided valuable opportunities for leadership development and learning. Overall, the experience emphasised that successful project management extends beyond technical tools and requires adaptability, communication and stakeholder collaboration. Future projects would benefit from more formal risk management, enhanced communication strategies and broader stakeholder involvement to maximise long-term impact</w:t>
      </w:r>
      <w:r w:rsidR="00C164C0" w:rsidRPr="00CC302E">
        <w:rPr>
          <w:rFonts w:ascii="Arial" w:hAnsi="Arial" w:cs="Arial"/>
        </w:rPr>
        <w:t>.</w:t>
      </w:r>
    </w:p>
    <w:p w14:paraId="322D3E2F" w14:textId="77777777" w:rsidR="00472070" w:rsidRPr="00431E77" w:rsidRDefault="00472070"/>
    <w:p w14:paraId="0BA2FABD" w14:textId="4EF334CB" w:rsidR="00EC442F" w:rsidRPr="00431E77" w:rsidRDefault="00B55C62">
      <w:r>
        <w:rPr>
          <w:noProof/>
        </w:rPr>
        <w:drawing>
          <wp:inline distT="0" distB="0" distL="0" distR="0" wp14:anchorId="633D3A5E" wp14:editId="63AC1A7E">
            <wp:extent cx="5731510" cy="4048760"/>
            <wp:effectExtent l="0" t="0" r="2540" b="8890"/>
            <wp:docPr id="69064993" name="Picture 1"/>
            <wp:cNvGraphicFramePr/>
            <a:graphic xmlns:a="http://schemas.openxmlformats.org/drawingml/2006/main">
              <a:graphicData uri="http://schemas.openxmlformats.org/drawingml/2006/picture">
                <pic:pic xmlns:pic="http://schemas.openxmlformats.org/drawingml/2006/picture">
                  <pic:nvPicPr>
                    <pic:cNvPr id="69064993"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48760"/>
                    </a:xfrm>
                    <a:prstGeom prst="rect">
                      <a:avLst/>
                    </a:prstGeom>
                    <a:noFill/>
                    <a:ln>
                      <a:noFill/>
                    </a:ln>
                  </pic:spPr>
                </pic:pic>
              </a:graphicData>
            </a:graphic>
          </wp:inline>
        </w:drawing>
      </w:r>
    </w:p>
    <w:p w14:paraId="64CA5E43" w14:textId="7246328B" w:rsidR="00EC442F" w:rsidRPr="00431E77" w:rsidRDefault="00B55C62">
      <w:r>
        <w:t xml:space="preserve">                                    (Florea, 2026 – Group photo with St. Thomas Church`s administrator).</w:t>
      </w:r>
    </w:p>
    <w:p w14:paraId="71E82B39" w14:textId="43CA4C52" w:rsidR="005C6927" w:rsidRPr="005C6927" w:rsidRDefault="00906244" w:rsidP="005C6927">
      <w:pPr>
        <w:pStyle w:val="Heading1"/>
      </w:pPr>
      <w:bookmarkStart w:id="11" w:name="_Toc233834464"/>
      <w:r w:rsidRPr="00431E77">
        <w:lastRenderedPageBreak/>
        <w:t>Reference list:</w:t>
      </w:r>
      <w:bookmarkEnd w:id="11"/>
    </w:p>
    <w:p w14:paraId="72CF21C7" w14:textId="77777777" w:rsidR="005C6927" w:rsidRPr="00431E77" w:rsidRDefault="005C6927" w:rsidP="002802CD">
      <w:pPr>
        <w:spacing w:after="0" w:line="240" w:lineRule="auto"/>
        <w:rPr>
          <w:rFonts w:ascii="Times New Roman" w:eastAsia="Times New Roman" w:hAnsi="Times New Roman" w:cs="Times New Roman"/>
          <w:sz w:val="24"/>
          <w:szCs w:val="24"/>
          <w:lang w:eastAsia="en-GB"/>
        </w:rPr>
      </w:pPr>
    </w:p>
    <w:p w14:paraId="0F4FBF77" w14:textId="2FB9027A" w:rsidR="005C6927" w:rsidRPr="005C6927" w:rsidRDefault="005C6927" w:rsidP="00F55010">
      <w:pPr>
        <w:spacing w:after="0" w:line="240" w:lineRule="auto"/>
        <w:rPr>
          <w:rFonts w:ascii="Arial" w:eastAsia="Times New Roman" w:hAnsi="Arial" w:cs="Arial"/>
          <w:lang w:eastAsia="en-GB"/>
        </w:rPr>
      </w:pPr>
      <w:proofErr w:type="spellStart"/>
      <w:r w:rsidRPr="00F55010">
        <w:rPr>
          <w:rFonts w:ascii="Arial" w:eastAsia="Times New Roman" w:hAnsi="Arial" w:cs="Arial"/>
          <w:lang w:eastAsia="en-GB"/>
        </w:rPr>
        <w:t>Aaltonen</w:t>
      </w:r>
      <w:proofErr w:type="spellEnd"/>
      <w:r w:rsidRPr="00F55010">
        <w:rPr>
          <w:rFonts w:ascii="Arial" w:eastAsia="Times New Roman" w:hAnsi="Arial" w:cs="Arial"/>
          <w:lang w:eastAsia="en-GB"/>
        </w:rPr>
        <w:t xml:space="preserve">, K. and </w:t>
      </w:r>
      <w:proofErr w:type="spellStart"/>
      <w:r w:rsidRPr="00F55010">
        <w:rPr>
          <w:rFonts w:ascii="Arial" w:eastAsia="Times New Roman" w:hAnsi="Arial" w:cs="Arial"/>
          <w:lang w:eastAsia="en-GB"/>
        </w:rPr>
        <w:t>Kujala</w:t>
      </w:r>
      <w:proofErr w:type="spellEnd"/>
      <w:r w:rsidRPr="00F55010">
        <w:rPr>
          <w:rFonts w:ascii="Arial" w:eastAsia="Times New Roman" w:hAnsi="Arial" w:cs="Arial"/>
          <w:lang w:eastAsia="en-GB"/>
        </w:rPr>
        <w:t xml:space="preserve">, J. (2016). Towards an improved understanding of project stakeholder landscapes. </w:t>
      </w:r>
      <w:r w:rsidRPr="00F55010">
        <w:rPr>
          <w:rFonts w:ascii="Arial" w:eastAsia="Times New Roman" w:hAnsi="Arial" w:cs="Arial"/>
          <w:i/>
          <w:iCs/>
          <w:lang w:eastAsia="en-GB"/>
        </w:rPr>
        <w:t>International Journal of Project Management</w:t>
      </w:r>
      <w:r w:rsidRPr="00F55010">
        <w:rPr>
          <w:rFonts w:ascii="Arial" w:eastAsia="Times New Roman" w:hAnsi="Arial" w:cs="Arial"/>
          <w:lang w:eastAsia="en-GB"/>
        </w:rPr>
        <w:t>, 34(8), pp.1537–1552.</w:t>
      </w:r>
      <w:r w:rsidRPr="005C6927">
        <w:rPr>
          <w:rFonts w:ascii="Arial" w:eastAsia="Times New Roman" w:hAnsi="Arial" w:cs="Arial"/>
          <w:lang w:eastAsia="en-GB"/>
        </w:rPr>
        <w:br/>
        <w:t xml:space="preserve">Available at: </w:t>
      </w:r>
      <w:hyperlink r:id="rId11" w:history="1">
        <w:r w:rsidRPr="00F55010">
          <w:rPr>
            <w:rStyle w:val="Hyperlink"/>
            <w:rFonts w:ascii="Arial" w:eastAsia="Times New Roman" w:hAnsi="Arial" w:cs="Arial"/>
            <w:lang w:eastAsia="en-GB"/>
          </w:rPr>
          <w:t>https://doi.org/10.1016/j.ijproman.2016.08.009</w:t>
        </w:r>
      </w:hyperlink>
      <w:r w:rsidRPr="00F55010">
        <w:rPr>
          <w:rFonts w:ascii="Arial" w:eastAsia="Times New Roman" w:hAnsi="Arial" w:cs="Arial"/>
          <w:lang w:eastAsia="en-GB"/>
        </w:rPr>
        <w:t>.</w:t>
      </w:r>
    </w:p>
    <w:p w14:paraId="67A0BEDC" w14:textId="77777777" w:rsidR="005C6927" w:rsidRPr="005C6927" w:rsidRDefault="005C6927" w:rsidP="00F55010">
      <w:pPr>
        <w:spacing w:after="0" w:line="240" w:lineRule="auto"/>
        <w:rPr>
          <w:rFonts w:ascii="Arial" w:eastAsia="Times New Roman" w:hAnsi="Arial" w:cs="Arial"/>
          <w:lang w:eastAsia="en-GB"/>
        </w:rPr>
      </w:pPr>
    </w:p>
    <w:p w14:paraId="0170E890" w14:textId="77777777" w:rsidR="005C6927" w:rsidRPr="005C6927" w:rsidRDefault="005C6927">
      <w:pPr>
        <w:rPr>
          <w:rFonts w:ascii="Arial" w:hAnsi="Arial" w:cs="Arial"/>
        </w:rPr>
      </w:pPr>
      <w:proofErr w:type="spellStart"/>
      <w:r w:rsidRPr="005C6927">
        <w:rPr>
          <w:rFonts w:ascii="Arial" w:hAnsi="Arial" w:cs="Arial"/>
        </w:rPr>
        <w:t>Aaltonen</w:t>
      </w:r>
      <w:proofErr w:type="spellEnd"/>
      <w:r w:rsidRPr="005C6927">
        <w:rPr>
          <w:rFonts w:ascii="Arial" w:hAnsi="Arial" w:cs="Arial"/>
        </w:rPr>
        <w:t xml:space="preserve">, K., </w:t>
      </w:r>
      <w:proofErr w:type="spellStart"/>
      <w:r w:rsidRPr="005C6927">
        <w:rPr>
          <w:rFonts w:ascii="Arial" w:hAnsi="Arial" w:cs="Arial"/>
        </w:rPr>
        <w:t>Derakhshan</w:t>
      </w:r>
      <w:proofErr w:type="spellEnd"/>
      <w:r w:rsidRPr="005C6927">
        <w:rPr>
          <w:rFonts w:ascii="Arial" w:hAnsi="Arial" w:cs="Arial"/>
        </w:rPr>
        <w:t xml:space="preserve">, R., Di </w:t>
      </w:r>
      <w:proofErr w:type="spellStart"/>
      <w:r w:rsidRPr="005C6927">
        <w:rPr>
          <w:rFonts w:ascii="Arial" w:hAnsi="Arial" w:cs="Arial"/>
        </w:rPr>
        <w:t>Maddaloni</w:t>
      </w:r>
      <w:proofErr w:type="spellEnd"/>
      <w:r w:rsidRPr="005C6927">
        <w:rPr>
          <w:rFonts w:ascii="Arial" w:hAnsi="Arial" w:cs="Arial"/>
        </w:rPr>
        <w:t xml:space="preserve">, F. and Turner, R. (2021). Call for papers: Project stakeholder management. </w:t>
      </w:r>
      <w:r w:rsidRPr="005C6927">
        <w:rPr>
          <w:rFonts w:ascii="Arial" w:hAnsi="Arial" w:cs="Arial"/>
          <w:i/>
          <w:iCs/>
        </w:rPr>
        <w:t>International Journal of Project Management</w:t>
      </w:r>
      <w:r w:rsidRPr="005C6927">
        <w:rPr>
          <w:rFonts w:ascii="Arial" w:hAnsi="Arial" w:cs="Arial"/>
        </w:rPr>
        <w:t>.</w:t>
      </w:r>
      <w:r w:rsidRPr="005C6927">
        <w:rPr>
          <w:rFonts w:ascii="Arial" w:hAnsi="Arial" w:cs="Arial"/>
        </w:rPr>
        <w:br/>
        <w:t xml:space="preserve">Available at: </w:t>
      </w:r>
      <w:hyperlink r:id="rId12" w:history="1">
        <w:r w:rsidRPr="005C6927">
          <w:rPr>
            <w:rStyle w:val="Hyperlink"/>
            <w:rFonts w:ascii="Arial" w:hAnsi="Arial" w:cs="Arial"/>
          </w:rPr>
          <w:t>https://doi.org/10.1016/j.ijproman.2021.08.001</w:t>
        </w:r>
      </w:hyperlink>
      <w:r w:rsidRPr="005C6927">
        <w:rPr>
          <w:rFonts w:ascii="Arial" w:hAnsi="Arial" w:cs="Arial"/>
        </w:rPr>
        <w:t>.</w:t>
      </w:r>
    </w:p>
    <w:p w14:paraId="639695DB" w14:textId="77777777" w:rsidR="005C6927" w:rsidRPr="005C6927" w:rsidRDefault="005C6927">
      <w:pPr>
        <w:rPr>
          <w:rFonts w:ascii="Arial" w:hAnsi="Arial" w:cs="Arial"/>
        </w:rPr>
      </w:pPr>
      <w:r w:rsidRPr="005C6927">
        <w:rPr>
          <w:rFonts w:ascii="Arial" w:hAnsi="Arial" w:cs="Arial"/>
        </w:rPr>
        <w:t xml:space="preserve">APM (2019). </w:t>
      </w:r>
      <w:r w:rsidRPr="005C6927">
        <w:rPr>
          <w:rFonts w:ascii="Arial" w:hAnsi="Arial" w:cs="Arial"/>
          <w:i/>
          <w:iCs/>
        </w:rPr>
        <w:t>What is scope management?</w:t>
      </w:r>
      <w:r w:rsidRPr="005C6927">
        <w:rPr>
          <w:rFonts w:ascii="Arial" w:hAnsi="Arial" w:cs="Arial"/>
          <w:i/>
          <w:iCs/>
        </w:rPr>
        <w:br/>
      </w:r>
      <w:r w:rsidRPr="005C6927">
        <w:rPr>
          <w:rFonts w:ascii="Arial" w:hAnsi="Arial" w:cs="Arial"/>
        </w:rPr>
        <w:t xml:space="preserve">Available at: </w:t>
      </w:r>
      <w:hyperlink r:id="rId13" w:history="1">
        <w:r w:rsidRPr="005C6927">
          <w:rPr>
            <w:rStyle w:val="Hyperlink"/>
            <w:rFonts w:ascii="Arial" w:hAnsi="Arial" w:cs="Arial"/>
          </w:rPr>
          <w:t>https://www.apm.org.uk/resources/what-is-project-management/what-is-scope-management/</w:t>
        </w:r>
      </w:hyperlink>
      <w:r w:rsidRPr="005C6927">
        <w:rPr>
          <w:rFonts w:ascii="Arial" w:hAnsi="Arial" w:cs="Arial"/>
        </w:rPr>
        <w:t>.</w:t>
      </w:r>
      <w:r w:rsidRPr="005C6927">
        <w:rPr>
          <w:rFonts w:ascii="Arial" w:hAnsi="Arial" w:cs="Arial"/>
        </w:rPr>
        <w:br/>
        <w:t>Accessed on 1/07/2026</w:t>
      </w:r>
    </w:p>
    <w:p w14:paraId="22FFDF95" w14:textId="77777777" w:rsidR="005C6927" w:rsidRPr="005C6927" w:rsidRDefault="005C6927" w:rsidP="00EC442F">
      <w:pPr>
        <w:rPr>
          <w:rFonts w:ascii="Arial" w:hAnsi="Arial" w:cs="Arial"/>
        </w:rPr>
      </w:pPr>
      <w:r w:rsidRPr="005C6927">
        <w:rPr>
          <w:rFonts w:ascii="Arial" w:hAnsi="Arial" w:cs="Arial"/>
        </w:rPr>
        <w:t xml:space="preserve">Atkinson, R. (1999) ‘Project management: cost, time and quality, two best guesses and a phenomenon, it’s time to accept other success criteria’, </w:t>
      </w:r>
      <w:r w:rsidRPr="005C6927">
        <w:rPr>
          <w:rFonts w:ascii="Arial" w:hAnsi="Arial" w:cs="Arial"/>
          <w:i/>
          <w:iCs/>
        </w:rPr>
        <w:t>International Journal of Project Management</w:t>
      </w:r>
      <w:r w:rsidRPr="005C6927">
        <w:rPr>
          <w:rFonts w:ascii="Arial" w:hAnsi="Arial" w:cs="Arial"/>
        </w:rPr>
        <w:t xml:space="preserve">, 17(6), pp. 337–342. </w:t>
      </w:r>
      <w:r w:rsidRPr="005C6927">
        <w:rPr>
          <w:rFonts w:ascii="Arial" w:hAnsi="Arial" w:cs="Arial"/>
        </w:rPr>
        <w:br/>
        <w:t xml:space="preserve">Available at: </w:t>
      </w:r>
      <w:hyperlink r:id="rId14" w:history="1">
        <w:r w:rsidRPr="005C6927">
          <w:rPr>
            <w:rStyle w:val="Hyperlink"/>
            <w:rFonts w:ascii="Arial" w:hAnsi="Arial" w:cs="Arial"/>
          </w:rPr>
          <w:t>https://doi.org/10.1016/S0263-7863(98)00069-6</w:t>
        </w:r>
      </w:hyperlink>
      <w:r w:rsidRPr="005C6927">
        <w:rPr>
          <w:rFonts w:ascii="Arial" w:hAnsi="Arial" w:cs="Arial"/>
        </w:rPr>
        <w:br/>
      </w:r>
      <w:r w:rsidRPr="005C6927">
        <w:rPr>
          <w:rFonts w:ascii="Arial" w:hAnsi="Arial" w:cs="Arial"/>
        </w:rPr>
        <w:br/>
        <w:t xml:space="preserve">Garthwaite, K. (2026). Exploring the Growth of ‘Emergency’ Charitable Food Aid in the UK. </w:t>
      </w:r>
      <w:r w:rsidRPr="005C6927">
        <w:rPr>
          <w:rFonts w:ascii="Arial" w:hAnsi="Arial" w:cs="Arial"/>
          <w:i/>
          <w:iCs/>
        </w:rPr>
        <w:t>Bristol University Press eBooks</w:t>
      </w:r>
      <w:r w:rsidRPr="005C6927">
        <w:rPr>
          <w:rFonts w:ascii="Arial" w:hAnsi="Arial" w:cs="Arial"/>
        </w:rPr>
        <w:t>, pp.140–152.</w:t>
      </w:r>
      <w:r w:rsidRPr="005C6927">
        <w:rPr>
          <w:rFonts w:ascii="Arial" w:hAnsi="Arial" w:cs="Arial"/>
        </w:rPr>
        <w:br/>
        <w:t xml:space="preserve">Available at: </w:t>
      </w:r>
      <w:hyperlink r:id="rId15" w:history="1">
        <w:r w:rsidRPr="005C6927">
          <w:rPr>
            <w:rStyle w:val="Hyperlink"/>
            <w:rFonts w:ascii="Arial" w:hAnsi="Arial" w:cs="Arial"/>
          </w:rPr>
          <w:t>https://doi.org/10.51952/9781529252149.ch010</w:t>
        </w:r>
      </w:hyperlink>
      <w:r w:rsidRPr="005C6927">
        <w:rPr>
          <w:rFonts w:ascii="Arial" w:hAnsi="Arial" w:cs="Arial"/>
        </w:rPr>
        <w:t>.</w:t>
      </w:r>
    </w:p>
    <w:p w14:paraId="70CF072E" w14:textId="77777777" w:rsidR="005C6927" w:rsidRPr="005C6927" w:rsidRDefault="005C6927">
      <w:pPr>
        <w:rPr>
          <w:rFonts w:ascii="Arial" w:hAnsi="Arial" w:cs="Arial"/>
        </w:rPr>
      </w:pPr>
      <w:proofErr w:type="spellStart"/>
      <w:r w:rsidRPr="005C6927">
        <w:rPr>
          <w:rFonts w:ascii="Arial" w:hAnsi="Arial" w:cs="Arial"/>
        </w:rPr>
        <w:t>Badewi</w:t>
      </w:r>
      <w:proofErr w:type="spellEnd"/>
      <w:r w:rsidRPr="005C6927">
        <w:rPr>
          <w:rFonts w:ascii="Arial" w:hAnsi="Arial" w:cs="Arial"/>
        </w:rPr>
        <w:t xml:space="preserve">, A. (2021). When frameworks empower their agents, the effect of organizational project management frameworks on the performance of project managers and benefits managers in delivering transformation projects successfully. </w:t>
      </w:r>
      <w:r w:rsidRPr="005C6927">
        <w:rPr>
          <w:rFonts w:ascii="Arial" w:hAnsi="Arial" w:cs="Arial"/>
          <w:i/>
          <w:iCs/>
        </w:rPr>
        <w:t>International Journal of Project Management</w:t>
      </w:r>
      <w:r w:rsidRPr="005C6927">
        <w:rPr>
          <w:rFonts w:ascii="Arial" w:hAnsi="Arial" w:cs="Arial"/>
        </w:rPr>
        <w:t>, 40(2).</w:t>
      </w:r>
      <w:r w:rsidRPr="005C6927">
        <w:rPr>
          <w:rFonts w:ascii="Arial" w:hAnsi="Arial" w:cs="Arial"/>
        </w:rPr>
        <w:br/>
        <w:t xml:space="preserve">Available at: </w:t>
      </w:r>
      <w:hyperlink r:id="rId16" w:history="1">
        <w:r w:rsidRPr="005C6927">
          <w:rPr>
            <w:rStyle w:val="Hyperlink"/>
            <w:rFonts w:ascii="Arial" w:hAnsi="Arial" w:cs="Arial"/>
          </w:rPr>
          <w:t>https://doi.org/10.1016/j.ijproman.2021.10.005</w:t>
        </w:r>
      </w:hyperlink>
      <w:r w:rsidRPr="005C6927">
        <w:rPr>
          <w:rFonts w:ascii="Arial" w:hAnsi="Arial" w:cs="Arial"/>
        </w:rPr>
        <w:t>.</w:t>
      </w:r>
    </w:p>
    <w:p w14:paraId="515366C5" w14:textId="42DECB3E" w:rsidR="005C6927" w:rsidRDefault="005C6927" w:rsidP="00A51847">
      <w:pPr>
        <w:spacing w:after="0" w:line="240" w:lineRule="auto"/>
        <w:rPr>
          <w:rFonts w:ascii="Arial" w:eastAsia="Times New Roman" w:hAnsi="Arial" w:cs="Arial"/>
          <w:lang w:eastAsia="en-GB"/>
        </w:rPr>
      </w:pPr>
      <w:proofErr w:type="spellStart"/>
      <w:r w:rsidRPr="00A51847">
        <w:rPr>
          <w:rFonts w:ascii="Arial" w:eastAsia="Times New Roman" w:hAnsi="Arial" w:cs="Arial"/>
          <w:lang w:eastAsia="en-GB"/>
        </w:rPr>
        <w:t>Brčić</w:t>
      </w:r>
      <w:proofErr w:type="spellEnd"/>
      <w:r w:rsidRPr="00A51847">
        <w:rPr>
          <w:rFonts w:ascii="Arial" w:eastAsia="Times New Roman" w:hAnsi="Arial" w:cs="Arial"/>
          <w:lang w:eastAsia="en-GB"/>
        </w:rPr>
        <w:t xml:space="preserve">, M. and </w:t>
      </w:r>
      <w:proofErr w:type="spellStart"/>
      <w:r w:rsidRPr="00A51847">
        <w:rPr>
          <w:rFonts w:ascii="Arial" w:eastAsia="Times New Roman" w:hAnsi="Arial" w:cs="Arial"/>
          <w:lang w:eastAsia="en-GB"/>
        </w:rPr>
        <w:t>Mlinarić</w:t>
      </w:r>
      <w:proofErr w:type="spellEnd"/>
      <w:r w:rsidRPr="00A51847">
        <w:rPr>
          <w:rFonts w:ascii="Arial" w:eastAsia="Times New Roman" w:hAnsi="Arial" w:cs="Arial"/>
          <w:lang w:eastAsia="en-GB"/>
        </w:rPr>
        <w:t xml:space="preserve">, D. (2018). Tracking Predictive Gantt Chart for Proactive Rescheduling in Stochastic Resource Constrained Project Scheduling. </w:t>
      </w:r>
      <w:r w:rsidRPr="00A51847">
        <w:rPr>
          <w:rFonts w:ascii="Arial" w:eastAsia="Times New Roman" w:hAnsi="Arial" w:cs="Arial"/>
          <w:i/>
          <w:iCs/>
          <w:lang w:eastAsia="en-GB"/>
        </w:rPr>
        <w:t>Journal of information and organizational sciences</w:t>
      </w:r>
      <w:r w:rsidRPr="00A51847">
        <w:rPr>
          <w:rFonts w:ascii="Arial" w:eastAsia="Times New Roman" w:hAnsi="Arial" w:cs="Arial"/>
          <w:lang w:eastAsia="en-GB"/>
        </w:rPr>
        <w:t>, 42(2), pp.179–192.</w:t>
      </w:r>
      <w:r w:rsidRPr="005C6927">
        <w:rPr>
          <w:rFonts w:ascii="Arial" w:eastAsia="Times New Roman" w:hAnsi="Arial" w:cs="Arial"/>
          <w:lang w:eastAsia="en-GB"/>
        </w:rPr>
        <w:br/>
        <w:t xml:space="preserve">Available at: </w:t>
      </w:r>
      <w:hyperlink r:id="rId17" w:history="1">
        <w:r w:rsidRPr="00A51847">
          <w:rPr>
            <w:rStyle w:val="Hyperlink"/>
            <w:rFonts w:ascii="Arial" w:eastAsia="Times New Roman" w:hAnsi="Arial" w:cs="Arial"/>
            <w:lang w:eastAsia="en-GB"/>
          </w:rPr>
          <w:t>https://doi.org/10.31341/jios.42.2.2</w:t>
        </w:r>
      </w:hyperlink>
      <w:r w:rsidRPr="00A51847">
        <w:rPr>
          <w:rFonts w:ascii="Arial" w:eastAsia="Times New Roman" w:hAnsi="Arial" w:cs="Arial"/>
          <w:lang w:eastAsia="en-GB"/>
        </w:rPr>
        <w:t>.</w:t>
      </w:r>
    </w:p>
    <w:p w14:paraId="7827E11D" w14:textId="77777777" w:rsidR="005C6927" w:rsidRPr="005C6927" w:rsidRDefault="005C6927" w:rsidP="00A51847">
      <w:pPr>
        <w:spacing w:after="0" w:line="240" w:lineRule="auto"/>
        <w:rPr>
          <w:rFonts w:ascii="Arial" w:eastAsia="Times New Roman" w:hAnsi="Arial" w:cs="Arial"/>
          <w:lang w:eastAsia="en-GB"/>
        </w:rPr>
      </w:pPr>
    </w:p>
    <w:p w14:paraId="0E055BDC" w14:textId="2724512D" w:rsidR="005C6927" w:rsidRPr="005C6927" w:rsidRDefault="005C6927" w:rsidP="00EC442F">
      <w:pPr>
        <w:rPr>
          <w:rFonts w:ascii="Arial" w:hAnsi="Arial" w:cs="Arial"/>
        </w:rPr>
      </w:pPr>
      <w:r w:rsidRPr="005C6927">
        <w:rPr>
          <w:rFonts w:ascii="Arial" w:hAnsi="Arial" w:cs="Arial"/>
        </w:rPr>
        <w:t xml:space="preserve">Briscoe, P. and John Della Fortuna (2024). Elite High-Level Sport Coach and the School Leader: What Can We Learn from Them? </w:t>
      </w:r>
      <w:r w:rsidRPr="005C6927">
        <w:rPr>
          <w:rFonts w:ascii="Arial" w:hAnsi="Arial" w:cs="Arial"/>
          <w:i/>
          <w:iCs/>
        </w:rPr>
        <w:t>Open journal of leadership</w:t>
      </w:r>
      <w:r w:rsidRPr="005C6927">
        <w:rPr>
          <w:rFonts w:ascii="Arial" w:hAnsi="Arial" w:cs="Arial"/>
        </w:rPr>
        <w:t>, 13(01), pp.89–107.</w:t>
      </w:r>
      <w:r w:rsidRPr="005C6927">
        <w:rPr>
          <w:rFonts w:ascii="Arial" w:hAnsi="Arial" w:cs="Arial"/>
        </w:rPr>
        <w:br/>
        <w:t xml:space="preserve">Available at: </w:t>
      </w:r>
      <w:hyperlink r:id="rId18" w:history="1">
        <w:r w:rsidRPr="005C6927">
          <w:rPr>
            <w:rStyle w:val="Hyperlink"/>
            <w:rFonts w:ascii="Arial" w:hAnsi="Arial" w:cs="Arial"/>
          </w:rPr>
          <w:t>https://doi.org/10.4236/ojl.2024.131006</w:t>
        </w:r>
      </w:hyperlink>
      <w:r w:rsidRPr="005C6927">
        <w:rPr>
          <w:rFonts w:ascii="Arial" w:hAnsi="Arial" w:cs="Arial"/>
        </w:rPr>
        <w:t>.</w:t>
      </w:r>
    </w:p>
    <w:p w14:paraId="1A694BFB" w14:textId="54949AD3" w:rsidR="005C6927" w:rsidRPr="005C6927" w:rsidRDefault="005C6927" w:rsidP="00EC442F">
      <w:pPr>
        <w:rPr>
          <w:rFonts w:ascii="Arial" w:hAnsi="Arial" w:cs="Arial"/>
          <w:color w:val="467886" w:themeColor="hyperlink"/>
          <w:u w:val="single"/>
        </w:rPr>
      </w:pPr>
      <w:r w:rsidRPr="005C6927">
        <w:rPr>
          <w:rFonts w:ascii="Arial" w:hAnsi="Arial" w:cs="Arial"/>
        </w:rPr>
        <w:t xml:space="preserve">Chapman, C. and Ward, S. (2011) </w:t>
      </w:r>
      <w:r w:rsidRPr="005C6927">
        <w:rPr>
          <w:rFonts w:ascii="Arial" w:hAnsi="Arial" w:cs="Arial"/>
          <w:i/>
          <w:iCs/>
        </w:rPr>
        <w:t>How to Manage Project Opportunity and Risk: Why Uncertainty Management Can Be a Much Better Approach than Risk Management</w:t>
      </w:r>
      <w:r w:rsidRPr="005C6927">
        <w:rPr>
          <w:rFonts w:ascii="Arial" w:hAnsi="Arial" w:cs="Arial"/>
        </w:rPr>
        <w:t xml:space="preserve">. 3rd </w:t>
      </w:r>
      <w:proofErr w:type="spellStart"/>
      <w:r w:rsidRPr="005C6927">
        <w:rPr>
          <w:rFonts w:ascii="Arial" w:hAnsi="Arial" w:cs="Arial"/>
        </w:rPr>
        <w:t>edn</w:t>
      </w:r>
      <w:proofErr w:type="spellEnd"/>
      <w:r w:rsidRPr="005C6927">
        <w:rPr>
          <w:rFonts w:ascii="Arial" w:hAnsi="Arial" w:cs="Arial"/>
        </w:rPr>
        <w:t xml:space="preserve">. Chichester: Wiley. Available at: </w:t>
      </w:r>
      <w:hyperlink r:id="rId19" w:history="1">
        <w:r w:rsidRPr="005C6927">
          <w:rPr>
            <w:rStyle w:val="Hyperlink"/>
            <w:rFonts w:ascii="Arial" w:hAnsi="Arial" w:cs="Arial"/>
          </w:rPr>
          <w:t>https://www.wiley.com/en-gb/How+to+Manage+Project+Opportunity+and+Risk-p-9780470686492</w:t>
        </w:r>
      </w:hyperlink>
    </w:p>
    <w:p w14:paraId="2E036C53" w14:textId="374AEE56" w:rsidR="005C6927" w:rsidRDefault="005C6927" w:rsidP="00EC442F">
      <w:pPr>
        <w:rPr>
          <w:rFonts w:ascii="Arial" w:hAnsi="Arial" w:cs="Arial"/>
        </w:rPr>
      </w:pPr>
      <w:r w:rsidRPr="005C6927">
        <w:rPr>
          <w:rFonts w:ascii="Arial" w:hAnsi="Arial" w:cs="Arial"/>
        </w:rPr>
        <w:t xml:space="preserve">Cheng, C. (2022). </w:t>
      </w:r>
      <w:r w:rsidRPr="005C6927">
        <w:rPr>
          <w:rFonts w:ascii="Arial" w:hAnsi="Arial" w:cs="Arial"/>
          <w:i/>
          <w:iCs/>
        </w:rPr>
        <w:t>Project Management Literature Review: The Iron Triangle</w:t>
      </w:r>
      <w:r w:rsidRPr="005C6927">
        <w:rPr>
          <w:rFonts w:ascii="Arial" w:hAnsi="Arial" w:cs="Arial"/>
        </w:rPr>
        <w:t>.</w:t>
      </w:r>
      <w:r w:rsidRPr="005C6927">
        <w:rPr>
          <w:rFonts w:ascii="Arial" w:hAnsi="Arial" w:cs="Arial"/>
        </w:rPr>
        <w:br/>
        <w:t xml:space="preserve">Available at: </w:t>
      </w:r>
      <w:hyperlink r:id="rId20" w:history="1">
        <w:r w:rsidRPr="005C6927">
          <w:rPr>
            <w:rStyle w:val="Hyperlink"/>
            <w:rFonts w:ascii="Arial" w:hAnsi="Arial" w:cs="Arial"/>
          </w:rPr>
          <w:t>https://doi.org/10.13140/RG.2.2.32434.27849</w:t>
        </w:r>
      </w:hyperlink>
      <w:r w:rsidRPr="005C6927">
        <w:rPr>
          <w:rFonts w:ascii="Arial" w:hAnsi="Arial" w:cs="Arial"/>
        </w:rPr>
        <w:t>.</w:t>
      </w:r>
    </w:p>
    <w:p w14:paraId="50A61B8E" w14:textId="2943498C" w:rsidR="005C6927" w:rsidRDefault="005C6927" w:rsidP="00EC442F">
      <w:pPr>
        <w:rPr>
          <w:rFonts w:ascii="Arial" w:hAnsi="Arial" w:cs="Arial"/>
        </w:rPr>
      </w:pPr>
    </w:p>
    <w:p w14:paraId="1569452C" w14:textId="77777777" w:rsidR="00B55C62" w:rsidRDefault="00B55C62" w:rsidP="00EC442F">
      <w:pPr>
        <w:rPr>
          <w:rFonts w:ascii="Arial" w:hAnsi="Arial" w:cs="Arial"/>
        </w:rPr>
      </w:pPr>
    </w:p>
    <w:p w14:paraId="1F5647B2" w14:textId="77777777" w:rsidR="005C6927" w:rsidRPr="005C6927" w:rsidRDefault="005C6927" w:rsidP="00EC442F">
      <w:pPr>
        <w:rPr>
          <w:rFonts w:ascii="Arial" w:hAnsi="Arial" w:cs="Arial"/>
        </w:rPr>
      </w:pPr>
    </w:p>
    <w:p w14:paraId="545F7FEC" w14:textId="77777777" w:rsidR="005C6927" w:rsidRPr="005C6927" w:rsidRDefault="005C6927">
      <w:pPr>
        <w:rPr>
          <w:rFonts w:ascii="Arial" w:hAnsi="Arial" w:cs="Arial"/>
        </w:rPr>
      </w:pPr>
      <w:r w:rsidRPr="005C6927">
        <w:rPr>
          <w:rFonts w:ascii="Arial" w:hAnsi="Arial" w:cs="Arial"/>
        </w:rPr>
        <w:lastRenderedPageBreak/>
        <w:t xml:space="preserve">Chow, V. and </w:t>
      </w:r>
      <w:proofErr w:type="spellStart"/>
      <w:r w:rsidRPr="005C6927">
        <w:rPr>
          <w:rFonts w:ascii="Arial" w:hAnsi="Arial" w:cs="Arial"/>
        </w:rPr>
        <w:t>Leiringer</w:t>
      </w:r>
      <w:proofErr w:type="spellEnd"/>
      <w:r w:rsidRPr="005C6927">
        <w:rPr>
          <w:rFonts w:ascii="Arial" w:hAnsi="Arial" w:cs="Arial"/>
        </w:rPr>
        <w:t xml:space="preserve">, R. (2019). The Practice of Public Engagement on Projects: From Managing External Stakeholders to Facilitating Active Contributors. </w:t>
      </w:r>
      <w:r w:rsidRPr="005C6927">
        <w:rPr>
          <w:rFonts w:ascii="Arial" w:hAnsi="Arial" w:cs="Arial"/>
          <w:i/>
          <w:iCs/>
        </w:rPr>
        <w:t>Project Management Journal</w:t>
      </w:r>
      <w:r w:rsidRPr="005C6927">
        <w:rPr>
          <w:rFonts w:ascii="Arial" w:hAnsi="Arial" w:cs="Arial"/>
        </w:rPr>
        <w:t>, 51(1), p.875697281987834.</w:t>
      </w:r>
      <w:r w:rsidRPr="005C6927">
        <w:rPr>
          <w:rFonts w:ascii="Arial" w:hAnsi="Arial" w:cs="Arial"/>
        </w:rPr>
        <w:br/>
        <w:t xml:space="preserve">Available at: </w:t>
      </w:r>
      <w:hyperlink r:id="rId21" w:history="1">
        <w:r w:rsidRPr="005C6927">
          <w:rPr>
            <w:rStyle w:val="Hyperlink"/>
            <w:rFonts w:ascii="Arial" w:hAnsi="Arial" w:cs="Arial"/>
          </w:rPr>
          <w:t>https://doi.org/10.1177/8756972819878346</w:t>
        </w:r>
      </w:hyperlink>
      <w:r w:rsidRPr="005C6927">
        <w:rPr>
          <w:rFonts w:ascii="Arial" w:hAnsi="Arial" w:cs="Arial"/>
        </w:rPr>
        <w:t>.</w:t>
      </w:r>
    </w:p>
    <w:p w14:paraId="6EBB5D6B" w14:textId="6196792A" w:rsidR="005C6927" w:rsidRPr="005C6927" w:rsidRDefault="005C6927" w:rsidP="00EC442F">
      <w:pPr>
        <w:rPr>
          <w:rFonts w:ascii="Arial" w:hAnsi="Arial" w:cs="Arial"/>
        </w:rPr>
      </w:pPr>
      <w:r w:rsidRPr="005C6927">
        <w:rPr>
          <w:rFonts w:ascii="Arial" w:hAnsi="Arial" w:cs="Arial"/>
        </w:rPr>
        <w:t xml:space="preserve">Cliffsnotes.com. (2025). </w:t>
      </w:r>
      <w:r w:rsidRPr="005C6927">
        <w:rPr>
          <w:rFonts w:ascii="Arial" w:hAnsi="Arial" w:cs="Arial"/>
          <w:i/>
          <w:iCs/>
        </w:rPr>
        <w:t>Understanding the Iron Triangle Theory in Project Management</w:t>
      </w:r>
      <w:r w:rsidR="005D657B">
        <w:rPr>
          <w:rFonts w:ascii="Arial" w:hAnsi="Arial" w:cs="Arial"/>
          <w:i/>
          <w:iCs/>
        </w:rPr>
        <w:t>.</w:t>
      </w:r>
      <w:r w:rsidRPr="005C6927">
        <w:rPr>
          <w:rFonts w:ascii="Arial" w:hAnsi="Arial" w:cs="Arial"/>
        </w:rPr>
        <w:br/>
        <w:t xml:space="preserve">Available at: </w:t>
      </w:r>
      <w:hyperlink r:id="rId22" w:history="1">
        <w:r w:rsidRPr="005C6927">
          <w:rPr>
            <w:rStyle w:val="Hyperlink"/>
            <w:rFonts w:ascii="Arial" w:hAnsi="Arial" w:cs="Arial"/>
          </w:rPr>
          <w:t>https://www.cliffsnotes.com/study-notes/24576869</w:t>
        </w:r>
      </w:hyperlink>
      <w:r w:rsidRPr="005C6927">
        <w:rPr>
          <w:rFonts w:ascii="Arial" w:hAnsi="Arial" w:cs="Arial"/>
        </w:rPr>
        <w:br/>
        <w:t>Accessed 20/06/2026.</w:t>
      </w:r>
    </w:p>
    <w:p w14:paraId="179BBF47" w14:textId="14EF36D7" w:rsidR="005C6927" w:rsidRPr="005C6927" w:rsidRDefault="005C6927">
      <w:pPr>
        <w:rPr>
          <w:rFonts w:ascii="Arial" w:hAnsi="Arial" w:cs="Arial"/>
        </w:rPr>
      </w:pPr>
      <w:r w:rsidRPr="005C6927">
        <w:rPr>
          <w:rFonts w:ascii="Arial" w:hAnsi="Arial" w:cs="Arial"/>
        </w:rPr>
        <w:t xml:space="preserve">Delisle, J. (2020). Working time in multi-project settings: How project workers manage work overload. </w:t>
      </w:r>
      <w:r w:rsidRPr="005C6927">
        <w:rPr>
          <w:rFonts w:ascii="Arial" w:hAnsi="Arial" w:cs="Arial"/>
          <w:i/>
          <w:iCs/>
        </w:rPr>
        <w:t>International Journal of Project Management</w:t>
      </w:r>
      <w:r w:rsidRPr="005C6927">
        <w:rPr>
          <w:rFonts w:ascii="Arial" w:hAnsi="Arial" w:cs="Arial"/>
        </w:rPr>
        <w:t>, 38(7).</w:t>
      </w:r>
      <w:r w:rsidRPr="005C6927">
        <w:rPr>
          <w:rFonts w:ascii="Arial" w:hAnsi="Arial" w:cs="Arial"/>
        </w:rPr>
        <w:br/>
        <w:t xml:space="preserve">Available at: </w:t>
      </w:r>
      <w:hyperlink r:id="rId23" w:history="1">
        <w:r w:rsidRPr="005C6927">
          <w:rPr>
            <w:rStyle w:val="Hyperlink"/>
            <w:rFonts w:ascii="Arial" w:hAnsi="Arial" w:cs="Arial"/>
          </w:rPr>
          <w:t>https://doi.org/10.1016/j.ijproman.2020.04.001</w:t>
        </w:r>
      </w:hyperlink>
      <w:r w:rsidRPr="005C6927">
        <w:rPr>
          <w:rFonts w:ascii="Arial" w:hAnsi="Arial" w:cs="Arial"/>
        </w:rPr>
        <w:t>.</w:t>
      </w:r>
    </w:p>
    <w:p w14:paraId="69EDE922" w14:textId="75C80185" w:rsidR="005C6927" w:rsidRPr="005C6927" w:rsidRDefault="005C6927" w:rsidP="00C164C0">
      <w:pPr>
        <w:spacing w:after="0" w:line="240" w:lineRule="auto"/>
        <w:rPr>
          <w:rFonts w:ascii="Arial" w:eastAsia="Times New Roman" w:hAnsi="Arial" w:cs="Arial"/>
          <w:lang w:eastAsia="en-GB"/>
        </w:rPr>
      </w:pPr>
      <w:proofErr w:type="spellStart"/>
      <w:r w:rsidRPr="00C164C0">
        <w:rPr>
          <w:rFonts w:ascii="Arial" w:eastAsia="Times New Roman" w:hAnsi="Arial" w:cs="Arial"/>
          <w:lang w:eastAsia="en-GB"/>
        </w:rPr>
        <w:t>Eskerod</w:t>
      </w:r>
      <w:proofErr w:type="spellEnd"/>
      <w:r w:rsidRPr="00C164C0">
        <w:rPr>
          <w:rFonts w:ascii="Arial" w:eastAsia="Times New Roman" w:hAnsi="Arial" w:cs="Arial"/>
          <w:lang w:eastAsia="en-GB"/>
        </w:rPr>
        <w:t xml:space="preserve">, P., </w:t>
      </w:r>
      <w:proofErr w:type="spellStart"/>
      <w:r w:rsidRPr="00C164C0">
        <w:rPr>
          <w:rFonts w:ascii="Arial" w:eastAsia="Times New Roman" w:hAnsi="Arial" w:cs="Arial"/>
          <w:lang w:eastAsia="en-GB"/>
        </w:rPr>
        <w:t>Huemann</w:t>
      </w:r>
      <w:proofErr w:type="spellEnd"/>
      <w:r w:rsidRPr="00C164C0">
        <w:rPr>
          <w:rFonts w:ascii="Arial" w:eastAsia="Times New Roman" w:hAnsi="Arial" w:cs="Arial"/>
          <w:lang w:eastAsia="en-GB"/>
        </w:rPr>
        <w:t xml:space="preserve">, M. and Savage, G. (2015). Project Stakeholder Management—Past and Present. </w:t>
      </w:r>
      <w:r w:rsidRPr="00C164C0">
        <w:rPr>
          <w:rFonts w:ascii="Arial" w:eastAsia="Times New Roman" w:hAnsi="Arial" w:cs="Arial"/>
          <w:i/>
          <w:iCs/>
          <w:lang w:eastAsia="en-GB"/>
        </w:rPr>
        <w:t>Project Management Journal</w:t>
      </w:r>
      <w:r w:rsidRPr="00C164C0">
        <w:rPr>
          <w:rFonts w:ascii="Arial" w:eastAsia="Times New Roman" w:hAnsi="Arial" w:cs="Arial"/>
          <w:lang w:eastAsia="en-GB"/>
        </w:rPr>
        <w:t>, 46(6), pp.6–14.</w:t>
      </w:r>
      <w:r w:rsidRPr="005C6927">
        <w:rPr>
          <w:rFonts w:ascii="Arial" w:eastAsia="Times New Roman" w:hAnsi="Arial" w:cs="Arial"/>
          <w:lang w:eastAsia="en-GB"/>
        </w:rPr>
        <w:br/>
        <w:t xml:space="preserve">Available at: </w:t>
      </w:r>
      <w:hyperlink r:id="rId24" w:history="1">
        <w:r w:rsidRPr="00C164C0">
          <w:rPr>
            <w:rStyle w:val="Hyperlink"/>
            <w:rFonts w:ascii="Arial" w:eastAsia="Times New Roman" w:hAnsi="Arial" w:cs="Arial"/>
            <w:lang w:eastAsia="en-GB"/>
          </w:rPr>
          <w:t>https://doi.org/10.1002/pmj.21555</w:t>
        </w:r>
      </w:hyperlink>
      <w:r w:rsidRPr="00C164C0">
        <w:rPr>
          <w:rFonts w:ascii="Arial" w:eastAsia="Times New Roman" w:hAnsi="Arial" w:cs="Arial"/>
          <w:lang w:eastAsia="en-GB"/>
        </w:rPr>
        <w:t>.</w:t>
      </w:r>
    </w:p>
    <w:p w14:paraId="1F55D743" w14:textId="77777777" w:rsidR="005C6927" w:rsidRPr="005C6927" w:rsidRDefault="005C6927" w:rsidP="00C164C0">
      <w:pPr>
        <w:spacing w:after="0" w:line="240" w:lineRule="auto"/>
        <w:rPr>
          <w:rFonts w:ascii="Arial" w:eastAsia="Times New Roman" w:hAnsi="Arial" w:cs="Arial"/>
          <w:lang w:eastAsia="en-GB"/>
        </w:rPr>
      </w:pPr>
    </w:p>
    <w:p w14:paraId="3B4404E0" w14:textId="24EFF8A6" w:rsidR="00473434" w:rsidRDefault="005C6927" w:rsidP="002802CD">
      <w:pPr>
        <w:spacing w:after="0" w:line="240" w:lineRule="auto"/>
      </w:pPr>
      <w:proofErr w:type="spellStart"/>
      <w:r w:rsidRPr="002802CD">
        <w:rPr>
          <w:rFonts w:ascii="Arial" w:eastAsia="Times New Roman" w:hAnsi="Arial" w:cs="Arial"/>
          <w:lang w:eastAsia="en-GB"/>
        </w:rPr>
        <w:t>Gemino</w:t>
      </w:r>
      <w:proofErr w:type="spellEnd"/>
      <w:r w:rsidRPr="002802CD">
        <w:rPr>
          <w:rFonts w:ascii="Arial" w:eastAsia="Times New Roman" w:hAnsi="Arial" w:cs="Arial"/>
          <w:lang w:eastAsia="en-GB"/>
        </w:rPr>
        <w:t xml:space="preserve">, A., Horner Reich, B. and </w:t>
      </w:r>
      <w:proofErr w:type="spellStart"/>
      <w:r w:rsidRPr="002802CD">
        <w:rPr>
          <w:rFonts w:ascii="Arial" w:eastAsia="Times New Roman" w:hAnsi="Arial" w:cs="Arial"/>
          <w:lang w:eastAsia="en-GB"/>
        </w:rPr>
        <w:t>Serrador</w:t>
      </w:r>
      <w:proofErr w:type="spellEnd"/>
      <w:r w:rsidRPr="002802CD">
        <w:rPr>
          <w:rFonts w:ascii="Arial" w:eastAsia="Times New Roman" w:hAnsi="Arial" w:cs="Arial"/>
          <w:lang w:eastAsia="en-GB"/>
        </w:rPr>
        <w:t xml:space="preserve">, P.M. (2020). Agile, Traditional, and Hybrid Approaches to Project Success: Is Hybrid a Poor Second Choice? </w:t>
      </w:r>
      <w:r w:rsidRPr="002802CD">
        <w:rPr>
          <w:rFonts w:ascii="Arial" w:eastAsia="Times New Roman" w:hAnsi="Arial" w:cs="Arial"/>
          <w:i/>
          <w:iCs/>
          <w:lang w:eastAsia="en-GB"/>
        </w:rPr>
        <w:t>Project Management Journal</w:t>
      </w:r>
      <w:r w:rsidRPr="002802CD">
        <w:rPr>
          <w:rFonts w:ascii="Arial" w:eastAsia="Times New Roman" w:hAnsi="Arial" w:cs="Arial"/>
          <w:lang w:eastAsia="en-GB"/>
        </w:rPr>
        <w:t>, 52(2), p.8</w:t>
      </w:r>
      <w:r w:rsidR="00473434">
        <w:rPr>
          <w:rFonts w:ascii="Arial" w:eastAsia="Times New Roman" w:hAnsi="Arial" w:cs="Arial"/>
          <w:lang w:eastAsia="en-GB"/>
        </w:rPr>
        <w:t>.</w:t>
      </w:r>
      <w:r w:rsidR="00473434">
        <w:rPr>
          <w:rFonts w:ascii="Arial" w:eastAsia="Times New Roman" w:hAnsi="Arial" w:cs="Arial"/>
          <w:lang w:eastAsia="en-GB"/>
        </w:rPr>
        <w:br/>
        <w:t xml:space="preserve">Available at: </w:t>
      </w:r>
      <w:hyperlink r:id="rId25" w:history="1">
        <w:r w:rsidR="00473434" w:rsidRPr="00473434">
          <w:rPr>
            <w:rStyle w:val="Hyperlink"/>
            <w:rFonts w:ascii="Arial" w:hAnsi="Arial" w:cs="Arial"/>
          </w:rPr>
          <w:t>https://doi.org/10.1177/8756972820973082</w:t>
        </w:r>
      </w:hyperlink>
      <w:r w:rsidR="00473434" w:rsidRPr="00473434">
        <w:rPr>
          <w:rFonts w:ascii="Arial" w:hAnsi="Arial" w:cs="Arial"/>
        </w:rPr>
        <w:t>.</w:t>
      </w:r>
    </w:p>
    <w:p w14:paraId="36839141" w14:textId="767484C8" w:rsidR="005C6927" w:rsidRPr="005C6927" w:rsidRDefault="005C6927" w:rsidP="002802CD">
      <w:pPr>
        <w:spacing w:after="0" w:line="240" w:lineRule="auto"/>
        <w:rPr>
          <w:rFonts w:ascii="Arial" w:eastAsia="Times New Roman" w:hAnsi="Arial" w:cs="Arial"/>
          <w:lang w:eastAsia="en-GB"/>
        </w:rPr>
      </w:pPr>
    </w:p>
    <w:p w14:paraId="6715C02D" w14:textId="5C7CD213" w:rsidR="005C6927" w:rsidRPr="005C6927" w:rsidRDefault="005C6927" w:rsidP="002802CD">
      <w:pPr>
        <w:spacing w:after="0" w:line="240" w:lineRule="auto"/>
        <w:rPr>
          <w:rFonts w:ascii="Arial" w:eastAsia="Times New Roman" w:hAnsi="Arial" w:cs="Arial"/>
          <w:lang w:eastAsia="en-GB"/>
        </w:rPr>
      </w:pPr>
      <w:r w:rsidRPr="005C6927">
        <w:rPr>
          <w:rFonts w:ascii="Arial" w:eastAsia="Times New Roman" w:hAnsi="Arial" w:cs="Arial"/>
          <w:lang w:eastAsia="en-GB"/>
        </w:rPr>
        <w:t xml:space="preserve">Available at: </w:t>
      </w:r>
      <w:hyperlink r:id="rId26" w:history="1">
        <w:r w:rsidRPr="002802CD">
          <w:rPr>
            <w:rStyle w:val="Hyperlink"/>
            <w:rFonts w:ascii="Arial" w:eastAsia="Times New Roman" w:hAnsi="Arial" w:cs="Arial"/>
            <w:lang w:eastAsia="en-GB"/>
          </w:rPr>
          <w:t>https://doi.org/10.1177/8756972820973082</w:t>
        </w:r>
      </w:hyperlink>
      <w:r w:rsidRPr="002802CD">
        <w:rPr>
          <w:rFonts w:ascii="Arial" w:eastAsia="Times New Roman" w:hAnsi="Arial" w:cs="Arial"/>
          <w:lang w:eastAsia="en-GB"/>
        </w:rPr>
        <w:t>.</w:t>
      </w:r>
    </w:p>
    <w:p w14:paraId="487A5DBB" w14:textId="0CDD440A" w:rsidR="005C6927" w:rsidRPr="005C6927" w:rsidRDefault="005C6927" w:rsidP="00EC442F">
      <w:pPr>
        <w:rPr>
          <w:rFonts w:ascii="Arial" w:hAnsi="Arial" w:cs="Arial"/>
        </w:rPr>
      </w:pPr>
      <w:proofErr w:type="spellStart"/>
      <w:r w:rsidRPr="005C6927">
        <w:rPr>
          <w:rFonts w:ascii="Arial" w:hAnsi="Arial" w:cs="Arial"/>
        </w:rPr>
        <w:t>Geraldi</w:t>
      </w:r>
      <w:proofErr w:type="spellEnd"/>
      <w:r w:rsidRPr="005C6927">
        <w:rPr>
          <w:rFonts w:ascii="Arial" w:hAnsi="Arial" w:cs="Arial"/>
        </w:rPr>
        <w:t xml:space="preserve">, J. and </w:t>
      </w:r>
      <w:proofErr w:type="spellStart"/>
      <w:r w:rsidRPr="005C6927">
        <w:rPr>
          <w:rFonts w:ascii="Arial" w:hAnsi="Arial" w:cs="Arial"/>
        </w:rPr>
        <w:t>Lechter</w:t>
      </w:r>
      <w:proofErr w:type="spellEnd"/>
      <w:r w:rsidRPr="005C6927">
        <w:rPr>
          <w:rFonts w:ascii="Arial" w:hAnsi="Arial" w:cs="Arial"/>
        </w:rPr>
        <w:t xml:space="preserve">, T. (2012) ‘Gantt charts revisited: A critical analysis of its roots and implications to management practice’, </w:t>
      </w:r>
      <w:r w:rsidRPr="005C6927">
        <w:rPr>
          <w:rFonts w:ascii="Arial" w:hAnsi="Arial" w:cs="Arial"/>
          <w:i/>
          <w:iCs/>
        </w:rPr>
        <w:t>International Journal of Managing Projects in Business</w:t>
      </w:r>
      <w:r w:rsidRPr="005C6927">
        <w:rPr>
          <w:rFonts w:ascii="Arial" w:hAnsi="Arial" w:cs="Arial"/>
        </w:rPr>
        <w:t>, 5(4), pp. 578–594.</w:t>
      </w:r>
      <w:r w:rsidR="00473434">
        <w:rPr>
          <w:rFonts w:ascii="Arial" w:hAnsi="Arial" w:cs="Arial"/>
        </w:rPr>
        <w:br/>
      </w:r>
      <w:r w:rsidRPr="005C6927">
        <w:rPr>
          <w:rFonts w:ascii="Arial" w:hAnsi="Arial" w:cs="Arial"/>
        </w:rPr>
        <w:t xml:space="preserve">Available at: </w:t>
      </w:r>
      <w:hyperlink r:id="rId27" w:tgtFrame="_new" w:history="1">
        <w:r w:rsidRPr="005C6927">
          <w:rPr>
            <w:rStyle w:val="Hyperlink"/>
            <w:rFonts w:ascii="Arial" w:hAnsi="Arial" w:cs="Arial"/>
          </w:rPr>
          <w:t>https://doi.org/10.1108/17538371211268889</w:t>
        </w:r>
      </w:hyperlink>
    </w:p>
    <w:p w14:paraId="196AB18B" w14:textId="1213DD42" w:rsidR="005C6927" w:rsidRPr="005C6927" w:rsidRDefault="005C6927" w:rsidP="00EC442F">
      <w:pPr>
        <w:rPr>
          <w:rFonts w:ascii="Arial" w:hAnsi="Arial" w:cs="Arial"/>
        </w:rPr>
      </w:pPr>
      <w:r w:rsidRPr="005C6927">
        <w:rPr>
          <w:rFonts w:ascii="Arial" w:hAnsi="Arial" w:cs="Arial"/>
        </w:rPr>
        <w:t xml:space="preserve">Helms, M.M. and Nixon, J. (2010) ‘Exploring SWOT analysis – where are we now?’, </w:t>
      </w:r>
      <w:r w:rsidRPr="005C6927">
        <w:rPr>
          <w:rFonts w:ascii="Arial" w:hAnsi="Arial" w:cs="Arial"/>
          <w:i/>
          <w:iCs/>
        </w:rPr>
        <w:t>Journal of Strategy and Management</w:t>
      </w:r>
      <w:r w:rsidRPr="005C6927">
        <w:rPr>
          <w:rFonts w:ascii="Arial" w:hAnsi="Arial" w:cs="Arial"/>
        </w:rPr>
        <w:t>, 3(3), pp. 215–251.</w:t>
      </w:r>
      <w:r w:rsidR="00473434">
        <w:rPr>
          <w:rFonts w:ascii="Arial" w:hAnsi="Arial" w:cs="Arial"/>
        </w:rPr>
        <w:br/>
      </w:r>
      <w:r w:rsidRPr="005C6927">
        <w:rPr>
          <w:rFonts w:ascii="Arial" w:hAnsi="Arial" w:cs="Arial"/>
        </w:rPr>
        <w:t xml:space="preserve">Available at: </w:t>
      </w:r>
      <w:hyperlink r:id="rId28" w:tgtFrame="_new" w:history="1">
        <w:r w:rsidRPr="005C6927">
          <w:rPr>
            <w:rStyle w:val="Hyperlink"/>
            <w:rFonts w:ascii="Arial" w:hAnsi="Arial" w:cs="Arial"/>
          </w:rPr>
          <w:t>https://doi.org/10.1108/17554251011064837</w:t>
        </w:r>
      </w:hyperlink>
    </w:p>
    <w:p w14:paraId="2D29D679" w14:textId="3817A2C2" w:rsidR="005C6927" w:rsidRPr="005C6927" w:rsidRDefault="005C6927" w:rsidP="00EC442F">
      <w:pPr>
        <w:rPr>
          <w:rFonts w:ascii="Arial" w:hAnsi="Arial" w:cs="Arial"/>
        </w:rPr>
      </w:pPr>
      <w:proofErr w:type="spellStart"/>
      <w:r w:rsidRPr="005C6927">
        <w:rPr>
          <w:rFonts w:ascii="Arial" w:hAnsi="Arial" w:cs="Arial"/>
        </w:rPr>
        <w:t>Joos</w:t>
      </w:r>
      <w:proofErr w:type="spellEnd"/>
      <w:r w:rsidRPr="005C6927">
        <w:rPr>
          <w:rFonts w:ascii="Arial" w:hAnsi="Arial" w:cs="Arial"/>
        </w:rPr>
        <w:t xml:space="preserve">, H.C., </w:t>
      </w:r>
      <w:proofErr w:type="spellStart"/>
      <w:r w:rsidRPr="005C6927">
        <w:rPr>
          <w:rFonts w:ascii="Arial" w:hAnsi="Arial" w:cs="Arial"/>
        </w:rPr>
        <w:t>Aufseß</w:t>
      </w:r>
      <w:proofErr w:type="spellEnd"/>
      <w:r w:rsidRPr="005C6927">
        <w:rPr>
          <w:rFonts w:ascii="Arial" w:hAnsi="Arial" w:cs="Arial"/>
        </w:rPr>
        <w:t xml:space="preserve">, D. </w:t>
      </w:r>
      <w:proofErr w:type="spellStart"/>
      <w:r w:rsidRPr="005C6927">
        <w:rPr>
          <w:rFonts w:ascii="Arial" w:hAnsi="Arial" w:cs="Arial"/>
        </w:rPr>
        <w:t>zu</w:t>
      </w:r>
      <w:proofErr w:type="spellEnd"/>
      <w:r w:rsidRPr="005C6927">
        <w:rPr>
          <w:rFonts w:ascii="Arial" w:hAnsi="Arial" w:cs="Arial"/>
        </w:rPr>
        <w:t xml:space="preserve"> K. and </w:t>
      </w:r>
      <w:proofErr w:type="spellStart"/>
      <w:r w:rsidRPr="005C6927">
        <w:rPr>
          <w:rFonts w:ascii="Arial" w:hAnsi="Arial" w:cs="Arial"/>
        </w:rPr>
        <w:t>Pidun</w:t>
      </w:r>
      <w:proofErr w:type="spellEnd"/>
      <w:r w:rsidRPr="005C6927">
        <w:rPr>
          <w:rFonts w:ascii="Arial" w:hAnsi="Arial" w:cs="Arial"/>
        </w:rPr>
        <w:t xml:space="preserve">, U. (2020). Project Stakeholder Management as the Integration of Stakeholder Salience, Public Participation, and Nonmarket Strategies. </w:t>
      </w:r>
      <w:proofErr w:type="spellStart"/>
      <w:r w:rsidRPr="005C6927">
        <w:rPr>
          <w:rFonts w:ascii="Arial" w:hAnsi="Arial" w:cs="Arial"/>
          <w:i/>
          <w:iCs/>
        </w:rPr>
        <w:t>Schmalenbach</w:t>
      </w:r>
      <w:proofErr w:type="spellEnd"/>
      <w:r w:rsidRPr="005C6927">
        <w:rPr>
          <w:rFonts w:ascii="Arial" w:hAnsi="Arial" w:cs="Arial"/>
          <w:i/>
          <w:iCs/>
        </w:rPr>
        <w:t xml:space="preserve"> Business Review</w:t>
      </w:r>
      <w:r w:rsidRPr="005C6927">
        <w:rPr>
          <w:rFonts w:ascii="Arial" w:hAnsi="Arial" w:cs="Arial"/>
        </w:rPr>
        <w:t>, 72.</w:t>
      </w:r>
      <w:r w:rsidRPr="005C6927">
        <w:rPr>
          <w:rFonts w:ascii="Arial" w:hAnsi="Arial" w:cs="Arial"/>
        </w:rPr>
        <w:br/>
        <w:t xml:space="preserve">Available at: </w:t>
      </w:r>
      <w:hyperlink r:id="rId29" w:history="1">
        <w:r w:rsidRPr="005C6927">
          <w:rPr>
            <w:rStyle w:val="Hyperlink"/>
            <w:rFonts w:ascii="Arial" w:hAnsi="Arial" w:cs="Arial"/>
          </w:rPr>
          <w:t>https://doi.org/10.1007/s41464-020-00092-0</w:t>
        </w:r>
      </w:hyperlink>
      <w:r w:rsidRPr="005C6927">
        <w:rPr>
          <w:rFonts w:ascii="Arial" w:hAnsi="Arial" w:cs="Arial"/>
        </w:rPr>
        <w:t>.</w:t>
      </w:r>
    </w:p>
    <w:p w14:paraId="3915A38B" w14:textId="05EED61C" w:rsidR="005C6927" w:rsidRPr="005C6927" w:rsidRDefault="005C6927" w:rsidP="00EC442F">
      <w:pPr>
        <w:rPr>
          <w:rFonts w:ascii="Arial" w:hAnsi="Arial" w:cs="Arial"/>
          <w:color w:val="467886" w:themeColor="hyperlink"/>
          <w:u w:val="single"/>
        </w:rPr>
      </w:pPr>
      <w:r w:rsidRPr="005C6927">
        <w:rPr>
          <w:rFonts w:ascii="Arial" w:hAnsi="Arial" w:cs="Arial"/>
        </w:rPr>
        <w:t xml:space="preserve">Kenton, W. (2025) ‘SWOT Analysis: How </w:t>
      </w:r>
      <w:proofErr w:type="gramStart"/>
      <w:r w:rsidRPr="005C6927">
        <w:rPr>
          <w:rFonts w:ascii="Arial" w:hAnsi="Arial" w:cs="Arial"/>
        </w:rPr>
        <w:t>To</w:t>
      </w:r>
      <w:proofErr w:type="gramEnd"/>
      <w:r w:rsidRPr="005C6927">
        <w:rPr>
          <w:rFonts w:ascii="Arial" w:hAnsi="Arial" w:cs="Arial"/>
        </w:rPr>
        <w:t xml:space="preserve"> With Table and Example’</w:t>
      </w:r>
      <w:r w:rsidR="0003185C">
        <w:rPr>
          <w:rFonts w:ascii="Arial" w:hAnsi="Arial" w:cs="Arial"/>
        </w:rPr>
        <w:br/>
      </w:r>
      <w:r w:rsidRPr="005C6927">
        <w:rPr>
          <w:rFonts w:ascii="Arial" w:hAnsi="Arial" w:cs="Arial"/>
        </w:rPr>
        <w:t xml:space="preserve">Available at: </w:t>
      </w:r>
      <w:hyperlink r:id="rId30" w:tgtFrame="_new" w:history="1">
        <w:r w:rsidRPr="005C6927">
          <w:rPr>
            <w:rStyle w:val="Hyperlink"/>
            <w:rFonts w:ascii="Arial" w:hAnsi="Arial" w:cs="Arial"/>
          </w:rPr>
          <w:t>https://www.investopedia.com/terms/s/swot.asp</w:t>
        </w:r>
      </w:hyperlink>
    </w:p>
    <w:p w14:paraId="0E2FDF32" w14:textId="4CA83E84" w:rsidR="005C6927" w:rsidRPr="005C6927" w:rsidRDefault="005C6927" w:rsidP="00EC442F">
      <w:pPr>
        <w:rPr>
          <w:rFonts w:ascii="Arial" w:hAnsi="Arial" w:cs="Arial"/>
        </w:rPr>
      </w:pPr>
      <w:r w:rsidRPr="005C6927">
        <w:rPr>
          <w:rFonts w:ascii="Arial" w:hAnsi="Arial" w:cs="Arial"/>
        </w:rPr>
        <w:t xml:space="preserve">Kohn, N.W. and Smith, S.M. (2010) ‘Collaborative fixation: Effects of others’ ideas on brainstorming’, </w:t>
      </w:r>
      <w:r w:rsidRPr="005C6927">
        <w:rPr>
          <w:rFonts w:ascii="Arial" w:hAnsi="Arial" w:cs="Arial"/>
          <w:i/>
          <w:iCs/>
        </w:rPr>
        <w:t>Applied Cognitive Psychology</w:t>
      </w:r>
      <w:r w:rsidRPr="005C6927">
        <w:rPr>
          <w:rFonts w:ascii="Arial" w:hAnsi="Arial" w:cs="Arial"/>
        </w:rPr>
        <w:t>, 25(3), pp. 359–371.</w:t>
      </w:r>
      <w:r w:rsidR="0003185C">
        <w:rPr>
          <w:rFonts w:ascii="Arial" w:hAnsi="Arial" w:cs="Arial"/>
        </w:rPr>
        <w:br/>
      </w:r>
      <w:r w:rsidRPr="005C6927">
        <w:rPr>
          <w:rFonts w:ascii="Arial" w:hAnsi="Arial" w:cs="Arial"/>
        </w:rPr>
        <w:t xml:space="preserve">Available at: </w:t>
      </w:r>
      <w:hyperlink r:id="rId31" w:tgtFrame="_new" w:history="1">
        <w:r w:rsidRPr="005C6927">
          <w:rPr>
            <w:rStyle w:val="Hyperlink"/>
            <w:rFonts w:ascii="Arial" w:hAnsi="Arial" w:cs="Arial"/>
          </w:rPr>
          <w:t>https://doi.org/10.1002/acp.1699</w:t>
        </w:r>
      </w:hyperlink>
    </w:p>
    <w:p w14:paraId="5D923084" w14:textId="77777777" w:rsidR="005C6927" w:rsidRPr="005C6927" w:rsidRDefault="005C6927" w:rsidP="00EC442F">
      <w:pPr>
        <w:rPr>
          <w:rFonts w:ascii="Arial" w:hAnsi="Arial" w:cs="Arial"/>
        </w:rPr>
      </w:pPr>
      <w:r w:rsidRPr="005C6927">
        <w:rPr>
          <w:rFonts w:ascii="Arial" w:hAnsi="Arial" w:cs="Arial"/>
        </w:rPr>
        <w:t xml:space="preserve">Lambie-Mumford, H., </w:t>
      </w:r>
      <w:proofErr w:type="spellStart"/>
      <w:r w:rsidRPr="005C6927">
        <w:rPr>
          <w:rFonts w:ascii="Arial" w:hAnsi="Arial" w:cs="Arial"/>
        </w:rPr>
        <w:t>Loopstra</w:t>
      </w:r>
      <w:proofErr w:type="spellEnd"/>
      <w:r w:rsidRPr="005C6927">
        <w:rPr>
          <w:rFonts w:ascii="Arial" w:hAnsi="Arial" w:cs="Arial"/>
        </w:rPr>
        <w:t xml:space="preserve">, R. and Okell, A. (2023). Household food insecurity in the UK: data and research landscape. </w:t>
      </w:r>
      <w:r w:rsidRPr="005C6927">
        <w:rPr>
          <w:rFonts w:ascii="Arial" w:hAnsi="Arial" w:cs="Arial"/>
          <w:i/>
          <w:iCs/>
        </w:rPr>
        <w:t>Household food insecurity in the UK: data and research landscape</w:t>
      </w:r>
      <w:r w:rsidRPr="005C6927">
        <w:rPr>
          <w:rFonts w:ascii="Arial" w:hAnsi="Arial" w:cs="Arial"/>
        </w:rPr>
        <w:t>.</w:t>
      </w:r>
      <w:r w:rsidRPr="005C6927">
        <w:rPr>
          <w:rFonts w:ascii="Arial" w:hAnsi="Arial" w:cs="Arial"/>
        </w:rPr>
        <w:br/>
        <w:t xml:space="preserve">Available at: </w:t>
      </w:r>
      <w:hyperlink r:id="rId32" w:history="1">
        <w:r w:rsidRPr="005C6927">
          <w:rPr>
            <w:rStyle w:val="Hyperlink"/>
            <w:rFonts w:ascii="Arial" w:hAnsi="Arial" w:cs="Arial"/>
            <w:u w:val="none"/>
          </w:rPr>
          <w:t>https://doi.org/10.46756/sci.fsa.hee561</w:t>
        </w:r>
      </w:hyperlink>
      <w:r w:rsidRPr="005C6927">
        <w:rPr>
          <w:rFonts w:ascii="Arial" w:hAnsi="Arial" w:cs="Arial"/>
        </w:rPr>
        <w:t>.</w:t>
      </w:r>
    </w:p>
    <w:p w14:paraId="4C5C305D" w14:textId="081797B8" w:rsidR="005C6927" w:rsidRDefault="005C6927">
      <w:pPr>
        <w:rPr>
          <w:rFonts w:ascii="Arial" w:hAnsi="Arial" w:cs="Arial"/>
        </w:rPr>
      </w:pPr>
      <w:proofErr w:type="spellStart"/>
      <w:r w:rsidRPr="005C6927">
        <w:rPr>
          <w:rFonts w:ascii="Arial" w:hAnsi="Arial" w:cs="Arial"/>
        </w:rPr>
        <w:t>Leiringer</w:t>
      </w:r>
      <w:proofErr w:type="spellEnd"/>
      <w:r w:rsidRPr="005C6927">
        <w:rPr>
          <w:rFonts w:ascii="Arial" w:hAnsi="Arial" w:cs="Arial"/>
        </w:rPr>
        <w:t xml:space="preserve">, R. and Zhang, S. (2021). Organisational capabilities and project organising research. </w:t>
      </w:r>
      <w:r w:rsidRPr="005C6927">
        <w:rPr>
          <w:rFonts w:ascii="Arial" w:hAnsi="Arial" w:cs="Arial"/>
          <w:i/>
          <w:iCs/>
        </w:rPr>
        <w:t>International Journal of Project Management</w:t>
      </w:r>
      <w:r w:rsidRPr="005C6927">
        <w:rPr>
          <w:rFonts w:ascii="Arial" w:hAnsi="Arial" w:cs="Arial"/>
        </w:rPr>
        <w:t>, 39(5).</w:t>
      </w:r>
      <w:r w:rsidRPr="005C6927">
        <w:rPr>
          <w:rFonts w:ascii="Arial" w:hAnsi="Arial" w:cs="Arial"/>
        </w:rPr>
        <w:br/>
        <w:t xml:space="preserve">Available at: </w:t>
      </w:r>
      <w:hyperlink r:id="rId33" w:history="1">
        <w:r w:rsidRPr="005C6927">
          <w:rPr>
            <w:rStyle w:val="Hyperlink"/>
            <w:rFonts w:ascii="Arial" w:hAnsi="Arial" w:cs="Arial"/>
          </w:rPr>
          <w:t>https://doi.org/10.1016/j.ijproman.2021.02.003</w:t>
        </w:r>
      </w:hyperlink>
      <w:r w:rsidRPr="005C6927">
        <w:rPr>
          <w:rFonts w:ascii="Arial" w:hAnsi="Arial" w:cs="Arial"/>
        </w:rPr>
        <w:t>.</w:t>
      </w:r>
    </w:p>
    <w:p w14:paraId="0C242033" w14:textId="60F3FA66" w:rsidR="005C6927" w:rsidRDefault="005C6927">
      <w:pPr>
        <w:rPr>
          <w:rFonts w:ascii="Arial" w:hAnsi="Arial" w:cs="Arial"/>
        </w:rPr>
      </w:pPr>
    </w:p>
    <w:p w14:paraId="0ADA0BE6" w14:textId="77777777" w:rsidR="005C6927" w:rsidRPr="005C6927" w:rsidRDefault="005C6927">
      <w:pPr>
        <w:rPr>
          <w:rFonts w:ascii="Arial" w:hAnsi="Arial" w:cs="Arial"/>
        </w:rPr>
      </w:pPr>
    </w:p>
    <w:p w14:paraId="07B835A8" w14:textId="77777777" w:rsidR="005C6927" w:rsidRPr="005C6927" w:rsidRDefault="005C6927">
      <w:pPr>
        <w:rPr>
          <w:rFonts w:ascii="Arial" w:hAnsi="Arial" w:cs="Arial"/>
        </w:rPr>
      </w:pPr>
      <w:proofErr w:type="spellStart"/>
      <w:r w:rsidRPr="005C6927">
        <w:rPr>
          <w:rFonts w:ascii="Arial" w:hAnsi="Arial" w:cs="Arial"/>
        </w:rPr>
        <w:lastRenderedPageBreak/>
        <w:t>Maddaloni</w:t>
      </w:r>
      <w:proofErr w:type="spellEnd"/>
      <w:r w:rsidRPr="005C6927">
        <w:rPr>
          <w:rFonts w:ascii="Arial" w:hAnsi="Arial" w:cs="Arial"/>
        </w:rPr>
        <w:t xml:space="preserve">, F.D. and </w:t>
      </w:r>
      <w:proofErr w:type="spellStart"/>
      <w:r w:rsidRPr="005C6927">
        <w:rPr>
          <w:rFonts w:ascii="Arial" w:hAnsi="Arial" w:cs="Arial"/>
        </w:rPr>
        <w:t>Sabini</w:t>
      </w:r>
      <w:proofErr w:type="spellEnd"/>
      <w:r w:rsidRPr="005C6927">
        <w:rPr>
          <w:rFonts w:ascii="Arial" w:hAnsi="Arial" w:cs="Arial"/>
        </w:rPr>
        <w:t xml:space="preserve">, L. (2022). Very important, yet very neglected: Where do local communities stand when examining social sustainability in major construction projects? </w:t>
      </w:r>
      <w:r w:rsidRPr="005C6927">
        <w:rPr>
          <w:rFonts w:ascii="Arial" w:hAnsi="Arial" w:cs="Arial"/>
          <w:i/>
          <w:iCs/>
        </w:rPr>
        <w:t>International Journal of Project Management</w:t>
      </w:r>
      <w:r w:rsidRPr="005C6927">
        <w:rPr>
          <w:rFonts w:ascii="Arial" w:hAnsi="Arial" w:cs="Arial"/>
        </w:rPr>
        <w:t>, 40(7), pp.778–797.</w:t>
      </w:r>
      <w:r w:rsidRPr="005C6927">
        <w:rPr>
          <w:rFonts w:ascii="Arial" w:hAnsi="Arial" w:cs="Arial"/>
        </w:rPr>
        <w:br/>
        <w:t xml:space="preserve">Available at: </w:t>
      </w:r>
      <w:hyperlink r:id="rId34" w:history="1">
        <w:r w:rsidRPr="005C6927">
          <w:rPr>
            <w:rStyle w:val="Hyperlink"/>
            <w:rFonts w:ascii="Arial" w:hAnsi="Arial" w:cs="Arial"/>
          </w:rPr>
          <w:t>https://doi.org/10.1016/j.ijproman.2022.08.007</w:t>
        </w:r>
      </w:hyperlink>
      <w:r w:rsidRPr="005C6927">
        <w:rPr>
          <w:rFonts w:ascii="Arial" w:hAnsi="Arial" w:cs="Arial"/>
        </w:rPr>
        <w:t>.</w:t>
      </w:r>
    </w:p>
    <w:p w14:paraId="40EF27A7" w14:textId="77777777" w:rsidR="005C6927" w:rsidRPr="005C6927" w:rsidRDefault="005C6927">
      <w:pPr>
        <w:rPr>
          <w:rFonts w:ascii="Arial" w:hAnsi="Arial" w:cs="Arial"/>
        </w:rPr>
      </w:pPr>
      <w:bookmarkStart w:id="12" w:name="_Hlk233840051"/>
      <w:proofErr w:type="spellStart"/>
      <w:r w:rsidRPr="005C6927">
        <w:rPr>
          <w:rFonts w:ascii="Arial" w:hAnsi="Arial" w:cs="Arial"/>
        </w:rPr>
        <w:t>Maravas</w:t>
      </w:r>
      <w:proofErr w:type="spellEnd"/>
      <w:r w:rsidRPr="005C6927">
        <w:rPr>
          <w:rFonts w:ascii="Arial" w:hAnsi="Arial" w:cs="Arial"/>
        </w:rPr>
        <w:t xml:space="preserve">, A. and </w:t>
      </w:r>
      <w:proofErr w:type="spellStart"/>
      <w:r w:rsidRPr="005C6927">
        <w:rPr>
          <w:rFonts w:ascii="Arial" w:hAnsi="Arial" w:cs="Arial"/>
        </w:rPr>
        <w:t>Pantouvakis</w:t>
      </w:r>
      <w:proofErr w:type="spellEnd"/>
      <w:r w:rsidRPr="005C6927">
        <w:rPr>
          <w:rFonts w:ascii="Arial" w:hAnsi="Arial" w:cs="Arial"/>
        </w:rPr>
        <w:t xml:space="preserve">, J.-P. (2025). </w:t>
      </w:r>
      <w:proofErr w:type="spellStart"/>
      <w:r w:rsidRPr="005C6927">
        <w:rPr>
          <w:rFonts w:ascii="Arial" w:hAnsi="Arial" w:cs="Arial"/>
        </w:rPr>
        <w:t>Schedula</w:t>
      </w:r>
      <w:proofErr w:type="spellEnd"/>
      <w:r w:rsidRPr="005C6927">
        <w:rPr>
          <w:rFonts w:ascii="Arial" w:hAnsi="Arial" w:cs="Arial"/>
        </w:rPr>
        <w:t xml:space="preserve"> Anima: Dynamic Visualization of Gantt Charts and Resource Usage Graphs in Project Scheduling. </w:t>
      </w:r>
      <w:r w:rsidRPr="005C6927">
        <w:rPr>
          <w:rFonts w:ascii="Arial" w:hAnsi="Arial" w:cs="Arial"/>
          <w:i/>
          <w:iCs/>
        </w:rPr>
        <w:t>Buildings</w:t>
      </w:r>
      <w:r w:rsidRPr="005C6927">
        <w:rPr>
          <w:rFonts w:ascii="Arial" w:hAnsi="Arial" w:cs="Arial"/>
        </w:rPr>
        <w:t>, 15(3), p.393.</w:t>
      </w:r>
      <w:r w:rsidRPr="005C6927">
        <w:rPr>
          <w:rFonts w:ascii="Arial" w:hAnsi="Arial" w:cs="Arial"/>
        </w:rPr>
        <w:br/>
        <w:t xml:space="preserve">Available at: </w:t>
      </w:r>
      <w:hyperlink r:id="rId35" w:history="1">
        <w:r w:rsidRPr="005C6927">
          <w:rPr>
            <w:rStyle w:val="Hyperlink"/>
            <w:rFonts w:ascii="Arial" w:hAnsi="Arial" w:cs="Arial"/>
          </w:rPr>
          <w:t>https://doi.org/10.3390/buildings15030393</w:t>
        </w:r>
      </w:hyperlink>
      <w:r w:rsidRPr="005C6927">
        <w:rPr>
          <w:rFonts w:ascii="Arial" w:hAnsi="Arial" w:cs="Arial"/>
        </w:rPr>
        <w:t>.</w:t>
      </w:r>
    </w:p>
    <w:bookmarkEnd w:id="12"/>
    <w:p w14:paraId="31D0FF4B" w14:textId="77777777" w:rsidR="005C6927" w:rsidRPr="005C6927" w:rsidRDefault="005C6927">
      <w:pPr>
        <w:rPr>
          <w:rFonts w:ascii="Arial" w:hAnsi="Arial" w:cs="Arial"/>
        </w:rPr>
      </w:pPr>
      <w:proofErr w:type="spellStart"/>
      <w:r w:rsidRPr="005C6927">
        <w:rPr>
          <w:rFonts w:ascii="Arial" w:hAnsi="Arial" w:cs="Arial"/>
        </w:rPr>
        <w:t>Marnewick</w:t>
      </w:r>
      <w:proofErr w:type="spellEnd"/>
      <w:r w:rsidRPr="005C6927">
        <w:rPr>
          <w:rFonts w:ascii="Arial" w:hAnsi="Arial" w:cs="Arial"/>
        </w:rPr>
        <w:t xml:space="preserve">, A. and Joseph, N. (2019). The importance of planning for communication in a project during the requirements process. </w:t>
      </w:r>
      <w:r w:rsidRPr="005C6927">
        <w:rPr>
          <w:rFonts w:ascii="Arial" w:hAnsi="Arial" w:cs="Arial"/>
          <w:i/>
          <w:iCs/>
        </w:rPr>
        <w:t>IEEE Engineering Management Review</w:t>
      </w:r>
      <w:r w:rsidRPr="005C6927">
        <w:rPr>
          <w:rFonts w:ascii="Arial" w:hAnsi="Arial" w:cs="Arial"/>
        </w:rPr>
        <w:t>, pp.1–1.</w:t>
      </w:r>
      <w:r w:rsidRPr="005C6927">
        <w:rPr>
          <w:rFonts w:ascii="Arial" w:hAnsi="Arial" w:cs="Arial"/>
        </w:rPr>
        <w:br/>
        <w:t xml:space="preserve">Available at: </w:t>
      </w:r>
      <w:hyperlink r:id="rId36" w:history="1">
        <w:r w:rsidRPr="005C6927">
          <w:rPr>
            <w:rStyle w:val="Hyperlink"/>
            <w:rFonts w:ascii="Arial" w:hAnsi="Arial" w:cs="Arial"/>
          </w:rPr>
          <w:t>https://doi.org/10.1109/emr.2019.2952563</w:t>
        </w:r>
      </w:hyperlink>
      <w:r w:rsidRPr="005C6927">
        <w:rPr>
          <w:rFonts w:ascii="Arial" w:hAnsi="Arial" w:cs="Arial"/>
        </w:rPr>
        <w:t>.</w:t>
      </w:r>
    </w:p>
    <w:p w14:paraId="39DEC0FB" w14:textId="5D051A52" w:rsidR="005C6927" w:rsidRDefault="005C6927" w:rsidP="00F55010">
      <w:pPr>
        <w:spacing w:after="0" w:line="240" w:lineRule="auto"/>
        <w:rPr>
          <w:rFonts w:ascii="Arial" w:eastAsia="Times New Roman" w:hAnsi="Arial" w:cs="Arial"/>
          <w:lang w:eastAsia="en-GB"/>
        </w:rPr>
      </w:pPr>
      <w:proofErr w:type="spellStart"/>
      <w:r w:rsidRPr="00F55010">
        <w:rPr>
          <w:rFonts w:ascii="Arial" w:eastAsia="Times New Roman" w:hAnsi="Arial" w:cs="Arial"/>
          <w:lang w:eastAsia="en-GB"/>
        </w:rPr>
        <w:t>Mok</w:t>
      </w:r>
      <w:proofErr w:type="spellEnd"/>
      <w:r w:rsidRPr="00F55010">
        <w:rPr>
          <w:rFonts w:ascii="Arial" w:eastAsia="Times New Roman" w:hAnsi="Arial" w:cs="Arial"/>
          <w:lang w:eastAsia="en-GB"/>
        </w:rPr>
        <w:t xml:space="preserve">, K.Y., Shen, G.Q. and Yang, J. (2015). Stakeholder Management Studies in Mega Construction projects: a Review and Future Directions. </w:t>
      </w:r>
      <w:r w:rsidRPr="00F55010">
        <w:rPr>
          <w:rFonts w:ascii="Arial" w:eastAsia="Times New Roman" w:hAnsi="Arial" w:cs="Arial"/>
          <w:i/>
          <w:iCs/>
          <w:lang w:eastAsia="en-GB"/>
        </w:rPr>
        <w:t>International Journal of Project Management</w:t>
      </w:r>
      <w:r w:rsidRPr="00F55010">
        <w:rPr>
          <w:rFonts w:ascii="Arial" w:eastAsia="Times New Roman" w:hAnsi="Arial" w:cs="Arial"/>
          <w:lang w:eastAsia="en-GB"/>
        </w:rPr>
        <w:t>, 33(2), pp.446–457.</w:t>
      </w:r>
      <w:r w:rsidRPr="005C6927">
        <w:rPr>
          <w:rFonts w:ascii="Arial" w:eastAsia="Times New Roman" w:hAnsi="Arial" w:cs="Arial"/>
          <w:lang w:eastAsia="en-GB"/>
        </w:rPr>
        <w:br/>
        <w:t xml:space="preserve">Available at: </w:t>
      </w:r>
      <w:hyperlink r:id="rId37" w:history="1">
        <w:r w:rsidRPr="00F55010">
          <w:rPr>
            <w:rStyle w:val="Hyperlink"/>
            <w:rFonts w:ascii="Arial" w:eastAsia="Times New Roman" w:hAnsi="Arial" w:cs="Arial"/>
            <w:lang w:eastAsia="en-GB"/>
          </w:rPr>
          <w:t>https://doi.org/10.1016/j.ijproman.2014.08.007</w:t>
        </w:r>
      </w:hyperlink>
      <w:r w:rsidRPr="00F55010">
        <w:rPr>
          <w:rFonts w:ascii="Arial" w:eastAsia="Times New Roman" w:hAnsi="Arial" w:cs="Arial"/>
          <w:lang w:eastAsia="en-GB"/>
        </w:rPr>
        <w:t>.</w:t>
      </w:r>
    </w:p>
    <w:p w14:paraId="330EE21C" w14:textId="77777777" w:rsidR="005C6927" w:rsidRPr="005C6927" w:rsidRDefault="005C6927" w:rsidP="00F55010">
      <w:pPr>
        <w:spacing w:after="0" w:line="240" w:lineRule="auto"/>
        <w:rPr>
          <w:rFonts w:ascii="Arial" w:eastAsia="Times New Roman" w:hAnsi="Arial" w:cs="Arial"/>
          <w:lang w:eastAsia="en-GB"/>
        </w:rPr>
      </w:pPr>
    </w:p>
    <w:p w14:paraId="319E23C4" w14:textId="77777777" w:rsidR="005C6927" w:rsidRPr="005C6927" w:rsidRDefault="005C6927">
      <w:pPr>
        <w:rPr>
          <w:rFonts w:ascii="Arial" w:hAnsi="Arial" w:cs="Arial"/>
        </w:rPr>
      </w:pPr>
      <w:r w:rsidRPr="005C6927">
        <w:rPr>
          <w:rFonts w:ascii="Arial" w:hAnsi="Arial" w:cs="Arial"/>
        </w:rPr>
        <w:t xml:space="preserve">Mulholland, C., Chan, P.W., Canning, K. and </w:t>
      </w:r>
      <w:proofErr w:type="spellStart"/>
      <w:r w:rsidRPr="005C6927">
        <w:rPr>
          <w:rFonts w:ascii="Arial" w:hAnsi="Arial" w:cs="Arial"/>
        </w:rPr>
        <w:t>Ejohwomu</w:t>
      </w:r>
      <w:proofErr w:type="spellEnd"/>
      <w:r w:rsidRPr="005C6927">
        <w:rPr>
          <w:rFonts w:ascii="Arial" w:hAnsi="Arial" w:cs="Arial"/>
        </w:rPr>
        <w:t>, O.A. (2020). Social value for whom, by whom and when?</w:t>
      </w:r>
      <w:r w:rsidRPr="005C6927">
        <w:rPr>
          <w:rFonts w:ascii="Arial" w:hAnsi="Arial" w:cs="Arial"/>
          <w:i/>
          <w:iCs/>
        </w:rPr>
        <w:t xml:space="preserve"> Management, Procurement and Law</w:t>
      </w:r>
      <w:r w:rsidRPr="005C6927">
        <w:rPr>
          <w:rFonts w:ascii="Arial" w:hAnsi="Arial" w:cs="Arial"/>
        </w:rPr>
        <w:t>, 173(2), pp.75–86.</w:t>
      </w:r>
      <w:r w:rsidRPr="005C6927">
        <w:rPr>
          <w:rFonts w:ascii="Arial" w:hAnsi="Arial" w:cs="Arial"/>
        </w:rPr>
        <w:br/>
        <w:t xml:space="preserve">Available at: </w:t>
      </w:r>
      <w:hyperlink r:id="rId38" w:history="1">
        <w:r w:rsidRPr="005C6927">
          <w:rPr>
            <w:rStyle w:val="Hyperlink"/>
            <w:rFonts w:ascii="Arial" w:hAnsi="Arial" w:cs="Arial"/>
          </w:rPr>
          <w:t>https://doi.org/10.1680/jmapl.19.00018</w:t>
        </w:r>
      </w:hyperlink>
      <w:r w:rsidRPr="005C6927">
        <w:rPr>
          <w:rFonts w:ascii="Arial" w:hAnsi="Arial" w:cs="Arial"/>
        </w:rPr>
        <w:t>.</w:t>
      </w:r>
    </w:p>
    <w:p w14:paraId="1ACEF417" w14:textId="77777777" w:rsidR="005C6927" w:rsidRPr="005C6927" w:rsidRDefault="005C6927">
      <w:pPr>
        <w:rPr>
          <w:rFonts w:ascii="Arial" w:hAnsi="Arial" w:cs="Arial"/>
        </w:rPr>
      </w:pPr>
      <w:r w:rsidRPr="005C6927">
        <w:rPr>
          <w:rFonts w:ascii="Arial" w:hAnsi="Arial" w:cs="Arial"/>
        </w:rPr>
        <w:t>Narvaez, A.C., Fernández, A.P., Mateo, M.O. and Pérez, P.B. (2020). Integration of Cost and Work Breakdown Structures in the Management of Construction Projects, 10(4), p.1386.</w:t>
      </w:r>
      <w:r w:rsidRPr="005C6927">
        <w:rPr>
          <w:rFonts w:ascii="Arial" w:hAnsi="Arial" w:cs="Arial"/>
        </w:rPr>
        <w:br/>
        <w:t xml:space="preserve">Available at: </w:t>
      </w:r>
      <w:hyperlink r:id="rId39" w:history="1">
        <w:r w:rsidRPr="005C6927">
          <w:rPr>
            <w:rStyle w:val="Hyperlink"/>
            <w:rFonts w:ascii="Arial" w:hAnsi="Arial" w:cs="Arial"/>
          </w:rPr>
          <w:t>https://www.mdpi.com/2076-3417/10/4/1386</w:t>
        </w:r>
      </w:hyperlink>
      <w:r w:rsidRPr="005C6927">
        <w:rPr>
          <w:rFonts w:ascii="Arial" w:hAnsi="Arial" w:cs="Arial"/>
        </w:rPr>
        <w:t>.</w:t>
      </w:r>
    </w:p>
    <w:p w14:paraId="1076E0B0" w14:textId="52C347B1" w:rsidR="005C6927" w:rsidRPr="005C6927" w:rsidRDefault="005C6927" w:rsidP="00E7469E">
      <w:pPr>
        <w:spacing w:after="0" w:line="240" w:lineRule="auto"/>
        <w:rPr>
          <w:rFonts w:ascii="Arial" w:eastAsia="Times New Roman" w:hAnsi="Arial" w:cs="Arial"/>
          <w:lang w:eastAsia="en-GB"/>
        </w:rPr>
      </w:pPr>
      <w:r w:rsidRPr="00E7469E">
        <w:rPr>
          <w:rFonts w:ascii="Arial" w:eastAsia="Times New Roman" w:hAnsi="Arial" w:cs="Arial"/>
          <w:lang w:eastAsia="en-GB"/>
        </w:rPr>
        <w:t xml:space="preserve">Pereira, J., </w:t>
      </w:r>
      <w:proofErr w:type="spellStart"/>
      <w:r w:rsidRPr="00E7469E">
        <w:rPr>
          <w:rFonts w:ascii="Arial" w:eastAsia="Times New Roman" w:hAnsi="Arial" w:cs="Arial"/>
          <w:lang w:eastAsia="en-GB"/>
        </w:rPr>
        <w:t>Varajão</w:t>
      </w:r>
      <w:proofErr w:type="spellEnd"/>
      <w:r w:rsidRPr="00E7469E">
        <w:rPr>
          <w:rFonts w:ascii="Arial" w:eastAsia="Times New Roman" w:hAnsi="Arial" w:cs="Arial"/>
          <w:lang w:eastAsia="en-GB"/>
        </w:rPr>
        <w:t xml:space="preserve">, J. and Takagi, N. (2021). Evaluation of Information Systems Project Success – Insights from Practitioners. </w:t>
      </w:r>
      <w:r w:rsidRPr="00E7469E">
        <w:rPr>
          <w:rFonts w:ascii="Arial" w:eastAsia="Times New Roman" w:hAnsi="Arial" w:cs="Arial"/>
          <w:i/>
          <w:iCs/>
          <w:lang w:eastAsia="en-GB"/>
        </w:rPr>
        <w:t>Information Systems Management</w:t>
      </w:r>
      <w:r w:rsidRPr="00E7469E">
        <w:rPr>
          <w:rFonts w:ascii="Arial" w:eastAsia="Times New Roman" w:hAnsi="Arial" w:cs="Arial"/>
          <w:lang w:eastAsia="en-GB"/>
        </w:rPr>
        <w:t>, 39(2), pp.1–18.</w:t>
      </w:r>
      <w:r w:rsidRPr="005C6927">
        <w:rPr>
          <w:rFonts w:ascii="Arial" w:eastAsia="Times New Roman" w:hAnsi="Arial" w:cs="Arial"/>
          <w:lang w:eastAsia="en-GB"/>
        </w:rPr>
        <w:br/>
        <w:t xml:space="preserve">Available at: </w:t>
      </w:r>
      <w:hyperlink r:id="rId40" w:history="1">
        <w:r w:rsidRPr="00E7469E">
          <w:rPr>
            <w:rStyle w:val="Hyperlink"/>
            <w:rFonts w:ascii="Arial" w:eastAsia="Times New Roman" w:hAnsi="Arial" w:cs="Arial"/>
            <w:lang w:eastAsia="en-GB"/>
          </w:rPr>
          <w:t>https://doi.org/10.1080/10580530.2021.1887982</w:t>
        </w:r>
      </w:hyperlink>
      <w:r w:rsidRPr="00E7469E">
        <w:rPr>
          <w:rFonts w:ascii="Arial" w:eastAsia="Times New Roman" w:hAnsi="Arial" w:cs="Arial"/>
          <w:lang w:eastAsia="en-GB"/>
        </w:rPr>
        <w:t>.</w:t>
      </w:r>
    </w:p>
    <w:p w14:paraId="28A230C3" w14:textId="77777777" w:rsidR="005C6927" w:rsidRPr="005C6927" w:rsidRDefault="005C6927" w:rsidP="00E7469E">
      <w:pPr>
        <w:spacing w:after="0" w:line="240" w:lineRule="auto"/>
        <w:rPr>
          <w:rFonts w:ascii="Arial" w:eastAsia="Times New Roman" w:hAnsi="Arial" w:cs="Arial"/>
          <w:lang w:eastAsia="en-GB"/>
        </w:rPr>
      </w:pPr>
    </w:p>
    <w:p w14:paraId="3B967A9B" w14:textId="77777777" w:rsidR="005C6927" w:rsidRPr="005C6927" w:rsidRDefault="005C6927" w:rsidP="00EC442F">
      <w:pPr>
        <w:rPr>
          <w:rFonts w:ascii="Arial" w:hAnsi="Arial" w:cs="Arial"/>
        </w:rPr>
      </w:pPr>
      <w:r w:rsidRPr="005C6927">
        <w:rPr>
          <w:rFonts w:ascii="Arial" w:hAnsi="Arial" w:cs="Arial"/>
        </w:rPr>
        <w:t xml:space="preserve">Project Management Institute (PMI) (2021) </w:t>
      </w:r>
      <w:r w:rsidRPr="005C6927">
        <w:rPr>
          <w:rFonts w:ascii="Arial" w:hAnsi="Arial" w:cs="Arial"/>
          <w:i/>
          <w:iCs/>
        </w:rPr>
        <w:t>A Guide to the Project Management Body of Knowledge</w:t>
      </w:r>
      <w:r w:rsidRPr="005C6927">
        <w:rPr>
          <w:rFonts w:ascii="Arial" w:hAnsi="Arial" w:cs="Arial"/>
        </w:rPr>
        <w:t xml:space="preserve">. 7th </w:t>
      </w:r>
      <w:proofErr w:type="spellStart"/>
      <w:r w:rsidRPr="005C6927">
        <w:rPr>
          <w:rFonts w:ascii="Arial" w:hAnsi="Arial" w:cs="Arial"/>
        </w:rPr>
        <w:t>edn</w:t>
      </w:r>
      <w:proofErr w:type="spellEnd"/>
      <w:r w:rsidRPr="005C6927">
        <w:rPr>
          <w:rFonts w:ascii="Arial" w:hAnsi="Arial" w:cs="Arial"/>
        </w:rPr>
        <w:t xml:space="preserve">. Newtown Square, PA: PMI. </w:t>
      </w:r>
      <w:r w:rsidRPr="005C6927">
        <w:rPr>
          <w:rFonts w:ascii="Arial" w:hAnsi="Arial" w:cs="Arial"/>
        </w:rPr>
        <w:br/>
        <w:t xml:space="preserve">Available at: </w:t>
      </w:r>
      <w:hyperlink r:id="rId41" w:tgtFrame="_new" w:history="1">
        <w:r w:rsidRPr="005C6927">
          <w:rPr>
            <w:rStyle w:val="Hyperlink"/>
            <w:rFonts w:ascii="Arial" w:hAnsi="Arial" w:cs="Arial"/>
          </w:rPr>
          <w:t>https://www.pmi.org/pmbok-guide-standards/foundational/pmbok</w:t>
        </w:r>
      </w:hyperlink>
    </w:p>
    <w:p w14:paraId="53B41BC3" w14:textId="27CFA6F0" w:rsidR="005C6927" w:rsidRPr="005C6927" w:rsidRDefault="005C6927">
      <w:pPr>
        <w:rPr>
          <w:rFonts w:ascii="Arial" w:hAnsi="Arial" w:cs="Arial"/>
        </w:rPr>
      </w:pPr>
      <w:r w:rsidRPr="005C6927">
        <w:rPr>
          <w:rFonts w:ascii="Arial" w:hAnsi="Arial" w:cs="Arial"/>
        </w:rPr>
        <w:t xml:space="preserve">Raiden, A. and King, A. (2021). Social value, organisational learning, and the sustainable development goals in the built environment. </w:t>
      </w:r>
      <w:r w:rsidRPr="005C6927">
        <w:rPr>
          <w:rFonts w:ascii="Arial" w:hAnsi="Arial" w:cs="Arial"/>
          <w:i/>
          <w:iCs/>
        </w:rPr>
        <w:t>Resources, Conservation and Recycling</w:t>
      </w:r>
      <w:r w:rsidRPr="005C6927">
        <w:rPr>
          <w:rFonts w:ascii="Arial" w:hAnsi="Arial" w:cs="Arial"/>
        </w:rPr>
        <w:t>, 172, p.105663.</w:t>
      </w:r>
      <w:r w:rsidRPr="005C6927">
        <w:rPr>
          <w:rFonts w:ascii="Arial" w:hAnsi="Arial" w:cs="Arial"/>
        </w:rPr>
        <w:br/>
        <w:t xml:space="preserve">Available at: </w:t>
      </w:r>
      <w:hyperlink r:id="rId42" w:history="1">
        <w:r w:rsidRPr="005C6927">
          <w:rPr>
            <w:rStyle w:val="Hyperlink"/>
            <w:rFonts w:ascii="Arial" w:hAnsi="Arial" w:cs="Arial"/>
          </w:rPr>
          <w:t>https://doi.org/10.1016/j.resconrec.2021.105663</w:t>
        </w:r>
      </w:hyperlink>
      <w:r w:rsidRPr="005C6927">
        <w:rPr>
          <w:rFonts w:ascii="Arial" w:hAnsi="Arial" w:cs="Arial"/>
        </w:rPr>
        <w:t>.</w:t>
      </w:r>
    </w:p>
    <w:p w14:paraId="3AA8229B" w14:textId="77777777" w:rsidR="005C6927" w:rsidRPr="005C6927" w:rsidRDefault="005C6927">
      <w:pPr>
        <w:rPr>
          <w:rFonts w:ascii="Arial" w:hAnsi="Arial" w:cs="Arial"/>
        </w:rPr>
      </w:pPr>
      <w:r w:rsidRPr="005C6927">
        <w:rPr>
          <w:rFonts w:ascii="Arial" w:hAnsi="Arial" w:cs="Arial"/>
        </w:rPr>
        <w:t xml:space="preserve">Raz, T., </w:t>
      </w:r>
      <w:proofErr w:type="spellStart"/>
      <w:r w:rsidRPr="005C6927">
        <w:rPr>
          <w:rFonts w:ascii="Arial" w:hAnsi="Arial" w:cs="Arial"/>
        </w:rPr>
        <w:t>Shenhar</w:t>
      </w:r>
      <w:proofErr w:type="spellEnd"/>
      <w:r w:rsidRPr="005C6927">
        <w:rPr>
          <w:rFonts w:ascii="Arial" w:hAnsi="Arial" w:cs="Arial"/>
        </w:rPr>
        <w:t xml:space="preserve">, A.J. and </w:t>
      </w:r>
      <w:proofErr w:type="spellStart"/>
      <w:r w:rsidRPr="005C6927">
        <w:rPr>
          <w:rFonts w:ascii="Arial" w:hAnsi="Arial" w:cs="Arial"/>
        </w:rPr>
        <w:t>Dvir</w:t>
      </w:r>
      <w:proofErr w:type="spellEnd"/>
      <w:r w:rsidRPr="005C6927">
        <w:rPr>
          <w:rFonts w:ascii="Arial" w:hAnsi="Arial" w:cs="Arial"/>
        </w:rPr>
        <w:t xml:space="preserve">, D. (2002). Risk management, project success, and technological uncertainty. </w:t>
      </w:r>
      <w:r w:rsidRPr="005C6927">
        <w:rPr>
          <w:rFonts w:ascii="Arial" w:hAnsi="Arial" w:cs="Arial"/>
          <w:i/>
          <w:iCs/>
        </w:rPr>
        <w:t>R&amp;D Management</w:t>
      </w:r>
      <w:r w:rsidRPr="005C6927">
        <w:rPr>
          <w:rFonts w:ascii="Arial" w:hAnsi="Arial" w:cs="Arial"/>
        </w:rPr>
        <w:t>, 32(2), pp.101–109.</w:t>
      </w:r>
      <w:r w:rsidRPr="005C6927">
        <w:rPr>
          <w:rFonts w:ascii="Arial" w:hAnsi="Arial" w:cs="Arial"/>
        </w:rPr>
        <w:br/>
        <w:t xml:space="preserve">Available at: </w:t>
      </w:r>
      <w:hyperlink r:id="rId43" w:history="1">
        <w:r w:rsidRPr="005C6927">
          <w:rPr>
            <w:rStyle w:val="Hyperlink"/>
            <w:rFonts w:ascii="Arial" w:hAnsi="Arial" w:cs="Arial"/>
          </w:rPr>
          <w:t>https://doi.org/10.1111/1467-9310.00243</w:t>
        </w:r>
      </w:hyperlink>
      <w:r w:rsidRPr="005C6927">
        <w:rPr>
          <w:rFonts w:ascii="Arial" w:hAnsi="Arial" w:cs="Arial"/>
        </w:rPr>
        <w:t>.</w:t>
      </w:r>
    </w:p>
    <w:p w14:paraId="5F446022" w14:textId="77777777" w:rsidR="005C6927" w:rsidRPr="005C6927" w:rsidRDefault="005C6927">
      <w:pPr>
        <w:rPr>
          <w:rFonts w:ascii="Arial" w:hAnsi="Arial" w:cs="Arial"/>
        </w:rPr>
      </w:pPr>
      <w:proofErr w:type="spellStart"/>
      <w:r w:rsidRPr="005C6927">
        <w:rPr>
          <w:rFonts w:ascii="Arial" w:hAnsi="Arial" w:cs="Arial"/>
        </w:rPr>
        <w:t>Sarhadi</w:t>
      </w:r>
      <w:proofErr w:type="spellEnd"/>
      <w:r w:rsidRPr="005C6927">
        <w:rPr>
          <w:rFonts w:ascii="Arial" w:hAnsi="Arial" w:cs="Arial"/>
        </w:rPr>
        <w:t xml:space="preserve">, M., </w:t>
      </w:r>
      <w:proofErr w:type="spellStart"/>
      <w:r w:rsidRPr="005C6927">
        <w:rPr>
          <w:rFonts w:ascii="Arial" w:hAnsi="Arial" w:cs="Arial"/>
        </w:rPr>
        <w:t>Hasanzadeh</w:t>
      </w:r>
      <w:proofErr w:type="spellEnd"/>
      <w:r w:rsidRPr="005C6927">
        <w:rPr>
          <w:rFonts w:ascii="Arial" w:hAnsi="Arial" w:cs="Arial"/>
        </w:rPr>
        <w:t xml:space="preserve">, S. and </w:t>
      </w:r>
      <w:proofErr w:type="spellStart"/>
      <w:r w:rsidRPr="005C6927">
        <w:rPr>
          <w:rFonts w:ascii="Arial" w:hAnsi="Arial" w:cs="Arial"/>
        </w:rPr>
        <w:t>Hoseini</w:t>
      </w:r>
      <w:proofErr w:type="spellEnd"/>
      <w:r w:rsidRPr="005C6927">
        <w:rPr>
          <w:rFonts w:ascii="Arial" w:hAnsi="Arial" w:cs="Arial"/>
        </w:rPr>
        <w:t xml:space="preserve">, S.H. (2021). Stakeholder Analysis in the Feasibility Process of Projects: </w:t>
      </w:r>
      <w:proofErr w:type="gramStart"/>
      <w:r w:rsidRPr="005C6927">
        <w:rPr>
          <w:rFonts w:ascii="Arial" w:hAnsi="Arial" w:cs="Arial"/>
        </w:rPr>
        <w:t>a</w:t>
      </w:r>
      <w:proofErr w:type="gramEnd"/>
      <w:r w:rsidRPr="005C6927">
        <w:rPr>
          <w:rFonts w:ascii="Arial" w:hAnsi="Arial" w:cs="Arial"/>
        </w:rPr>
        <w:t xml:space="preserve"> Structural Evaluation of the Power-Oriented Relationship. </w:t>
      </w:r>
      <w:r w:rsidRPr="005C6927">
        <w:rPr>
          <w:rFonts w:ascii="Arial" w:hAnsi="Arial" w:cs="Arial"/>
          <w:i/>
          <w:iCs/>
        </w:rPr>
        <w:t>Project Management Journal</w:t>
      </w:r>
      <w:r w:rsidRPr="005C6927">
        <w:rPr>
          <w:rFonts w:ascii="Arial" w:hAnsi="Arial" w:cs="Arial"/>
        </w:rPr>
        <w:t>, 52(4), p.875697282199949.</w:t>
      </w:r>
      <w:r w:rsidRPr="005C6927">
        <w:rPr>
          <w:rFonts w:ascii="Arial" w:hAnsi="Arial" w:cs="Arial"/>
        </w:rPr>
        <w:br/>
        <w:t xml:space="preserve">Available at: </w:t>
      </w:r>
      <w:hyperlink r:id="rId44" w:history="1">
        <w:r w:rsidRPr="005C6927">
          <w:rPr>
            <w:rStyle w:val="Hyperlink"/>
            <w:rFonts w:ascii="Arial" w:hAnsi="Arial" w:cs="Arial"/>
          </w:rPr>
          <w:t>https://doi.org/10.1177/8756972821999499</w:t>
        </w:r>
      </w:hyperlink>
      <w:r w:rsidRPr="005C6927">
        <w:rPr>
          <w:rFonts w:ascii="Arial" w:hAnsi="Arial" w:cs="Arial"/>
        </w:rPr>
        <w:t>.</w:t>
      </w:r>
    </w:p>
    <w:p w14:paraId="5D28F1A9" w14:textId="1280B0BB" w:rsidR="005C6927" w:rsidRDefault="005C6927" w:rsidP="00C164C0">
      <w:pPr>
        <w:spacing w:after="0" w:line="240" w:lineRule="auto"/>
        <w:rPr>
          <w:rFonts w:ascii="Arial" w:hAnsi="Arial" w:cs="Arial"/>
        </w:rPr>
      </w:pPr>
      <w:bookmarkStart w:id="13" w:name="_Hlk233839997"/>
      <w:proofErr w:type="spellStart"/>
      <w:r w:rsidRPr="00C164C0">
        <w:rPr>
          <w:rFonts w:ascii="Arial" w:eastAsia="Times New Roman" w:hAnsi="Arial" w:cs="Arial"/>
          <w:lang w:eastAsia="en-GB"/>
        </w:rPr>
        <w:t>Serrador</w:t>
      </w:r>
      <w:proofErr w:type="spellEnd"/>
      <w:r w:rsidRPr="00C164C0">
        <w:rPr>
          <w:rFonts w:ascii="Arial" w:eastAsia="Times New Roman" w:hAnsi="Arial" w:cs="Arial"/>
          <w:lang w:eastAsia="en-GB"/>
        </w:rPr>
        <w:t xml:space="preserve">, P. and Turner, R. (2015). The Relationship between Project Success and Project Efficiency. </w:t>
      </w:r>
      <w:r w:rsidRPr="00C164C0">
        <w:rPr>
          <w:rFonts w:ascii="Arial" w:eastAsia="Times New Roman" w:hAnsi="Arial" w:cs="Arial"/>
          <w:i/>
          <w:iCs/>
          <w:lang w:eastAsia="en-GB"/>
        </w:rPr>
        <w:t>Project Management Journal</w:t>
      </w:r>
      <w:r w:rsidRPr="00C164C0">
        <w:rPr>
          <w:rFonts w:ascii="Arial" w:eastAsia="Times New Roman" w:hAnsi="Arial" w:cs="Arial"/>
          <w:lang w:eastAsia="en-GB"/>
        </w:rPr>
        <w:t>, 46(1), pp.30–39.</w:t>
      </w:r>
      <w:r w:rsidR="0003185C">
        <w:rPr>
          <w:rFonts w:ascii="Arial" w:eastAsia="Times New Roman" w:hAnsi="Arial" w:cs="Arial"/>
          <w:lang w:eastAsia="en-GB"/>
        </w:rPr>
        <w:br/>
        <w:t xml:space="preserve">Available at: </w:t>
      </w:r>
      <w:hyperlink r:id="rId45" w:history="1">
        <w:r w:rsidR="0003185C" w:rsidRPr="007B17C7">
          <w:rPr>
            <w:rStyle w:val="Hyperlink"/>
            <w:rFonts w:ascii="Arial" w:hAnsi="Arial" w:cs="Arial"/>
          </w:rPr>
          <w:t>https://doi.org/10.1002/pmj.21468</w:t>
        </w:r>
      </w:hyperlink>
      <w:r w:rsidR="0003185C" w:rsidRPr="0003185C">
        <w:rPr>
          <w:rFonts w:ascii="Arial" w:hAnsi="Arial" w:cs="Arial"/>
        </w:rPr>
        <w:t>.</w:t>
      </w:r>
      <w:r w:rsidR="00135F74">
        <w:rPr>
          <w:rFonts w:ascii="Arial" w:hAnsi="Arial" w:cs="Arial"/>
        </w:rPr>
        <w:br/>
      </w:r>
    </w:p>
    <w:bookmarkEnd w:id="13"/>
    <w:p w14:paraId="0F7ECA59" w14:textId="6F3C0D73" w:rsidR="005C6927" w:rsidRDefault="005C6927" w:rsidP="00C164C0">
      <w:pPr>
        <w:spacing w:after="0" w:line="240" w:lineRule="auto"/>
        <w:rPr>
          <w:rFonts w:ascii="Arial" w:eastAsia="Times New Roman" w:hAnsi="Arial" w:cs="Arial"/>
          <w:lang w:eastAsia="en-GB"/>
        </w:rPr>
      </w:pPr>
    </w:p>
    <w:p w14:paraId="6DDCD5BB" w14:textId="4C0068EF" w:rsidR="00135F74" w:rsidRDefault="00135F74" w:rsidP="00C164C0">
      <w:pPr>
        <w:spacing w:after="0" w:line="240" w:lineRule="auto"/>
        <w:rPr>
          <w:rFonts w:ascii="Arial" w:eastAsia="Times New Roman" w:hAnsi="Arial" w:cs="Arial"/>
          <w:lang w:eastAsia="en-GB"/>
        </w:rPr>
      </w:pPr>
    </w:p>
    <w:p w14:paraId="46C6785C" w14:textId="77777777" w:rsidR="00135F74" w:rsidRPr="005C6927" w:rsidRDefault="00135F74" w:rsidP="00C164C0">
      <w:pPr>
        <w:spacing w:after="0" w:line="240" w:lineRule="auto"/>
        <w:rPr>
          <w:rFonts w:ascii="Arial" w:eastAsia="Times New Roman" w:hAnsi="Arial" w:cs="Arial"/>
          <w:lang w:eastAsia="en-GB"/>
        </w:rPr>
      </w:pPr>
    </w:p>
    <w:p w14:paraId="06CBBD29" w14:textId="4B853C10" w:rsidR="005C6927" w:rsidRPr="005C6927" w:rsidRDefault="005C6927" w:rsidP="00A51847">
      <w:pPr>
        <w:spacing w:after="0" w:line="240" w:lineRule="auto"/>
        <w:rPr>
          <w:rFonts w:ascii="Arial" w:eastAsia="Times New Roman" w:hAnsi="Arial" w:cs="Arial"/>
          <w:lang w:eastAsia="en-GB"/>
        </w:rPr>
      </w:pPr>
      <w:proofErr w:type="spellStart"/>
      <w:r w:rsidRPr="00A51847">
        <w:rPr>
          <w:rFonts w:ascii="Arial" w:eastAsia="Times New Roman" w:hAnsi="Arial" w:cs="Arial"/>
          <w:lang w:eastAsia="en-GB"/>
        </w:rPr>
        <w:lastRenderedPageBreak/>
        <w:t>Sicotte</w:t>
      </w:r>
      <w:proofErr w:type="spellEnd"/>
      <w:r w:rsidRPr="00A51847">
        <w:rPr>
          <w:rFonts w:ascii="Arial" w:eastAsia="Times New Roman" w:hAnsi="Arial" w:cs="Arial"/>
          <w:lang w:eastAsia="en-GB"/>
        </w:rPr>
        <w:t xml:space="preserve">, H. and </w:t>
      </w:r>
      <w:proofErr w:type="spellStart"/>
      <w:r w:rsidRPr="00A51847">
        <w:rPr>
          <w:rFonts w:ascii="Arial" w:eastAsia="Times New Roman" w:hAnsi="Arial" w:cs="Arial"/>
          <w:lang w:eastAsia="en-GB"/>
        </w:rPr>
        <w:t>Delerue</w:t>
      </w:r>
      <w:proofErr w:type="spellEnd"/>
      <w:r w:rsidRPr="00A51847">
        <w:rPr>
          <w:rFonts w:ascii="Arial" w:eastAsia="Times New Roman" w:hAnsi="Arial" w:cs="Arial"/>
          <w:lang w:eastAsia="en-GB"/>
        </w:rPr>
        <w:t xml:space="preserve">, H. (2021). Project planning, top management support and communication: A trident in search of an explanation. </w:t>
      </w:r>
      <w:r w:rsidRPr="00A51847">
        <w:rPr>
          <w:rFonts w:ascii="Arial" w:eastAsia="Times New Roman" w:hAnsi="Arial" w:cs="Arial"/>
          <w:i/>
          <w:iCs/>
          <w:lang w:eastAsia="en-GB"/>
        </w:rPr>
        <w:t>Journal of Engineering and Technology Management</w:t>
      </w:r>
      <w:r w:rsidRPr="00A51847">
        <w:rPr>
          <w:rFonts w:ascii="Arial" w:eastAsia="Times New Roman" w:hAnsi="Arial" w:cs="Arial"/>
          <w:lang w:eastAsia="en-GB"/>
        </w:rPr>
        <w:t>, 60(1), p.101626.</w:t>
      </w:r>
      <w:r w:rsidRPr="005C6927">
        <w:rPr>
          <w:rFonts w:ascii="Arial" w:eastAsia="Times New Roman" w:hAnsi="Arial" w:cs="Arial"/>
          <w:lang w:eastAsia="en-GB"/>
        </w:rPr>
        <w:br/>
        <w:t xml:space="preserve">Available at: </w:t>
      </w:r>
      <w:hyperlink r:id="rId46" w:history="1">
        <w:r w:rsidRPr="00A51847">
          <w:rPr>
            <w:rStyle w:val="Hyperlink"/>
            <w:rFonts w:ascii="Arial" w:eastAsia="Times New Roman" w:hAnsi="Arial" w:cs="Arial"/>
            <w:lang w:eastAsia="en-GB"/>
          </w:rPr>
          <w:t>https://doi.org/10.1016/j.jengtecman.2021.101626</w:t>
        </w:r>
      </w:hyperlink>
      <w:r w:rsidRPr="00A51847">
        <w:rPr>
          <w:rFonts w:ascii="Arial" w:eastAsia="Times New Roman" w:hAnsi="Arial" w:cs="Arial"/>
          <w:lang w:eastAsia="en-GB"/>
        </w:rPr>
        <w:t>.</w:t>
      </w:r>
    </w:p>
    <w:p w14:paraId="515E0E59" w14:textId="77777777" w:rsidR="005C6927" w:rsidRPr="005C6927" w:rsidRDefault="005C6927" w:rsidP="00A51847">
      <w:pPr>
        <w:spacing w:after="0" w:line="240" w:lineRule="auto"/>
        <w:rPr>
          <w:rFonts w:ascii="Arial" w:eastAsia="Times New Roman" w:hAnsi="Arial" w:cs="Arial"/>
          <w:lang w:eastAsia="en-GB"/>
        </w:rPr>
      </w:pPr>
    </w:p>
    <w:p w14:paraId="51247C6D" w14:textId="57B0AD2F" w:rsidR="005C6927" w:rsidRPr="005C6927" w:rsidRDefault="005C6927" w:rsidP="002802CD">
      <w:pPr>
        <w:spacing w:after="0" w:line="240" w:lineRule="auto"/>
        <w:rPr>
          <w:rFonts w:ascii="Arial" w:eastAsia="Times New Roman" w:hAnsi="Arial" w:cs="Arial"/>
          <w:lang w:eastAsia="en-GB"/>
        </w:rPr>
      </w:pPr>
      <w:proofErr w:type="spellStart"/>
      <w:r w:rsidRPr="002802CD">
        <w:rPr>
          <w:rFonts w:ascii="Arial" w:eastAsia="Times New Roman" w:hAnsi="Arial" w:cs="Arial"/>
          <w:lang w:eastAsia="en-GB"/>
        </w:rPr>
        <w:t>Ssegawa</w:t>
      </w:r>
      <w:proofErr w:type="spellEnd"/>
      <w:r w:rsidRPr="002802CD">
        <w:rPr>
          <w:rFonts w:ascii="Arial" w:eastAsia="Times New Roman" w:hAnsi="Arial" w:cs="Arial"/>
          <w:lang w:eastAsia="en-GB"/>
        </w:rPr>
        <w:t xml:space="preserve">, J.K. and </w:t>
      </w:r>
      <w:proofErr w:type="spellStart"/>
      <w:r w:rsidRPr="002802CD">
        <w:rPr>
          <w:rFonts w:ascii="Arial" w:eastAsia="Times New Roman" w:hAnsi="Arial" w:cs="Arial"/>
          <w:lang w:eastAsia="en-GB"/>
        </w:rPr>
        <w:t>Muzinda</w:t>
      </w:r>
      <w:proofErr w:type="spellEnd"/>
      <w:r w:rsidRPr="002802CD">
        <w:rPr>
          <w:rFonts w:ascii="Arial" w:eastAsia="Times New Roman" w:hAnsi="Arial" w:cs="Arial"/>
          <w:lang w:eastAsia="en-GB"/>
        </w:rPr>
        <w:t xml:space="preserve">, M. (2021). Feasibility Assessment Framework (FAF): A Systematic and Objective Approach for Assessing the Viability of a Project. </w:t>
      </w:r>
      <w:r w:rsidRPr="002802CD">
        <w:rPr>
          <w:rFonts w:ascii="Arial" w:eastAsia="Times New Roman" w:hAnsi="Arial" w:cs="Arial"/>
          <w:i/>
          <w:iCs/>
          <w:lang w:eastAsia="en-GB"/>
        </w:rPr>
        <w:t>Procedia Computer Science</w:t>
      </w:r>
      <w:r w:rsidRPr="002802CD">
        <w:rPr>
          <w:rFonts w:ascii="Arial" w:eastAsia="Times New Roman" w:hAnsi="Arial" w:cs="Arial"/>
          <w:lang w:eastAsia="en-GB"/>
        </w:rPr>
        <w:t>, 181(1), pp.377–385.</w:t>
      </w:r>
      <w:r w:rsidRPr="005C6927">
        <w:rPr>
          <w:rFonts w:ascii="Arial" w:eastAsia="Times New Roman" w:hAnsi="Arial" w:cs="Arial"/>
          <w:lang w:eastAsia="en-GB"/>
        </w:rPr>
        <w:br/>
        <w:t xml:space="preserve">Available at: </w:t>
      </w:r>
      <w:hyperlink r:id="rId47" w:history="1">
        <w:r w:rsidRPr="002802CD">
          <w:rPr>
            <w:rStyle w:val="Hyperlink"/>
            <w:rFonts w:ascii="Arial" w:eastAsia="Times New Roman" w:hAnsi="Arial" w:cs="Arial"/>
            <w:lang w:eastAsia="en-GB"/>
          </w:rPr>
          <w:t>https://doi.org/10.1016/j.procs.2021.01.180</w:t>
        </w:r>
      </w:hyperlink>
      <w:r w:rsidRPr="002802CD">
        <w:rPr>
          <w:rFonts w:ascii="Arial" w:eastAsia="Times New Roman" w:hAnsi="Arial" w:cs="Arial"/>
          <w:lang w:eastAsia="en-GB"/>
        </w:rPr>
        <w:t>.</w:t>
      </w:r>
    </w:p>
    <w:p w14:paraId="1DC5E210" w14:textId="77777777" w:rsidR="005C6927" w:rsidRPr="005C6927" w:rsidRDefault="005C6927" w:rsidP="002802CD">
      <w:pPr>
        <w:spacing w:after="0" w:line="240" w:lineRule="auto"/>
        <w:rPr>
          <w:rFonts w:ascii="Arial" w:eastAsia="Times New Roman" w:hAnsi="Arial" w:cs="Arial"/>
          <w:lang w:eastAsia="en-GB"/>
        </w:rPr>
      </w:pPr>
    </w:p>
    <w:p w14:paraId="7FC633B7" w14:textId="77777777" w:rsidR="005C6927" w:rsidRPr="005C6927" w:rsidRDefault="005C6927">
      <w:pPr>
        <w:rPr>
          <w:rFonts w:ascii="Arial" w:hAnsi="Arial" w:cs="Arial"/>
        </w:rPr>
      </w:pPr>
      <w:proofErr w:type="spellStart"/>
      <w:r w:rsidRPr="005C6927">
        <w:rPr>
          <w:rFonts w:ascii="Arial" w:hAnsi="Arial" w:cs="Arial"/>
        </w:rPr>
        <w:t>Syahlan</w:t>
      </w:r>
      <w:proofErr w:type="spellEnd"/>
      <w:r w:rsidRPr="005C6927">
        <w:rPr>
          <w:rFonts w:ascii="Arial" w:hAnsi="Arial" w:cs="Arial"/>
        </w:rPr>
        <w:t xml:space="preserve">, F., </w:t>
      </w:r>
      <w:proofErr w:type="spellStart"/>
      <w:r w:rsidRPr="005C6927">
        <w:rPr>
          <w:rFonts w:ascii="Arial" w:hAnsi="Arial" w:cs="Arial"/>
        </w:rPr>
        <w:t>Sobandi</w:t>
      </w:r>
      <w:proofErr w:type="spellEnd"/>
      <w:r w:rsidRPr="005C6927">
        <w:rPr>
          <w:rFonts w:ascii="Arial" w:hAnsi="Arial" w:cs="Arial"/>
        </w:rPr>
        <w:t xml:space="preserve">, A. and Santoso, B. (2024). Leadership Styles in Management. </w:t>
      </w:r>
      <w:r w:rsidRPr="005C6927">
        <w:rPr>
          <w:rFonts w:ascii="Arial" w:hAnsi="Arial" w:cs="Arial"/>
          <w:i/>
          <w:iCs/>
        </w:rPr>
        <w:t xml:space="preserve">The </w:t>
      </w:r>
      <w:proofErr w:type="spellStart"/>
      <w:r w:rsidRPr="005C6927">
        <w:rPr>
          <w:rFonts w:ascii="Arial" w:hAnsi="Arial" w:cs="Arial"/>
          <w:i/>
          <w:iCs/>
        </w:rPr>
        <w:t>Eastasouth</w:t>
      </w:r>
      <w:proofErr w:type="spellEnd"/>
      <w:r w:rsidRPr="005C6927">
        <w:rPr>
          <w:rFonts w:ascii="Arial" w:hAnsi="Arial" w:cs="Arial"/>
          <w:i/>
          <w:iCs/>
        </w:rPr>
        <w:t xml:space="preserve"> Management and Business</w:t>
      </w:r>
      <w:r w:rsidRPr="005C6927">
        <w:rPr>
          <w:rFonts w:ascii="Arial" w:hAnsi="Arial" w:cs="Arial"/>
        </w:rPr>
        <w:t>, 2(03), pp.249–263.</w:t>
      </w:r>
      <w:r w:rsidRPr="005C6927">
        <w:rPr>
          <w:rFonts w:ascii="Arial" w:hAnsi="Arial" w:cs="Arial"/>
        </w:rPr>
        <w:br/>
        <w:t xml:space="preserve">Available at: </w:t>
      </w:r>
      <w:hyperlink r:id="rId48" w:history="1">
        <w:r w:rsidRPr="005C6927">
          <w:rPr>
            <w:rStyle w:val="Hyperlink"/>
            <w:rFonts w:ascii="Arial" w:hAnsi="Arial" w:cs="Arial"/>
          </w:rPr>
          <w:t>https://doi.org/10.58812/esmb.v2i03.253</w:t>
        </w:r>
      </w:hyperlink>
      <w:r w:rsidRPr="005C6927">
        <w:rPr>
          <w:rFonts w:ascii="Arial" w:hAnsi="Arial" w:cs="Arial"/>
        </w:rPr>
        <w:t>.</w:t>
      </w:r>
    </w:p>
    <w:p w14:paraId="71BAF6AD" w14:textId="77777777" w:rsidR="005C6927" w:rsidRPr="005C6927" w:rsidRDefault="005C6927" w:rsidP="00EC442F">
      <w:pPr>
        <w:rPr>
          <w:rFonts w:ascii="Arial" w:hAnsi="Arial" w:cs="Arial"/>
        </w:rPr>
      </w:pPr>
      <w:r w:rsidRPr="005C6927">
        <w:rPr>
          <w:rFonts w:ascii="Arial" w:hAnsi="Arial" w:cs="Arial"/>
        </w:rPr>
        <w:t xml:space="preserve">Tuckman, B.W. (1965) ‘Developmental sequence in small groups’, </w:t>
      </w:r>
      <w:r w:rsidRPr="005C6927">
        <w:rPr>
          <w:rFonts w:ascii="Arial" w:hAnsi="Arial" w:cs="Arial"/>
          <w:i/>
          <w:iCs/>
        </w:rPr>
        <w:t>Psychological Bulletin</w:t>
      </w:r>
      <w:r w:rsidRPr="005C6927">
        <w:rPr>
          <w:rFonts w:ascii="Arial" w:hAnsi="Arial" w:cs="Arial"/>
        </w:rPr>
        <w:t>, 63(6), pp. 384–399.</w:t>
      </w:r>
      <w:r w:rsidRPr="005C6927">
        <w:rPr>
          <w:rFonts w:ascii="Arial" w:hAnsi="Arial" w:cs="Arial"/>
        </w:rPr>
        <w:br/>
        <w:t xml:space="preserve">Available at: </w:t>
      </w:r>
      <w:hyperlink r:id="rId49" w:tgtFrame="_new" w:history="1">
        <w:r w:rsidRPr="005C6927">
          <w:rPr>
            <w:rStyle w:val="Hyperlink"/>
            <w:rFonts w:ascii="Arial" w:hAnsi="Arial" w:cs="Arial"/>
          </w:rPr>
          <w:t>https://doi.org/10.1037/h0022100</w:t>
        </w:r>
      </w:hyperlink>
    </w:p>
    <w:p w14:paraId="2C964D26" w14:textId="77777777" w:rsidR="005C6927" w:rsidRPr="005C6927" w:rsidRDefault="005C6927">
      <w:pPr>
        <w:rPr>
          <w:rFonts w:ascii="Arial" w:hAnsi="Arial" w:cs="Arial"/>
        </w:rPr>
      </w:pPr>
      <w:proofErr w:type="spellStart"/>
      <w:r w:rsidRPr="005C6927">
        <w:rPr>
          <w:rFonts w:ascii="Arial" w:hAnsi="Arial" w:cs="Arial"/>
        </w:rPr>
        <w:t>Vanhoucke</w:t>
      </w:r>
      <w:proofErr w:type="spellEnd"/>
      <w:r w:rsidRPr="005C6927">
        <w:rPr>
          <w:rFonts w:ascii="Arial" w:hAnsi="Arial" w:cs="Arial"/>
        </w:rPr>
        <w:t xml:space="preserve">, M. (2013). </w:t>
      </w:r>
      <w:r w:rsidRPr="005C6927">
        <w:rPr>
          <w:rFonts w:ascii="Arial" w:hAnsi="Arial" w:cs="Arial"/>
          <w:i/>
          <w:iCs/>
        </w:rPr>
        <w:t>Project Management with Dynamic Scheduling</w:t>
      </w:r>
      <w:r w:rsidRPr="005C6927">
        <w:rPr>
          <w:rFonts w:ascii="Arial" w:hAnsi="Arial" w:cs="Arial"/>
        </w:rPr>
        <w:t xml:space="preserve">. </w:t>
      </w:r>
      <w:r w:rsidRPr="005C6927">
        <w:rPr>
          <w:rFonts w:ascii="Arial" w:hAnsi="Arial" w:cs="Arial"/>
        </w:rPr>
        <w:br/>
        <w:t xml:space="preserve">Available at: </w:t>
      </w:r>
      <w:hyperlink r:id="rId50" w:history="1">
        <w:r w:rsidRPr="005C6927">
          <w:rPr>
            <w:rStyle w:val="Hyperlink"/>
            <w:rFonts w:ascii="Arial" w:hAnsi="Arial" w:cs="Arial"/>
          </w:rPr>
          <w:t>https://doi.org/10.1007/978-3-642-40438-2</w:t>
        </w:r>
      </w:hyperlink>
      <w:r w:rsidRPr="005C6927">
        <w:rPr>
          <w:rFonts w:ascii="Arial" w:hAnsi="Arial" w:cs="Arial"/>
        </w:rPr>
        <w:t>.</w:t>
      </w:r>
    </w:p>
    <w:p w14:paraId="1CA787E5" w14:textId="22F17207" w:rsidR="005C6927" w:rsidRPr="005C6927" w:rsidRDefault="005C6927">
      <w:pPr>
        <w:rPr>
          <w:rFonts w:ascii="Arial" w:hAnsi="Arial" w:cs="Arial"/>
        </w:rPr>
      </w:pPr>
      <w:r w:rsidRPr="005C6927">
        <w:rPr>
          <w:rFonts w:ascii="Arial" w:hAnsi="Arial" w:cs="Arial"/>
        </w:rPr>
        <w:t xml:space="preserve">Vroom, V.H. (2000). Leadership and the decision-making process. </w:t>
      </w:r>
      <w:r w:rsidRPr="005C6927">
        <w:rPr>
          <w:rFonts w:ascii="Arial" w:hAnsi="Arial" w:cs="Arial"/>
          <w:i/>
          <w:iCs/>
        </w:rPr>
        <w:t>Organizational Dynamics</w:t>
      </w:r>
      <w:r w:rsidRPr="005C6927">
        <w:rPr>
          <w:rFonts w:ascii="Arial" w:hAnsi="Arial" w:cs="Arial"/>
        </w:rPr>
        <w:t>, 28(4), pp.82–94.</w:t>
      </w:r>
      <w:r w:rsidRPr="005C6927">
        <w:rPr>
          <w:rFonts w:ascii="Arial" w:hAnsi="Arial" w:cs="Arial"/>
        </w:rPr>
        <w:br/>
        <w:t xml:space="preserve">Available at: </w:t>
      </w:r>
      <w:hyperlink r:id="rId51" w:history="1">
        <w:r w:rsidRPr="005C6927">
          <w:rPr>
            <w:rStyle w:val="Hyperlink"/>
            <w:rFonts w:ascii="Arial" w:hAnsi="Arial" w:cs="Arial"/>
          </w:rPr>
          <w:t>https://doi.org/10.1016/s0090-2616(00)00003-6</w:t>
        </w:r>
      </w:hyperlink>
      <w:r w:rsidRPr="005C6927">
        <w:rPr>
          <w:rFonts w:ascii="Arial" w:hAnsi="Arial" w:cs="Arial"/>
        </w:rPr>
        <w:t>.</w:t>
      </w:r>
      <w:r>
        <w:rPr>
          <w:rFonts w:ascii="Arial" w:hAnsi="Arial" w:cs="Arial"/>
        </w:rPr>
        <w:br/>
      </w:r>
      <w:r w:rsidRPr="005C6927">
        <w:rPr>
          <w:rFonts w:ascii="Arial" w:hAnsi="Arial" w:cs="Arial"/>
        </w:rPr>
        <w:br/>
      </w:r>
      <w:bookmarkStart w:id="14" w:name="_Hlk233840021"/>
      <w:proofErr w:type="spellStart"/>
      <w:r w:rsidRPr="005C6927">
        <w:rPr>
          <w:rFonts w:ascii="Arial" w:hAnsi="Arial" w:cs="Arial"/>
        </w:rPr>
        <w:t>Zirar</w:t>
      </w:r>
      <w:proofErr w:type="spellEnd"/>
      <w:r w:rsidRPr="005C6927">
        <w:rPr>
          <w:rFonts w:ascii="Arial" w:hAnsi="Arial" w:cs="Arial"/>
        </w:rPr>
        <w:t>, A., Muhammad, N., Upadhyay, A., Kumar, A. and Garza</w:t>
      </w:r>
      <w:r w:rsidRPr="005C6927">
        <w:rPr>
          <w:rFonts w:ascii="Cambria Math" w:hAnsi="Cambria Math" w:cs="Cambria Math"/>
        </w:rPr>
        <w:t>‐</w:t>
      </w:r>
      <w:r w:rsidRPr="005C6927">
        <w:rPr>
          <w:rFonts w:ascii="Arial" w:hAnsi="Arial" w:cs="Arial"/>
        </w:rPr>
        <w:t xml:space="preserve">Reyes, J.A. (2023). Exploring lean team development from the Tuckman’s model perspective. </w:t>
      </w:r>
      <w:r w:rsidRPr="005C6927">
        <w:rPr>
          <w:rFonts w:ascii="Arial" w:hAnsi="Arial" w:cs="Arial"/>
          <w:i/>
          <w:iCs/>
        </w:rPr>
        <w:t>Production Planning &amp; Control</w:t>
      </w:r>
      <w:r w:rsidRPr="005C6927">
        <w:rPr>
          <w:rFonts w:ascii="Arial" w:hAnsi="Arial" w:cs="Arial"/>
        </w:rPr>
        <w:t>, 1(1), pp.1–22.</w:t>
      </w:r>
      <w:r w:rsidRPr="005C6927">
        <w:rPr>
          <w:rFonts w:ascii="Arial" w:hAnsi="Arial" w:cs="Arial"/>
        </w:rPr>
        <w:br/>
        <w:t xml:space="preserve">Available at: </w:t>
      </w:r>
      <w:hyperlink r:id="rId52" w:history="1">
        <w:r w:rsidRPr="005C6927">
          <w:rPr>
            <w:rStyle w:val="Hyperlink"/>
            <w:rFonts w:ascii="Arial" w:hAnsi="Arial" w:cs="Arial"/>
          </w:rPr>
          <w:t>https://doi.org/10.1080/09537287.2023.2275693</w:t>
        </w:r>
      </w:hyperlink>
      <w:r w:rsidRPr="005C6927">
        <w:rPr>
          <w:rFonts w:ascii="Arial" w:hAnsi="Arial" w:cs="Arial"/>
        </w:rPr>
        <w:t>.</w:t>
      </w:r>
      <w:bookmarkEnd w:id="14"/>
    </w:p>
    <w:p w14:paraId="62150A6C" w14:textId="68B030E0" w:rsidR="005C6927" w:rsidRPr="005C6927" w:rsidRDefault="005C6927">
      <w:pPr>
        <w:rPr>
          <w:rFonts w:ascii="Arial" w:hAnsi="Arial" w:cs="Arial"/>
        </w:rPr>
      </w:pPr>
      <w:proofErr w:type="spellStart"/>
      <w:r w:rsidRPr="005C6927">
        <w:rPr>
          <w:rFonts w:ascii="Arial" w:hAnsi="Arial" w:cs="Arial"/>
        </w:rPr>
        <w:t>Zulch</w:t>
      </w:r>
      <w:proofErr w:type="spellEnd"/>
      <w:r w:rsidRPr="005C6927">
        <w:rPr>
          <w:rFonts w:ascii="Arial" w:hAnsi="Arial" w:cs="Arial"/>
        </w:rPr>
        <w:t xml:space="preserve">, B.G. (2014). Communication: </w:t>
      </w:r>
      <w:r w:rsidR="007D0D30" w:rsidRPr="005C6927">
        <w:rPr>
          <w:rFonts w:ascii="Arial" w:hAnsi="Arial" w:cs="Arial"/>
        </w:rPr>
        <w:t>The</w:t>
      </w:r>
      <w:r w:rsidRPr="005C6927">
        <w:rPr>
          <w:rFonts w:ascii="Arial" w:hAnsi="Arial" w:cs="Arial"/>
        </w:rPr>
        <w:t xml:space="preserve"> Foundation of Project Management. </w:t>
      </w:r>
      <w:r w:rsidRPr="005C6927">
        <w:rPr>
          <w:rFonts w:ascii="Arial" w:hAnsi="Arial" w:cs="Arial"/>
          <w:i/>
          <w:iCs/>
        </w:rPr>
        <w:t>Procedia Technology</w:t>
      </w:r>
      <w:r w:rsidRPr="005C6927">
        <w:rPr>
          <w:rFonts w:ascii="Arial" w:hAnsi="Arial" w:cs="Arial"/>
        </w:rPr>
        <w:t>, 16(1), pp.1000–1009.</w:t>
      </w:r>
      <w:r w:rsidRPr="005C6927">
        <w:rPr>
          <w:rFonts w:ascii="Arial" w:hAnsi="Arial" w:cs="Arial"/>
        </w:rPr>
        <w:br/>
        <w:t xml:space="preserve">Available at: </w:t>
      </w:r>
      <w:hyperlink r:id="rId53" w:history="1">
        <w:r w:rsidRPr="005C6927">
          <w:rPr>
            <w:rStyle w:val="Hyperlink"/>
            <w:rFonts w:ascii="Arial" w:hAnsi="Arial" w:cs="Arial"/>
          </w:rPr>
          <w:t>https://doi.org/10.1016/j.protcy.2014.10.054</w:t>
        </w:r>
      </w:hyperlink>
      <w:r w:rsidRPr="005C6927">
        <w:rPr>
          <w:rFonts w:ascii="Arial" w:hAnsi="Arial" w:cs="Arial"/>
        </w:rPr>
        <w:t>.</w:t>
      </w:r>
    </w:p>
    <w:p w14:paraId="24877139" w14:textId="585C8A82" w:rsidR="002802CD" w:rsidRDefault="002802CD" w:rsidP="002802CD">
      <w:pPr>
        <w:spacing w:after="0" w:line="240" w:lineRule="auto"/>
        <w:rPr>
          <w:rFonts w:ascii="Times New Roman" w:eastAsia="Times New Roman" w:hAnsi="Times New Roman" w:cs="Times New Roman"/>
          <w:sz w:val="24"/>
          <w:szCs w:val="24"/>
          <w:lang w:eastAsia="en-GB"/>
        </w:rPr>
      </w:pPr>
    </w:p>
    <w:p w14:paraId="4DE0416B" w14:textId="4DF1D41E" w:rsidR="002802CD" w:rsidRDefault="002802CD"/>
    <w:p w14:paraId="51635FF5" w14:textId="6C652AC5" w:rsidR="00274544" w:rsidRDefault="00274544"/>
    <w:p w14:paraId="0026AF92" w14:textId="672A2C02" w:rsidR="00274544" w:rsidRDefault="00274544"/>
    <w:p w14:paraId="57E73CDE" w14:textId="5D16E757" w:rsidR="00274544" w:rsidRDefault="00274544"/>
    <w:p w14:paraId="52B5D483" w14:textId="24A6929D" w:rsidR="00274544" w:rsidRDefault="00274544"/>
    <w:p w14:paraId="25534F87" w14:textId="081EB441" w:rsidR="00274544" w:rsidRDefault="00274544"/>
    <w:p w14:paraId="1CF5DCA9" w14:textId="1F1EF7F8" w:rsidR="00274544" w:rsidRDefault="00274544"/>
    <w:p w14:paraId="021B9DE5" w14:textId="78850187" w:rsidR="00274544" w:rsidRDefault="00274544"/>
    <w:p w14:paraId="21987FC0" w14:textId="72699BEC" w:rsidR="00274544" w:rsidRDefault="00274544"/>
    <w:p w14:paraId="588FAF42" w14:textId="1B436101" w:rsidR="00274544" w:rsidRDefault="00274544"/>
    <w:p w14:paraId="02ED17AB" w14:textId="5CB1A65A" w:rsidR="00274544" w:rsidRDefault="00274544"/>
    <w:p w14:paraId="2647C37C" w14:textId="2A232F09" w:rsidR="00274544" w:rsidRDefault="00274544"/>
    <w:p w14:paraId="22D02E95" w14:textId="2797DA74" w:rsidR="00274544" w:rsidRDefault="00274544"/>
    <w:p w14:paraId="07A46332" w14:textId="487E1A7A" w:rsidR="00274544" w:rsidRDefault="00274544"/>
    <w:p w14:paraId="28CAA5B2" w14:textId="01435C4F" w:rsidR="00274544" w:rsidRDefault="00274544"/>
    <w:p w14:paraId="1038F07C" w14:textId="736E77D9" w:rsidR="00274544" w:rsidRDefault="00274544"/>
    <w:p w14:paraId="6FF8AB04" w14:textId="31C59F55" w:rsidR="00274544" w:rsidRDefault="00274544"/>
    <w:p w14:paraId="057E427E" w14:textId="77777777" w:rsidR="00274544" w:rsidRDefault="00274544"/>
    <w:sectPr w:rsidR="00274544">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CB97A" w14:textId="77777777" w:rsidR="00306DCB" w:rsidRDefault="00306DCB" w:rsidP="001F5109">
      <w:pPr>
        <w:spacing w:after="0" w:line="240" w:lineRule="auto"/>
      </w:pPr>
      <w:r>
        <w:separator/>
      </w:r>
    </w:p>
  </w:endnote>
  <w:endnote w:type="continuationSeparator" w:id="0">
    <w:p w14:paraId="32086842" w14:textId="77777777" w:rsidR="00306DCB" w:rsidRDefault="00306DCB" w:rsidP="001F5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2CAB" w14:textId="77777777" w:rsidR="00306DCB" w:rsidRDefault="00306DCB" w:rsidP="001F5109">
      <w:pPr>
        <w:spacing w:after="0" w:line="240" w:lineRule="auto"/>
      </w:pPr>
      <w:r>
        <w:separator/>
      </w:r>
    </w:p>
  </w:footnote>
  <w:footnote w:type="continuationSeparator" w:id="0">
    <w:p w14:paraId="2576872D" w14:textId="77777777" w:rsidR="00306DCB" w:rsidRDefault="00306DCB" w:rsidP="001F5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71875"/>
      <w:docPartObj>
        <w:docPartGallery w:val="Page Numbers (Top of Page)"/>
        <w:docPartUnique/>
      </w:docPartObj>
    </w:sdtPr>
    <w:sdtEndPr/>
    <w:sdtContent>
      <w:p w14:paraId="261EA67B" w14:textId="02F4B7E3" w:rsidR="001F5109" w:rsidRDefault="001F5109">
        <w:pPr>
          <w:pStyle w:val="Header"/>
        </w:pPr>
        <w:r>
          <w:rPr>
            <w:noProof/>
          </w:rPr>
          <mc:AlternateContent>
            <mc:Choice Requires="wpg">
              <w:drawing>
                <wp:anchor distT="0" distB="0" distL="114300" distR="114300" simplePos="0" relativeHeight="251659264" behindDoc="0" locked="0" layoutInCell="1" allowOverlap="1" wp14:anchorId="22C50D32" wp14:editId="13FEC8A3">
                  <wp:simplePos x="0" y="0"/>
                  <wp:positionH relativeFrom="margin">
                    <wp:align>center</wp:align>
                  </wp:positionH>
                  <wp:positionV relativeFrom="topMargin">
                    <wp:align>center</wp:align>
                  </wp:positionV>
                  <wp:extent cx="5923280" cy="365760"/>
                  <wp:effectExtent l="9525" t="19050" r="10795" b="152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365760"/>
                            <a:chOff x="1778" y="533"/>
                            <a:chExt cx="8698" cy="365760"/>
                          </a:xfrm>
                        </wpg:grpSpPr>
                        <wps:wsp>
                          <wps:cNvPr id="2" name="AutoShape 2"/>
                          <wps:cNvCnPr>
                            <a:cxnSpLocks noChangeShapeType="1"/>
                          </wps:cNvCnPr>
                          <wps:spPr bwMode="auto">
                            <a:xfrm>
                              <a:off x="1778" y="183413"/>
                              <a:ext cx="8698"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wps:wsp>
                          <wps:cNvPr id="3" name="AutoShape 3"/>
                          <wps:cNvSpPr>
                            <a:spLocks noChangeArrowheads="1"/>
                          </wps:cNvSpPr>
                          <wps:spPr bwMode="auto">
                            <a:xfrm>
                              <a:off x="5718" y="533"/>
                              <a:ext cx="792" cy="365760"/>
                            </a:xfrm>
                            <a:prstGeom prst="bracketPair">
                              <a:avLst>
                                <a:gd name="adj" fmla="val 16667"/>
                              </a:avLst>
                            </a:prstGeom>
                            <a:solidFill>
                              <a:srgbClr val="FFFFFF"/>
                            </a:solidFill>
                            <a:ln w="28575">
                              <a:solidFill>
                                <a:srgbClr val="808080"/>
                              </a:solidFill>
                              <a:round/>
                              <a:headEnd/>
                              <a:tailEnd/>
                            </a:ln>
                          </wps:spPr>
                          <wps:txbx>
                            <w:txbxContent>
                              <w:p w14:paraId="7C980157" w14:textId="77777777" w:rsidR="001F5109" w:rsidRDefault="001F510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wpg:wgp>
                    </a:graphicData>
                  </a:graphic>
                  <wp14:sizeRelH relativeFrom="margin">
                    <wp14:pctWidth>100000</wp14:pctWidth>
                  </wp14:sizeRelH>
                  <wp14:sizeRelV relativeFrom="page">
                    <wp14:pctHeight>0</wp14:pctHeight>
                  </wp14:sizeRelV>
                </wp:anchor>
              </w:drawing>
            </mc:Choice>
            <mc:Fallback>
              <w:pict>
                <v:group w14:anchorId="22C50D32" id="Group 1" o:spid="_x0000_s1026" style="position:absolute;margin-left:0;margin-top:0;width:466.4pt;height:28.8pt;z-index:251659264;mso-width-percent:1000;mso-position-horizontal:center;mso-position-horizontal-relative:margin;mso-position-vertical:center;mso-position-vertical-relative:top-margin-area;mso-width-percent:1000;mso-width-relative:margin" coordorigin="1778,533" coordsize="8698,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">
                  <v:shapetype id="_x0000_t32" coordsize="21600,21600" o:spt="32" o:oned="t" path="m,l21600,21600e" filled="f">
                    <v:path arrowok="t" fillok="f" o:connecttype="none"/>
                    <o:lock v:ext="edit" shapetype="t"/>
                  </v:shapetype>
                  <v:shape id="AutoShape 2" o:spid="_x0000_s1027" type="#_x0000_t32" style="position:absolute;left:1778;top:183413;width:86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" strokecolor="gray" strokeweight="1p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8" type="#_x0000_t185" style="position:absolute;left:5718;top:533;width:792;height:365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" filled="t" strokecolor="gray" strokeweight="2.25pt">
                    <v:textbox inset=",0,,0">
                      <w:txbxContent>
                        <w:p w14:paraId="7C980157" w14:textId="77777777" w:rsidR="001F5109" w:rsidRDefault="001F5109">
                          <w:pPr>
                            <w:jc w:val="center"/>
                          </w:pPr>
                          <w:r>
                            <w:fldChar w:fldCharType="begin"/>
                          </w:r>
                          <w:r>
                            <w:instrText xml:space="preserve"> PAGE    \* MERGEFORMAT </w:instrText>
                          </w:r>
                          <w:r>
                            <w:fldChar w:fldCharType="separate"/>
                          </w:r>
                          <w:r>
                            <w:rPr>
                              <w:noProof/>
                            </w:rPr>
                            <w:t>2</w:t>
                          </w:r>
                          <w:r>
                            <w:rPr>
                              <w:noProof/>
                            </w:rPr>
                            <w:fldChar w:fldCharType="end"/>
                          </w:r>
                        </w:p>
                      </w:txbxContent>
                    </v:textbox>
                  </v:shape>
                  <w10:wrap anchorx="margin" anchory="margin"/>
                </v:group>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F99"/>
    <w:rsid w:val="00004307"/>
    <w:rsid w:val="00005042"/>
    <w:rsid w:val="00007111"/>
    <w:rsid w:val="0003185C"/>
    <w:rsid w:val="00040665"/>
    <w:rsid w:val="000473F0"/>
    <w:rsid w:val="0005198F"/>
    <w:rsid w:val="000821D0"/>
    <w:rsid w:val="000C2425"/>
    <w:rsid w:val="00104B87"/>
    <w:rsid w:val="001103D5"/>
    <w:rsid w:val="00135F74"/>
    <w:rsid w:val="001523D9"/>
    <w:rsid w:val="00174817"/>
    <w:rsid w:val="00196171"/>
    <w:rsid w:val="001C01F2"/>
    <w:rsid w:val="001F4780"/>
    <w:rsid w:val="001F5109"/>
    <w:rsid w:val="00206FC9"/>
    <w:rsid w:val="00221595"/>
    <w:rsid w:val="00222EFE"/>
    <w:rsid w:val="002373EB"/>
    <w:rsid w:val="002446B6"/>
    <w:rsid w:val="00265098"/>
    <w:rsid w:val="00274544"/>
    <w:rsid w:val="002802CD"/>
    <w:rsid w:val="002A2AE1"/>
    <w:rsid w:val="002C1EC8"/>
    <w:rsid w:val="002D306C"/>
    <w:rsid w:val="00306DCB"/>
    <w:rsid w:val="00327B09"/>
    <w:rsid w:val="0033500E"/>
    <w:rsid w:val="00374928"/>
    <w:rsid w:val="003D4795"/>
    <w:rsid w:val="003E7B90"/>
    <w:rsid w:val="003F22E9"/>
    <w:rsid w:val="00427191"/>
    <w:rsid w:val="00427E71"/>
    <w:rsid w:val="0043028D"/>
    <w:rsid w:val="00431E77"/>
    <w:rsid w:val="0046029A"/>
    <w:rsid w:val="00472070"/>
    <w:rsid w:val="00473434"/>
    <w:rsid w:val="00475B01"/>
    <w:rsid w:val="004A2216"/>
    <w:rsid w:val="004F3511"/>
    <w:rsid w:val="004F4A12"/>
    <w:rsid w:val="005127E1"/>
    <w:rsid w:val="005213BA"/>
    <w:rsid w:val="00536CBB"/>
    <w:rsid w:val="005466A4"/>
    <w:rsid w:val="005830F1"/>
    <w:rsid w:val="00590994"/>
    <w:rsid w:val="005C6927"/>
    <w:rsid w:val="005D657B"/>
    <w:rsid w:val="00606A8C"/>
    <w:rsid w:val="0063312F"/>
    <w:rsid w:val="00634C19"/>
    <w:rsid w:val="00692A2A"/>
    <w:rsid w:val="006D2FBD"/>
    <w:rsid w:val="00716EE6"/>
    <w:rsid w:val="0079154C"/>
    <w:rsid w:val="007A2A01"/>
    <w:rsid w:val="007D0D30"/>
    <w:rsid w:val="007E3F8E"/>
    <w:rsid w:val="00801939"/>
    <w:rsid w:val="00804A40"/>
    <w:rsid w:val="008207E8"/>
    <w:rsid w:val="00821F99"/>
    <w:rsid w:val="00836E6C"/>
    <w:rsid w:val="0088315A"/>
    <w:rsid w:val="008E4EF7"/>
    <w:rsid w:val="008E7CAE"/>
    <w:rsid w:val="00906244"/>
    <w:rsid w:val="009142AC"/>
    <w:rsid w:val="00952E66"/>
    <w:rsid w:val="00954FF7"/>
    <w:rsid w:val="00973F7F"/>
    <w:rsid w:val="009C4262"/>
    <w:rsid w:val="009C456F"/>
    <w:rsid w:val="00A02FBF"/>
    <w:rsid w:val="00A24FE1"/>
    <w:rsid w:val="00A26742"/>
    <w:rsid w:val="00A41E6F"/>
    <w:rsid w:val="00A42557"/>
    <w:rsid w:val="00A51847"/>
    <w:rsid w:val="00A87B3B"/>
    <w:rsid w:val="00AA331C"/>
    <w:rsid w:val="00B05881"/>
    <w:rsid w:val="00B47037"/>
    <w:rsid w:val="00B55C62"/>
    <w:rsid w:val="00B843D3"/>
    <w:rsid w:val="00B9025C"/>
    <w:rsid w:val="00BA3824"/>
    <w:rsid w:val="00BA7DF8"/>
    <w:rsid w:val="00BB4271"/>
    <w:rsid w:val="00BB6E7B"/>
    <w:rsid w:val="00BE6C0C"/>
    <w:rsid w:val="00BF2933"/>
    <w:rsid w:val="00C15DBB"/>
    <w:rsid w:val="00C164C0"/>
    <w:rsid w:val="00C35F38"/>
    <w:rsid w:val="00C55D68"/>
    <w:rsid w:val="00C771C1"/>
    <w:rsid w:val="00C8314C"/>
    <w:rsid w:val="00C86460"/>
    <w:rsid w:val="00C87652"/>
    <w:rsid w:val="00CC302E"/>
    <w:rsid w:val="00CD1539"/>
    <w:rsid w:val="00CE1DDB"/>
    <w:rsid w:val="00D00267"/>
    <w:rsid w:val="00D10C94"/>
    <w:rsid w:val="00D362F9"/>
    <w:rsid w:val="00D75B93"/>
    <w:rsid w:val="00D8409C"/>
    <w:rsid w:val="00D863F1"/>
    <w:rsid w:val="00DD08A0"/>
    <w:rsid w:val="00DD48E0"/>
    <w:rsid w:val="00DD7DB8"/>
    <w:rsid w:val="00E1252B"/>
    <w:rsid w:val="00E20785"/>
    <w:rsid w:val="00E251B3"/>
    <w:rsid w:val="00E3313E"/>
    <w:rsid w:val="00E45053"/>
    <w:rsid w:val="00E7469E"/>
    <w:rsid w:val="00EC442F"/>
    <w:rsid w:val="00F23A8C"/>
    <w:rsid w:val="00F55010"/>
    <w:rsid w:val="00F55384"/>
    <w:rsid w:val="00FC7617"/>
    <w:rsid w:val="00FE58DB"/>
    <w:rsid w:val="00FF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D99B8"/>
  <w15:chartTrackingRefBased/>
  <w15:docId w15:val="{A54365D0-27D7-48D8-BC34-3DBDA6652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1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1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F99"/>
    <w:rPr>
      <w:rFonts w:eastAsiaTheme="majorEastAsia" w:cstheme="majorBidi"/>
      <w:color w:val="272727" w:themeColor="text1" w:themeTint="D8"/>
    </w:rPr>
  </w:style>
  <w:style w:type="paragraph" w:styleId="Title">
    <w:name w:val="Title"/>
    <w:basedOn w:val="Normal"/>
    <w:next w:val="Normal"/>
    <w:link w:val="TitleChar"/>
    <w:uiPriority w:val="10"/>
    <w:qFormat/>
    <w:rsid w:val="00821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F99"/>
    <w:pPr>
      <w:spacing w:before="160"/>
      <w:jc w:val="center"/>
    </w:pPr>
    <w:rPr>
      <w:i/>
      <w:iCs/>
      <w:color w:val="404040" w:themeColor="text1" w:themeTint="BF"/>
    </w:rPr>
  </w:style>
  <w:style w:type="character" w:customStyle="1" w:styleId="QuoteChar">
    <w:name w:val="Quote Char"/>
    <w:basedOn w:val="DefaultParagraphFont"/>
    <w:link w:val="Quote"/>
    <w:uiPriority w:val="29"/>
    <w:rsid w:val="00821F99"/>
    <w:rPr>
      <w:i/>
      <w:iCs/>
      <w:color w:val="404040" w:themeColor="text1" w:themeTint="BF"/>
    </w:rPr>
  </w:style>
  <w:style w:type="paragraph" w:styleId="ListParagraph">
    <w:name w:val="List Paragraph"/>
    <w:basedOn w:val="Normal"/>
    <w:uiPriority w:val="34"/>
    <w:qFormat/>
    <w:rsid w:val="00821F99"/>
    <w:pPr>
      <w:ind w:left="720"/>
      <w:contextualSpacing/>
    </w:pPr>
  </w:style>
  <w:style w:type="character" w:styleId="IntenseEmphasis">
    <w:name w:val="Intense Emphasis"/>
    <w:basedOn w:val="DefaultParagraphFont"/>
    <w:uiPriority w:val="21"/>
    <w:qFormat/>
    <w:rsid w:val="00821F99"/>
    <w:rPr>
      <w:i/>
      <w:iCs/>
      <w:color w:val="0F4761" w:themeColor="accent1" w:themeShade="BF"/>
    </w:rPr>
  </w:style>
  <w:style w:type="paragraph" w:styleId="IntenseQuote">
    <w:name w:val="Intense Quote"/>
    <w:basedOn w:val="Normal"/>
    <w:next w:val="Normal"/>
    <w:link w:val="IntenseQuoteChar"/>
    <w:uiPriority w:val="30"/>
    <w:qFormat/>
    <w:rsid w:val="00821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F99"/>
    <w:rPr>
      <w:i/>
      <w:iCs/>
      <w:color w:val="0F4761" w:themeColor="accent1" w:themeShade="BF"/>
    </w:rPr>
  </w:style>
  <w:style w:type="character" w:styleId="IntenseReference">
    <w:name w:val="Intense Reference"/>
    <w:basedOn w:val="DefaultParagraphFont"/>
    <w:uiPriority w:val="32"/>
    <w:qFormat/>
    <w:rsid w:val="00821F99"/>
    <w:rPr>
      <w:b/>
      <w:bCs/>
      <w:smallCaps/>
      <w:color w:val="0F4761" w:themeColor="accent1" w:themeShade="BF"/>
      <w:spacing w:val="5"/>
    </w:rPr>
  </w:style>
  <w:style w:type="character" w:styleId="Hyperlink">
    <w:name w:val="Hyperlink"/>
    <w:basedOn w:val="DefaultParagraphFont"/>
    <w:uiPriority w:val="99"/>
    <w:unhideWhenUsed/>
    <w:rsid w:val="00EC442F"/>
    <w:rPr>
      <w:color w:val="467886" w:themeColor="hyperlink"/>
      <w:u w:val="single"/>
    </w:rPr>
  </w:style>
  <w:style w:type="character" w:styleId="UnresolvedMention">
    <w:name w:val="Unresolved Mention"/>
    <w:basedOn w:val="DefaultParagraphFont"/>
    <w:uiPriority w:val="99"/>
    <w:semiHidden/>
    <w:unhideWhenUsed/>
    <w:rsid w:val="00EC442F"/>
    <w:rPr>
      <w:color w:val="605E5C"/>
      <w:shd w:val="clear" w:color="auto" w:fill="E1DFDD"/>
    </w:rPr>
  </w:style>
  <w:style w:type="character" w:styleId="FollowedHyperlink">
    <w:name w:val="FollowedHyperlink"/>
    <w:basedOn w:val="DefaultParagraphFont"/>
    <w:uiPriority w:val="99"/>
    <w:semiHidden/>
    <w:unhideWhenUsed/>
    <w:rsid w:val="0088315A"/>
    <w:rPr>
      <w:color w:val="96607D" w:themeColor="followedHyperlink"/>
      <w:u w:val="single"/>
    </w:rPr>
  </w:style>
  <w:style w:type="character" w:styleId="Strong">
    <w:name w:val="Strong"/>
    <w:basedOn w:val="DefaultParagraphFont"/>
    <w:uiPriority w:val="22"/>
    <w:qFormat/>
    <w:rsid w:val="00C55D68"/>
    <w:rPr>
      <w:b/>
      <w:bCs/>
    </w:rPr>
  </w:style>
  <w:style w:type="character" w:styleId="Emphasis">
    <w:name w:val="Emphasis"/>
    <w:basedOn w:val="DefaultParagraphFont"/>
    <w:uiPriority w:val="20"/>
    <w:qFormat/>
    <w:rsid w:val="005830F1"/>
    <w:rPr>
      <w:i/>
      <w:iCs/>
    </w:rPr>
  </w:style>
  <w:style w:type="paragraph" w:customStyle="1" w:styleId="isselectedend">
    <w:name w:val="isselectedend"/>
    <w:basedOn w:val="Normal"/>
    <w:rsid w:val="006D2F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D2F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F51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109"/>
  </w:style>
  <w:style w:type="paragraph" w:styleId="Footer">
    <w:name w:val="footer"/>
    <w:basedOn w:val="Normal"/>
    <w:link w:val="FooterChar"/>
    <w:uiPriority w:val="99"/>
    <w:unhideWhenUsed/>
    <w:rsid w:val="001F51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109"/>
  </w:style>
  <w:style w:type="paragraph" w:styleId="TOCHeading">
    <w:name w:val="TOC Heading"/>
    <w:basedOn w:val="Heading1"/>
    <w:next w:val="Normal"/>
    <w:uiPriority w:val="39"/>
    <w:unhideWhenUsed/>
    <w:qFormat/>
    <w:rsid w:val="00D10C94"/>
    <w:pPr>
      <w:spacing w:before="240" w:after="0"/>
      <w:outlineLvl w:val="9"/>
    </w:pPr>
    <w:rPr>
      <w:sz w:val="32"/>
      <w:szCs w:val="32"/>
      <w:lang w:val="en-US"/>
    </w:rPr>
  </w:style>
  <w:style w:type="paragraph" w:styleId="TOC1">
    <w:name w:val="toc 1"/>
    <w:basedOn w:val="Normal"/>
    <w:next w:val="Normal"/>
    <w:autoRedefine/>
    <w:uiPriority w:val="39"/>
    <w:unhideWhenUsed/>
    <w:rsid w:val="00D10C94"/>
    <w:pPr>
      <w:spacing w:after="100"/>
    </w:pPr>
  </w:style>
  <w:style w:type="paragraph" w:styleId="TOC2">
    <w:name w:val="toc 2"/>
    <w:basedOn w:val="Normal"/>
    <w:next w:val="Normal"/>
    <w:autoRedefine/>
    <w:uiPriority w:val="39"/>
    <w:unhideWhenUsed/>
    <w:rsid w:val="00D10C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636">
      <w:bodyDiv w:val="1"/>
      <w:marLeft w:val="0"/>
      <w:marRight w:val="0"/>
      <w:marTop w:val="0"/>
      <w:marBottom w:val="0"/>
      <w:divBdr>
        <w:top w:val="none" w:sz="0" w:space="0" w:color="auto"/>
        <w:left w:val="none" w:sz="0" w:space="0" w:color="auto"/>
        <w:bottom w:val="none" w:sz="0" w:space="0" w:color="auto"/>
        <w:right w:val="none" w:sz="0" w:space="0" w:color="auto"/>
      </w:divBdr>
      <w:divsChild>
        <w:div w:id="191311308">
          <w:marLeft w:val="0"/>
          <w:marRight w:val="0"/>
          <w:marTop w:val="0"/>
          <w:marBottom w:val="0"/>
          <w:divBdr>
            <w:top w:val="none" w:sz="0" w:space="0" w:color="auto"/>
            <w:left w:val="none" w:sz="0" w:space="0" w:color="auto"/>
            <w:bottom w:val="none" w:sz="0" w:space="0" w:color="auto"/>
            <w:right w:val="none" w:sz="0" w:space="0" w:color="auto"/>
          </w:divBdr>
          <w:divsChild>
            <w:div w:id="74568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2341">
      <w:bodyDiv w:val="1"/>
      <w:marLeft w:val="0"/>
      <w:marRight w:val="0"/>
      <w:marTop w:val="0"/>
      <w:marBottom w:val="0"/>
      <w:divBdr>
        <w:top w:val="none" w:sz="0" w:space="0" w:color="auto"/>
        <w:left w:val="none" w:sz="0" w:space="0" w:color="auto"/>
        <w:bottom w:val="none" w:sz="0" w:space="0" w:color="auto"/>
        <w:right w:val="none" w:sz="0" w:space="0" w:color="auto"/>
      </w:divBdr>
    </w:div>
    <w:div w:id="85270628">
      <w:bodyDiv w:val="1"/>
      <w:marLeft w:val="0"/>
      <w:marRight w:val="0"/>
      <w:marTop w:val="0"/>
      <w:marBottom w:val="0"/>
      <w:divBdr>
        <w:top w:val="none" w:sz="0" w:space="0" w:color="auto"/>
        <w:left w:val="none" w:sz="0" w:space="0" w:color="auto"/>
        <w:bottom w:val="none" w:sz="0" w:space="0" w:color="auto"/>
        <w:right w:val="none" w:sz="0" w:space="0" w:color="auto"/>
      </w:divBdr>
      <w:divsChild>
        <w:div w:id="1230573893">
          <w:marLeft w:val="0"/>
          <w:marRight w:val="0"/>
          <w:marTop w:val="0"/>
          <w:marBottom w:val="0"/>
          <w:divBdr>
            <w:top w:val="none" w:sz="0" w:space="0" w:color="auto"/>
            <w:left w:val="none" w:sz="0" w:space="0" w:color="auto"/>
            <w:bottom w:val="none" w:sz="0" w:space="0" w:color="auto"/>
            <w:right w:val="none" w:sz="0" w:space="0" w:color="auto"/>
          </w:divBdr>
          <w:divsChild>
            <w:div w:id="1835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5382">
      <w:bodyDiv w:val="1"/>
      <w:marLeft w:val="0"/>
      <w:marRight w:val="0"/>
      <w:marTop w:val="0"/>
      <w:marBottom w:val="0"/>
      <w:divBdr>
        <w:top w:val="none" w:sz="0" w:space="0" w:color="auto"/>
        <w:left w:val="none" w:sz="0" w:space="0" w:color="auto"/>
        <w:bottom w:val="none" w:sz="0" w:space="0" w:color="auto"/>
        <w:right w:val="none" w:sz="0" w:space="0" w:color="auto"/>
      </w:divBdr>
      <w:divsChild>
        <w:div w:id="1860660775">
          <w:marLeft w:val="0"/>
          <w:marRight w:val="0"/>
          <w:marTop w:val="0"/>
          <w:marBottom w:val="0"/>
          <w:divBdr>
            <w:top w:val="none" w:sz="0" w:space="0" w:color="auto"/>
            <w:left w:val="none" w:sz="0" w:space="0" w:color="auto"/>
            <w:bottom w:val="none" w:sz="0" w:space="0" w:color="auto"/>
            <w:right w:val="none" w:sz="0" w:space="0" w:color="auto"/>
          </w:divBdr>
          <w:divsChild>
            <w:div w:id="12870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5213">
      <w:bodyDiv w:val="1"/>
      <w:marLeft w:val="0"/>
      <w:marRight w:val="0"/>
      <w:marTop w:val="0"/>
      <w:marBottom w:val="0"/>
      <w:divBdr>
        <w:top w:val="none" w:sz="0" w:space="0" w:color="auto"/>
        <w:left w:val="none" w:sz="0" w:space="0" w:color="auto"/>
        <w:bottom w:val="none" w:sz="0" w:space="0" w:color="auto"/>
        <w:right w:val="none" w:sz="0" w:space="0" w:color="auto"/>
      </w:divBdr>
      <w:divsChild>
        <w:div w:id="1750615112">
          <w:marLeft w:val="0"/>
          <w:marRight w:val="0"/>
          <w:marTop w:val="0"/>
          <w:marBottom w:val="0"/>
          <w:divBdr>
            <w:top w:val="none" w:sz="0" w:space="0" w:color="auto"/>
            <w:left w:val="none" w:sz="0" w:space="0" w:color="auto"/>
            <w:bottom w:val="none" w:sz="0" w:space="0" w:color="auto"/>
            <w:right w:val="none" w:sz="0" w:space="0" w:color="auto"/>
          </w:divBdr>
          <w:divsChild>
            <w:div w:id="10766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92627">
      <w:bodyDiv w:val="1"/>
      <w:marLeft w:val="0"/>
      <w:marRight w:val="0"/>
      <w:marTop w:val="0"/>
      <w:marBottom w:val="0"/>
      <w:divBdr>
        <w:top w:val="none" w:sz="0" w:space="0" w:color="auto"/>
        <w:left w:val="none" w:sz="0" w:space="0" w:color="auto"/>
        <w:bottom w:val="none" w:sz="0" w:space="0" w:color="auto"/>
        <w:right w:val="none" w:sz="0" w:space="0" w:color="auto"/>
      </w:divBdr>
    </w:div>
    <w:div w:id="744376082">
      <w:bodyDiv w:val="1"/>
      <w:marLeft w:val="0"/>
      <w:marRight w:val="0"/>
      <w:marTop w:val="0"/>
      <w:marBottom w:val="0"/>
      <w:divBdr>
        <w:top w:val="none" w:sz="0" w:space="0" w:color="auto"/>
        <w:left w:val="none" w:sz="0" w:space="0" w:color="auto"/>
        <w:bottom w:val="none" w:sz="0" w:space="0" w:color="auto"/>
        <w:right w:val="none" w:sz="0" w:space="0" w:color="auto"/>
      </w:divBdr>
    </w:div>
    <w:div w:id="908923873">
      <w:bodyDiv w:val="1"/>
      <w:marLeft w:val="0"/>
      <w:marRight w:val="0"/>
      <w:marTop w:val="0"/>
      <w:marBottom w:val="0"/>
      <w:divBdr>
        <w:top w:val="none" w:sz="0" w:space="0" w:color="auto"/>
        <w:left w:val="none" w:sz="0" w:space="0" w:color="auto"/>
        <w:bottom w:val="none" w:sz="0" w:space="0" w:color="auto"/>
        <w:right w:val="none" w:sz="0" w:space="0" w:color="auto"/>
      </w:divBdr>
      <w:divsChild>
        <w:div w:id="817308746">
          <w:marLeft w:val="0"/>
          <w:marRight w:val="0"/>
          <w:marTop w:val="0"/>
          <w:marBottom w:val="0"/>
          <w:divBdr>
            <w:top w:val="none" w:sz="0" w:space="0" w:color="auto"/>
            <w:left w:val="none" w:sz="0" w:space="0" w:color="auto"/>
            <w:bottom w:val="none" w:sz="0" w:space="0" w:color="auto"/>
            <w:right w:val="none" w:sz="0" w:space="0" w:color="auto"/>
          </w:divBdr>
          <w:divsChild>
            <w:div w:id="98057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2115">
      <w:bodyDiv w:val="1"/>
      <w:marLeft w:val="0"/>
      <w:marRight w:val="0"/>
      <w:marTop w:val="0"/>
      <w:marBottom w:val="0"/>
      <w:divBdr>
        <w:top w:val="none" w:sz="0" w:space="0" w:color="auto"/>
        <w:left w:val="none" w:sz="0" w:space="0" w:color="auto"/>
        <w:bottom w:val="none" w:sz="0" w:space="0" w:color="auto"/>
        <w:right w:val="none" w:sz="0" w:space="0" w:color="auto"/>
      </w:divBdr>
    </w:div>
    <w:div w:id="1048991106">
      <w:bodyDiv w:val="1"/>
      <w:marLeft w:val="0"/>
      <w:marRight w:val="0"/>
      <w:marTop w:val="0"/>
      <w:marBottom w:val="0"/>
      <w:divBdr>
        <w:top w:val="none" w:sz="0" w:space="0" w:color="auto"/>
        <w:left w:val="none" w:sz="0" w:space="0" w:color="auto"/>
        <w:bottom w:val="none" w:sz="0" w:space="0" w:color="auto"/>
        <w:right w:val="none" w:sz="0" w:space="0" w:color="auto"/>
      </w:divBdr>
    </w:div>
    <w:div w:id="1113015078">
      <w:bodyDiv w:val="1"/>
      <w:marLeft w:val="0"/>
      <w:marRight w:val="0"/>
      <w:marTop w:val="0"/>
      <w:marBottom w:val="0"/>
      <w:divBdr>
        <w:top w:val="none" w:sz="0" w:space="0" w:color="auto"/>
        <w:left w:val="none" w:sz="0" w:space="0" w:color="auto"/>
        <w:bottom w:val="none" w:sz="0" w:space="0" w:color="auto"/>
        <w:right w:val="none" w:sz="0" w:space="0" w:color="auto"/>
      </w:divBdr>
      <w:divsChild>
        <w:div w:id="1368288876">
          <w:marLeft w:val="0"/>
          <w:marRight w:val="0"/>
          <w:marTop w:val="0"/>
          <w:marBottom w:val="0"/>
          <w:divBdr>
            <w:top w:val="none" w:sz="0" w:space="0" w:color="auto"/>
            <w:left w:val="none" w:sz="0" w:space="0" w:color="auto"/>
            <w:bottom w:val="none" w:sz="0" w:space="0" w:color="auto"/>
            <w:right w:val="none" w:sz="0" w:space="0" w:color="auto"/>
          </w:divBdr>
          <w:divsChild>
            <w:div w:id="177663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4376">
      <w:bodyDiv w:val="1"/>
      <w:marLeft w:val="0"/>
      <w:marRight w:val="0"/>
      <w:marTop w:val="0"/>
      <w:marBottom w:val="0"/>
      <w:divBdr>
        <w:top w:val="none" w:sz="0" w:space="0" w:color="auto"/>
        <w:left w:val="none" w:sz="0" w:space="0" w:color="auto"/>
        <w:bottom w:val="none" w:sz="0" w:space="0" w:color="auto"/>
        <w:right w:val="none" w:sz="0" w:space="0" w:color="auto"/>
      </w:divBdr>
    </w:div>
    <w:div w:id="1294871591">
      <w:bodyDiv w:val="1"/>
      <w:marLeft w:val="0"/>
      <w:marRight w:val="0"/>
      <w:marTop w:val="0"/>
      <w:marBottom w:val="0"/>
      <w:divBdr>
        <w:top w:val="none" w:sz="0" w:space="0" w:color="auto"/>
        <w:left w:val="none" w:sz="0" w:space="0" w:color="auto"/>
        <w:bottom w:val="none" w:sz="0" w:space="0" w:color="auto"/>
        <w:right w:val="none" w:sz="0" w:space="0" w:color="auto"/>
      </w:divBdr>
    </w:div>
    <w:div w:id="1301618762">
      <w:bodyDiv w:val="1"/>
      <w:marLeft w:val="0"/>
      <w:marRight w:val="0"/>
      <w:marTop w:val="0"/>
      <w:marBottom w:val="0"/>
      <w:divBdr>
        <w:top w:val="none" w:sz="0" w:space="0" w:color="auto"/>
        <w:left w:val="none" w:sz="0" w:space="0" w:color="auto"/>
        <w:bottom w:val="none" w:sz="0" w:space="0" w:color="auto"/>
        <w:right w:val="none" w:sz="0" w:space="0" w:color="auto"/>
      </w:divBdr>
    </w:div>
    <w:div w:id="1325164734">
      <w:bodyDiv w:val="1"/>
      <w:marLeft w:val="0"/>
      <w:marRight w:val="0"/>
      <w:marTop w:val="0"/>
      <w:marBottom w:val="0"/>
      <w:divBdr>
        <w:top w:val="none" w:sz="0" w:space="0" w:color="auto"/>
        <w:left w:val="none" w:sz="0" w:space="0" w:color="auto"/>
        <w:bottom w:val="none" w:sz="0" w:space="0" w:color="auto"/>
        <w:right w:val="none" w:sz="0" w:space="0" w:color="auto"/>
      </w:divBdr>
      <w:divsChild>
        <w:div w:id="1655334574">
          <w:marLeft w:val="0"/>
          <w:marRight w:val="0"/>
          <w:marTop w:val="0"/>
          <w:marBottom w:val="0"/>
          <w:divBdr>
            <w:top w:val="none" w:sz="0" w:space="0" w:color="auto"/>
            <w:left w:val="none" w:sz="0" w:space="0" w:color="auto"/>
            <w:bottom w:val="none" w:sz="0" w:space="0" w:color="auto"/>
            <w:right w:val="none" w:sz="0" w:space="0" w:color="auto"/>
          </w:divBdr>
          <w:divsChild>
            <w:div w:id="141658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72271">
      <w:bodyDiv w:val="1"/>
      <w:marLeft w:val="0"/>
      <w:marRight w:val="0"/>
      <w:marTop w:val="0"/>
      <w:marBottom w:val="0"/>
      <w:divBdr>
        <w:top w:val="none" w:sz="0" w:space="0" w:color="auto"/>
        <w:left w:val="none" w:sz="0" w:space="0" w:color="auto"/>
        <w:bottom w:val="none" w:sz="0" w:space="0" w:color="auto"/>
        <w:right w:val="none" w:sz="0" w:space="0" w:color="auto"/>
      </w:divBdr>
      <w:divsChild>
        <w:div w:id="253784114">
          <w:marLeft w:val="0"/>
          <w:marRight w:val="0"/>
          <w:marTop w:val="0"/>
          <w:marBottom w:val="0"/>
          <w:divBdr>
            <w:top w:val="none" w:sz="0" w:space="0" w:color="auto"/>
            <w:left w:val="none" w:sz="0" w:space="0" w:color="auto"/>
            <w:bottom w:val="none" w:sz="0" w:space="0" w:color="auto"/>
            <w:right w:val="none" w:sz="0" w:space="0" w:color="auto"/>
          </w:divBdr>
          <w:divsChild>
            <w:div w:id="56761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797258">
      <w:bodyDiv w:val="1"/>
      <w:marLeft w:val="0"/>
      <w:marRight w:val="0"/>
      <w:marTop w:val="0"/>
      <w:marBottom w:val="0"/>
      <w:divBdr>
        <w:top w:val="none" w:sz="0" w:space="0" w:color="auto"/>
        <w:left w:val="none" w:sz="0" w:space="0" w:color="auto"/>
        <w:bottom w:val="none" w:sz="0" w:space="0" w:color="auto"/>
        <w:right w:val="none" w:sz="0" w:space="0" w:color="auto"/>
      </w:divBdr>
    </w:div>
    <w:div w:id="1788700447">
      <w:bodyDiv w:val="1"/>
      <w:marLeft w:val="0"/>
      <w:marRight w:val="0"/>
      <w:marTop w:val="0"/>
      <w:marBottom w:val="0"/>
      <w:divBdr>
        <w:top w:val="none" w:sz="0" w:space="0" w:color="auto"/>
        <w:left w:val="none" w:sz="0" w:space="0" w:color="auto"/>
        <w:bottom w:val="none" w:sz="0" w:space="0" w:color="auto"/>
        <w:right w:val="none" w:sz="0" w:space="0" w:color="auto"/>
      </w:divBdr>
    </w:div>
    <w:div w:id="1819346389">
      <w:bodyDiv w:val="1"/>
      <w:marLeft w:val="0"/>
      <w:marRight w:val="0"/>
      <w:marTop w:val="0"/>
      <w:marBottom w:val="0"/>
      <w:divBdr>
        <w:top w:val="none" w:sz="0" w:space="0" w:color="auto"/>
        <w:left w:val="none" w:sz="0" w:space="0" w:color="auto"/>
        <w:bottom w:val="none" w:sz="0" w:space="0" w:color="auto"/>
        <w:right w:val="none" w:sz="0" w:space="0" w:color="auto"/>
      </w:divBdr>
      <w:divsChild>
        <w:div w:id="1993875651">
          <w:marLeft w:val="0"/>
          <w:marRight w:val="0"/>
          <w:marTop w:val="0"/>
          <w:marBottom w:val="0"/>
          <w:divBdr>
            <w:top w:val="none" w:sz="0" w:space="0" w:color="auto"/>
            <w:left w:val="none" w:sz="0" w:space="0" w:color="auto"/>
            <w:bottom w:val="none" w:sz="0" w:space="0" w:color="auto"/>
            <w:right w:val="none" w:sz="0" w:space="0" w:color="auto"/>
          </w:divBdr>
          <w:divsChild>
            <w:div w:id="70806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240759">
      <w:bodyDiv w:val="1"/>
      <w:marLeft w:val="0"/>
      <w:marRight w:val="0"/>
      <w:marTop w:val="0"/>
      <w:marBottom w:val="0"/>
      <w:divBdr>
        <w:top w:val="none" w:sz="0" w:space="0" w:color="auto"/>
        <w:left w:val="none" w:sz="0" w:space="0" w:color="auto"/>
        <w:bottom w:val="none" w:sz="0" w:space="0" w:color="auto"/>
        <w:right w:val="none" w:sz="0" w:space="0" w:color="auto"/>
      </w:divBdr>
      <w:divsChild>
        <w:div w:id="1558666126">
          <w:marLeft w:val="0"/>
          <w:marRight w:val="0"/>
          <w:marTop w:val="0"/>
          <w:marBottom w:val="0"/>
          <w:divBdr>
            <w:top w:val="none" w:sz="0" w:space="0" w:color="auto"/>
            <w:left w:val="none" w:sz="0" w:space="0" w:color="auto"/>
            <w:bottom w:val="none" w:sz="0" w:space="0" w:color="auto"/>
            <w:right w:val="none" w:sz="0" w:space="0" w:color="auto"/>
          </w:divBdr>
          <w:divsChild>
            <w:div w:id="143054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65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m.org.uk/resources/what-is-project-management/what-is-scope-management/" TargetMode="External"/><Relationship Id="rId18" Type="http://schemas.openxmlformats.org/officeDocument/2006/relationships/hyperlink" Target="https://doi.org/10.4236/ojl.2024.131006" TargetMode="External"/><Relationship Id="rId26" Type="http://schemas.openxmlformats.org/officeDocument/2006/relationships/hyperlink" Target="https://doi.org/10.1177/8756972820973082" TargetMode="External"/><Relationship Id="rId39" Type="http://schemas.openxmlformats.org/officeDocument/2006/relationships/hyperlink" Target="https://www.mdpi.com/2076-3417/10/4/1386" TargetMode="External"/><Relationship Id="rId21" Type="http://schemas.openxmlformats.org/officeDocument/2006/relationships/hyperlink" Target="https://doi.org/10.1177/8756972819878346" TargetMode="External"/><Relationship Id="rId34" Type="http://schemas.openxmlformats.org/officeDocument/2006/relationships/hyperlink" Target="https://doi.org/10.1016/j.ijproman.2022.08.007" TargetMode="External"/><Relationship Id="rId42" Type="http://schemas.openxmlformats.org/officeDocument/2006/relationships/hyperlink" Target="https://doi.org/10.1016/j.resconrec.2021.105663" TargetMode="External"/><Relationship Id="rId47" Type="http://schemas.openxmlformats.org/officeDocument/2006/relationships/hyperlink" Target="https://doi.org/10.1016/j.procs.2021.01.180" TargetMode="External"/><Relationship Id="rId50" Type="http://schemas.openxmlformats.org/officeDocument/2006/relationships/hyperlink" Target="https://doi.org/10.1007/978-3-642-40438-2" TargetMode="Externa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016/j.ijproman.2021.10.005" TargetMode="External"/><Relationship Id="rId29" Type="http://schemas.openxmlformats.org/officeDocument/2006/relationships/hyperlink" Target="https://doi.org/10.1007/s41464-020-00092-0" TargetMode="External"/><Relationship Id="rId11" Type="http://schemas.openxmlformats.org/officeDocument/2006/relationships/hyperlink" Target="https://doi.org/10.1016/j.ijproman.2016.08.009" TargetMode="External"/><Relationship Id="rId24" Type="http://schemas.openxmlformats.org/officeDocument/2006/relationships/hyperlink" Target="https://doi.org/10.1002/pmj.21555" TargetMode="External"/><Relationship Id="rId32" Type="http://schemas.openxmlformats.org/officeDocument/2006/relationships/hyperlink" Target="https://doi.org/10.46756/sci.fsa.hee561" TargetMode="External"/><Relationship Id="rId37" Type="http://schemas.openxmlformats.org/officeDocument/2006/relationships/hyperlink" Target="https://doi.org/10.1016/j.ijproman.2014.08.007" TargetMode="External"/><Relationship Id="rId40" Type="http://schemas.openxmlformats.org/officeDocument/2006/relationships/hyperlink" Target="https://doi.org/10.1080/10580530.2021.1887982" TargetMode="External"/><Relationship Id="rId45" Type="http://schemas.openxmlformats.org/officeDocument/2006/relationships/hyperlink" Target="https://doi.org/10.1002/pmj.21468" TargetMode="External"/><Relationship Id="rId53" Type="http://schemas.openxmlformats.org/officeDocument/2006/relationships/hyperlink" Target="https://doi.org/10.1016/j.protcy.2014.10.054" TargetMode="Externa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hyperlink" Target="https://www.wiley.com/en-gb/How+to+Manage+Project+Opportunity+and+Risk-p-9780470686492" TargetMode="External"/><Relationship Id="rId31" Type="http://schemas.openxmlformats.org/officeDocument/2006/relationships/hyperlink" Target="https://doi.org/10.1002/acp.1699" TargetMode="External"/><Relationship Id="rId44" Type="http://schemas.openxmlformats.org/officeDocument/2006/relationships/hyperlink" Target="https://doi.org/10.1177/8756972821999499" TargetMode="External"/><Relationship Id="rId52" Type="http://schemas.openxmlformats.org/officeDocument/2006/relationships/hyperlink" Target="https://doi.org/10.1080/09537287.2023.227569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16/S0263-7863(98)00069-6" TargetMode="External"/><Relationship Id="rId22" Type="http://schemas.openxmlformats.org/officeDocument/2006/relationships/hyperlink" Target="https://www.cliffsnotes.com/study-notes/24576869" TargetMode="External"/><Relationship Id="rId27" Type="http://schemas.openxmlformats.org/officeDocument/2006/relationships/hyperlink" Target="https://doi.org/10.1108/17538371211268889" TargetMode="External"/><Relationship Id="rId30" Type="http://schemas.openxmlformats.org/officeDocument/2006/relationships/hyperlink" Target="https://www.investopedia.com/terms/s/swot.asp" TargetMode="External"/><Relationship Id="rId35" Type="http://schemas.openxmlformats.org/officeDocument/2006/relationships/hyperlink" Target="https://doi.org/10.3390/buildings15030393" TargetMode="External"/><Relationship Id="rId43" Type="http://schemas.openxmlformats.org/officeDocument/2006/relationships/hyperlink" Target="https://doi.org/10.1111/1467-9310.00243" TargetMode="External"/><Relationship Id="rId48" Type="http://schemas.openxmlformats.org/officeDocument/2006/relationships/hyperlink" Target="https://doi.org/10.58812/esmb.v2i03.253" TargetMode="Externa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doi.org/10.1016/s0090-2616(00)00003-6" TargetMode="External"/><Relationship Id="rId3" Type="http://schemas.openxmlformats.org/officeDocument/2006/relationships/settings" Target="settings.xml"/><Relationship Id="rId12" Type="http://schemas.openxmlformats.org/officeDocument/2006/relationships/hyperlink" Target="https://doi.org/10.1016/j.ijproman.2021.08.001" TargetMode="External"/><Relationship Id="rId17" Type="http://schemas.openxmlformats.org/officeDocument/2006/relationships/hyperlink" Target="https://doi.org/10.31341/jios.42.2.2" TargetMode="External"/><Relationship Id="rId25" Type="http://schemas.openxmlformats.org/officeDocument/2006/relationships/hyperlink" Target="https://doi.org/10.1177/8756972820973082" TargetMode="External"/><Relationship Id="rId33" Type="http://schemas.openxmlformats.org/officeDocument/2006/relationships/hyperlink" Target="https://doi.org/10.1016/j.ijproman.2021.02.003" TargetMode="External"/><Relationship Id="rId38" Type="http://schemas.openxmlformats.org/officeDocument/2006/relationships/hyperlink" Target="https://doi.org/10.1680/jmapl.19.00018" TargetMode="External"/><Relationship Id="rId46" Type="http://schemas.openxmlformats.org/officeDocument/2006/relationships/hyperlink" Target="https://doi.org/10.1016/j.jengtecman.2021.101626" TargetMode="External"/><Relationship Id="rId20" Type="http://schemas.openxmlformats.org/officeDocument/2006/relationships/hyperlink" Target="https://doi.org/10.13140/RG.2.2.32434.27849" TargetMode="External"/><Relationship Id="rId41" Type="http://schemas.openxmlformats.org/officeDocument/2006/relationships/hyperlink" Target="https://www.pmi.org/pmbok-guide-standards/foundational/pmbok"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51952/9781529252149.ch010" TargetMode="External"/><Relationship Id="rId23" Type="http://schemas.openxmlformats.org/officeDocument/2006/relationships/hyperlink" Target="https://doi.org/10.1016/j.ijproman.2020.04.001" TargetMode="External"/><Relationship Id="rId28" Type="http://schemas.openxmlformats.org/officeDocument/2006/relationships/hyperlink" Target="https://doi.org/10.1108/17554251011064837" TargetMode="External"/><Relationship Id="rId36" Type="http://schemas.openxmlformats.org/officeDocument/2006/relationships/hyperlink" Target="https://doi.org/10.1109/emr.2019.2952563" TargetMode="External"/><Relationship Id="rId49" Type="http://schemas.openxmlformats.org/officeDocument/2006/relationships/hyperlink" Target="https://doi.org/10.1037/h0022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DAE2E-FFD2-4172-972F-D2CAEFB65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4607</Words>
  <Characters>26264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Florea</dc:creator>
  <cp:keywords/>
  <dc:description/>
  <cp:lastModifiedBy>Florea, Claudiu</cp:lastModifiedBy>
  <cp:revision>20</cp:revision>
  <dcterms:created xsi:type="dcterms:W3CDTF">2026-07-01T20:41:00Z</dcterms:created>
  <dcterms:modified xsi:type="dcterms:W3CDTF">2026-07-03T00:51:00Z</dcterms:modified>
</cp:coreProperties>
</file>