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DECE7" w14:textId="77777777" w:rsidR="0099369D" w:rsidRDefault="0055096F">
      <w:pPr>
        <w:pStyle w:val="Title"/>
        <w:rPr>
          <w:sz w:val="44"/>
          <w:lang w:val="en-US"/>
        </w:rPr>
      </w:pPr>
      <w:r>
        <w:rPr>
          <w:noProof/>
          <w:lang w:eastAsia="en-GB" w:bidi="ar-SA"/>
        </w:rPr>
        <w:drawing>
          <wp:inline distT="114300" distB="114300" distL="114300" distR="114300" wp14:anchorId="235FE7F2" wp14:editId="3151FB1E">
            <wp:extent cx="2458720" cy="1496695"/>
            <wp:effectExtent l="0" t="0" r="17780" b="8255"/>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7"/>
                    <a:srcRect/>
                    <a:stretch>
                      <a:fillRect/>
                    </a:stretch>
                  </pic:blipFill>
                  <pic:spPr>
                    <a:xfrm>
                      <a:off x="0" y="0"/>
                      <a:ext cx="2458720" cy="1496695"/>
                    </a:xfrm>
                    <a:prstGeom prst="rect">
                      <a:avLst/>
                    </a:prstGeom>
                  </pic:spPr>
                </pic:pic>
              </a:graphicData>
            </a:graphic>
          </wp:inline>
        </w:drawing>
      </w:r>
    </w:p>
    <w:p w14:paraId="13660FDF" w14:textId="77777777" w:rsidR="0099369D" w:rsidRDefault="0099369D">
      <w:pPr>
        <w:pStyle w:val="Title"/>
        <w:jc w:val="both"/>
        <w:rPr>
          <w:sz w:val="44"/>
          <w:lang w:val="en-US"/>
        </w:rPr>
      </w:pPr>
    </w:p>
    <w:p w14:paraId="4D7B8918" w14:textId="77777777" w:rsidR="0099369D" w:rsidRDefault="0055096F">
      <w:pPr>
        <w:pStyle w:val="Title"/>
        <w:rPr>
          <w:sz w:val="44"/>
          <w:lang w:val="en-US"/>
        </w:rPr>
      </w:pPr>
      <w:r>
        <w:rPr>
          <w:sz w:val="44"/>
          <w:lang w:val="en-US"/>
        </w:rPr>
        <w:t>LCHS4008</w:t>
      </w:r>
    </w:p>
    <w:p w14:paraId="17474892" w14:textId="77777777" w:rsidR="0099369D" w:rsidRDefault="0055096F">
      <w:pPr>
        <w:pStyle w:val="Title"/>
        <w:rPr>
          <w:sz w:val="44"/>
          <w:lang w:val="en-US"/>
        </w:rPr>
      </w:pPr>
      <w:r>
        <w:rPr>
          <w:sz w:val="44"/>
          <w:lang w:val="en-US"/>
        </w:rPr>
        <w:t>Introduction to Public Health</w:t>
      </w:r>
    </w:p>
    <w:p w14:paraId="24B7BD44" w14:textId="77777777" w:rsidR="0099369D" w:rsidRDefault="0055096F">
      <w:pPr>
        <w:pStyle w:val="Title"/>
        <w:rPr>
          <w:lang w:val="en-US"/>
        </w:rPr>
      </w:pPr>
      <w:r>
        <w:rPr>
          <w:sz w:val="44"/>
          <w:lang w:val="en-US"/>
        </w:rPr>
        <w:t xml:space="preserve">Assessment 2 - Report on a Health </w:t>
      </w:r>
      <w:bookmarkStart w:id="0" w:name="_GoBack"/>
      <w:bookmarkEnd w:id="0"/>
      <w:r>
        <w:rPr>
          <w:sz w:val="44"/>
          <w:lang w:val="en-US"/>
        </w:rPr>
        <w:t>Issue</w:t>
      </w:r>
      <w:r>
        <w:rPr>
          <w:lang w:val="en-US"/>
        </w:rPr>
        <w:br w:type="page"/>
      </w:r>
    </w:p>
    <w:sdt>
      <w:sdtPr>
        <w:rPr>
          <w:rFonts w:ascii="Arial" w:eastAsiaTheme="minorHAnsi" w:hAnsi="Arial" w:cstheme="minorBidi"/>
          <w:color w:val="000000" w:themeColor="text1"/>
          <w:sz w:val="22"/>
          <w:szCs w:val="20"/>
          <w:lang w:val="en-GB" w:bidi="hi-IN"/>
        </w:rPr>
        <w:id w:val="439040561"/>
        <w:docPartObj>
          <w:docPartGallery w:val="Table of Contents"/>
          <w:docPartUnique/>
        </w:docPartObj>
      </w:sdtPr>
      <w:sdtEndPr>
        <w:rPr>
          <w:b/>
          <w:bCs/>
        </w:rPr>
      </w:sdtEndPr>
      <w:sdtContent>
        <w:p w14:paraId="37E4A455" w14:textId="77777777" w:rsidR="0099369D" w:rsidRDefault="0055096F">
          <w:pPr>
            <w:pStyle w:val="TOCHeading1"/>
            <w:jc w:val="center"/>
            <w:rPr>
              <w:rFonts w:ascii="Times New Roman" w:hAnsi="Times New Roman" w:cs="Times New Roman"/>
              <w:b/>
              <w:color w:val="000000" w:themeColor="text1"/>
            </w:rPr>
          </w:pPr>
          <w:r>
            <w:rPr>
              <w:rFonts w:ascii="Times New Roman" w:hAnsi="Times New Roman" w:cs="Times New Roman"/>
              <w:b/>
              <w:color w:val="000000" w:themeColor="text1"/>
            </w:rPr>
            <w:t>Table of Contents</w:t>
          </w:r>
        </w:p>
        <w:p w14:paraId="5981276B" w14:textId="24A8CA77" w:rsidR="0099369D" w:rsidRDefault="0055096F">
          <w:pPr>
            <w:pStyle w:val="TOC1"/>
            <w:tabs>
              <w:tab w:val="right" w:leader="dot" w:pos="9350"/>
            </w:tabs>
            <w:rPr>
              <w:rFonts w:asciiTheme="minorHAnsi" w:eastAsiaTheme="minorEastAsia" w:hAnsiTheme="minorHAnsi" w:cstheme="minorBidi"/>
              <w:noProof/>
              <w:color w:val="auto"/>
              <w:szCs w:val="22"/>
              <w:lang w:val="en-US" w:bidi="ar-SA"/>
            </w:rPr>
          </w:pPr>
          <w:r>
            <w:fldChar w:fldCharType="begin"/>
          </w:r>
          <w:r>
            <w:instrText xml:space="preserve"> TOC \o "1-3" \h \z \u </w:instrText>
          </w:r>
          <w:r>
            <w:fldChar w:fldCharType="separate"/>
          </w:r>
          <w:hyperlink w:anchor="_Toc211441810" w:history="1">
            <w:r>
              <w:rPr>
                <w:rStyle w:val="Hyperlink"/>
                <w:noProof/>
              </w:rPr>
              <w:t>1. Introduction</w:t>
            </w:r>
            <w:r>
              <w:rPr>
                <w:noProof/>
              </w:rPr>
              <w:tab/>
            </w:r>
            <w:r>
              <w:rPr>
                <w:noProof/>
              </w:rPr>
              <w:fldChar w:fldCharType="begin"/>
            </w:r>
            <w:r>
              <w:rPr>
                <w:noProof/>
              </w:rPr>
              <w:instrText xml:space="preserve"> PAGEREF _Toc211441810 \h </w:instrText>
            </w:r>
            <w:r>
              <w:rPr>
                <w:noProof/>
              </w:rPr>
            </w:r>
            <w:r>
              <w:rPr>
                <w:noProof/>
              </w:rPr>
              <w:fldChar w:fldCharType="separate"/>
            </w:r>
            <w:r w:rsidR="00A7538E">
              <w:rPr>
                <w:noProof/>
              </w:rPr>
              <w:t>3</w:t>
            </w:r>
            <w:r>
              <w:rPr>
                <w:noProof/>
              </w:rPr>
              <w:fldChar w:fldCharType="end"/>
            </w:r>
          </w:hyperlink>
        </w:p>
        <w:p w14:paraId="4AD22C35" w14:textId="3E2EDFD8" w:rsidR="0099369D" w:rsidRDefault="00E87337">
          <w:pPr>
            <w:pStyle w:val="TOC1"/>
            <w:tabs>
              <w:tab w:val="right" w:leader="dot" w:pos="9350"/>
            </w:tabs>
            <w:rPr>
              <w:rFonts w:asciiTheme="minorHAnsi" w:eastAsiaTheme="minorEastAsia" w:hAnsiTheme="minorHAnsi" w:cstheme="minorBidi"/>
              <w:noProof/>
              <w:color w:val="auto"/>
              <w:szCs w:val="22"/>
              <w:lang w:val="en-US" w:bidi="ar-SA"/>
            </w:rPr>
          </w:pPr>
          <w:hyperlink w:anchor="_Toc211441811" w:history="1">
            <w:r w:rsidR="0055096F">
              <w:rPr>
                <w:rStyle w:val="Hyperlink"/>
                <w:noProof/>
              </w:rPr>
              <w:t>2. Main Body</w:t>
            </w:r>
            <w:r w:rsidR="0055096F">
              <w:rPr>
                <w:noProof/>
              </w:rPr>
              <w:tab/>
            </w:r>
            <w:r w:rsidR="0055096F">
              <w:rPr>
                <w:noProof/>
              </w:rPr>
              <w:fldChar w:fldCharType="begin"/>
            </w:r>
            <w:r w:rsidR="0055096F">
              <w:rPr>
                <w:noProof/>
              </w:rPr>
              <w:instrText xml:space="preserve"> PAGEREF _Toc211441811 \h </w:instrText>
            </w:r>
            <w:r w:rsidR="0055096F">
              <w:rPr>
                <w:noProof/>
              </w:rPr>
            </w:r>
            <w:r w:rsidR="0055096F">
              <w:rPr>
                <w:noProof/>
              </w:rPr>
              <w:fldChar w:fldCharType="separate"/>
            </w:r>
            <w:r w:rsidR="00A7538E">
              <w:rPr>
                <w:noProof/>
              </w:rPr>
              <w:t>4</w:t>
            </w:r>
            <w:r w:rsidR="0055096F">
              <w:rPr>
                <w:noProof/>
              </w:rPr>
              <w:fldChar w:fldCharType="end"/>
            </w:r>
          </w:hyperlink>
        </w:p>
        <w:p w14:paraId="7BF6BC26" w14:textId="2B1CBC84" w:rsidR="0099369D" w:rsidRDefault="00E87337">
          <w:pPr>
            <w:pStyle w:val="TOC2"/>
            <w:tabs>
              <w:tab w:val="right" w:leader="dot" w:pos="9350"/>
            </w:tabs>
            <w:rPr>
              <w:rFonts w:asciiTheme="minorHAnsi" w:eastAsiaTheme="minorEastAsia" w:hAnsiTheme="minorHAnsi" w:cstheme="minorBidi"/>
              <w:noProof/>
              <w:color w:val="auto"/>
              <w:szCs w:val="22"/>
              <w:lang w:val="en-US" w:bidi="ar-SA"/>
            </w:rPr>
          </w:pPr>
          <w:hyperlink w:anchor="_Toc211441812" w:history="1">
            <w:r w:rsidR="0055096F">
              <w:rPr>
                <w:rStyle w:val="Hyperlink"/>
                <w:noProof/>
                <w:lang w:val="en-US"/>
              </w:rPr>
              <w:t>2.1 Consequences of Type 2 Diabetes for the Community and NHS</w:t>
            </w:r>
            <w:r w:rsidR="0055096F">
              <w:rPr>
                <w:noProof/>
              </w:rPr>
              <w:tab/>
            </w:r>
            <w:r w:rsidR="0055096F">
              <w:rPr>
                <w:noProof/>
              </w:rPr>
              <w:fldChar w:fldCharType="begin"/>
            </w:r>
            <w:r w:rsidR="0055096F">
              <w:rPr>
                <w:noProof/>
              </w:rPr>
              <w:instrText xml:space="preserve"> PAGEREF _Toc211441812 \h </w:instrText>
            </w:r>
            <w:r w:rsidR="0055096F">
              <w:rPr>
                <w:noProof/>
              </w:rPr>
            </w:r>
            <w:r w:rsidR="0055096F">
              <w:rPr>
                <w:noProof/>
              </w:rPr>
              <w:fldChar w:fldCharType="separate"/>
            </w:r>
            <w:r w:rsidR="00A7538E">
              <w:rPr>
                <w:noProof/>
              </w:rPr>
              <w:t>4</w:t>
            </w:r>
            <w:r w:rsidR="0055096F">
              <w:rPr>
                <w:noProof/>
              </w:rPr>
              <w:fldChar w:fldCharType="end"/>
            </w:r>
          </w:hyperlink>
        </w:p>
        <w:p w14:paraId="439D0846" w14:textId="73239C6B" w:rsidR="0099369D" w:rsidRDefault="00E87337">
          <w:pPr>
            <w:pStyle w:val="TOC3"/>
            <w:tabs>
              <w:tab w:val="right" w:leader="dot" w:pos="9350"/>
            </w:tabs>
            <w:rPr>
              <w:rFonts w:asciiTheme="minorHAnsi" w:eastAsiaTheme="minorEastAsia" w:hAnsiTheme="minorHAnsi" w:cstheme="minorBidi"/>
              <w:noProof/>
              <w:color w:val="auto"/>
              <w:szCs w:val="22"/>
              <w:lang w:val="en-US" w:bidi="ar-SA"/>
            </w:rPr>
          </w:pPr>
          <w:hyperlink w:anchor="_Toc211441813" w:history="1">
            <w:r w:rsidR="0055096F">
              <w:rPr>
                <w:rStyle w:val="Hyperlink"/>
                <w:noProof/>
              </w:rPr>
              <w:t>Community Impact</w:t>
            </w:r>
            <w:r w:rsidR="0055096F">
              <w:rPr>
                <w:noProof/>
              </w:rPr>
              <w:tab/>
            </w:r>
            <w:r w:rsidR="0055096F">
              <w:rPr>
                <w:noProof/>
              </w:rPr>
              <w:fldChar w:fldCharType="begin"/>
            </w:r>
            <w:r w:rsidR="0055096F">
              <w:rPr>
                <w:noProof/>
              </w:rPr>
              <w:instrText xml:space="preserve"> PAGEREF _Toc211441813 \h </w:instrText>
            </w:r>
            <w:r w:rsidR="0055096F">
              <w:rPr>
                <w:noProof/>
              </w:rPr>
            </w:r>
            <w:r w:rsidR="0055096F">
              <w:rPr>
                <w:noProof/>
              </w:rPr>
              <w:fldChar w:fldCharType="separate"/>
            </w:r>
            <w:r w:rsidR="00A7538E">
              <w:rPr>
                <w:noProof/>
              </w:rPr>
              <w:t>4</w:t>
            </w:r>
            <w:r w:rsidR="0055096F">
              <w:rPr>
                <w:noProof/>
              </w:rPr>
              <w:fldChar w:fldCharType="end"/>
            </w:r>
          </w:hyperlink>
        </w:p>
        <w:p w14:paraId="7A5332AD" w14:textId="5ADA86BF" w:rsidR="0099369D" w:rsidRDefault="00E87337">
          <w:pPr>
            <w:pStyle w:val="TOC3"/>
            <w:tabs>
              <w:tab w:val="right" w:leader="dot" w:pos="9350"/>
            </w:tabs>
            <w:rPr>
              <w:rFonts w:asciiTheme="minorHAnsi" w:eastAsiaTheme="minorEastAsia" w:hAnsiTheme="minorHAnsi" w:cstheme="minorBidi"/>
              <w:noProof/>
              <w:color w:val="auto"/>
              <w:szCs w:val="22"/>
              <w:lang w:val="en-US" w:bidi="ar-SA"/>
            </w:rPr>
          </w:pPr>
          <w:hyperlink w:anchor="_Toc211441814" w:history="1">
            <w:r w:rsidR="0055096F">
              <w:rPr>
                <w:rStyle w:val="Hyperlink"/>
                <w:noProof/>
              </w:rPr>
              <w:t>Economic Impact</w:t>
            </w:r>
            <w:r w:rsidR="0055096F">
              <w:rPr>
                <w:noProof/>
              </w:rPr>
              <w:tab/>
            </w:r>
            <w:r w:rsidR="0055096F">
              <w:rPr>
                <w:noProof/>
              </w:rPr>
              <w:fldChar w:fldCharType="begin"/>
            </w:r>
            <w:r w:rsidR="0055096F">
              <w:rPr>
                <w:noProof/>
              </w:rPr>
              <w:instrText xml:space="preserve"> PAGEREF _Toc211441814 \h </w:instrText>
            </w:r>
            <w:r w:rsidR="0055096F">
              <w:rPr>
                <w:noProof/>
              </w:rPr>
            </w:r>
            <w:r w:rsidR="0055096F">
              <w:rPr>
                <w:noProof/>
              </w:rPr>
              <w:fldChar w:fldCharType="separate"/>
            </w:r>
            <w:r w:rsidR="00A7538E">
              <w:rPr>
                <w:noProof/>
              </w:rPr>
              <w:t>4</w:t>
            </w:r>
            <w:r w:rsidR="0055096F">
              <w:rPr>
                <w:noProof/>
              </w:rPr>
              <w:fldChar w:fldCharType="end"/>
            </w:r>
          </w:hyperlink>
        </w:p>
        <w:p w14:paraId="64CC2177" w14:textId="1163F126" w:rsidR="0099369D" w:rsidRDefault="00E87337">
          <w:pPr>
            <w:pStyle w:val="TOC3"/>
            <w:tabs>
              <w:tab w:val="right" w:leader="dot" w:pos="9350"/>
            </w:tabs>
            <w:rPr>
              <w:rFonts w:asciiTheme="minorHAnsi" w:eastAsiaTheme="minorEastAsia" w:hAnsiTheme="minorHAnsi" w:cstheme="minorBidi"/>
              <w:noProof/>
              <w:color w:val="auto"/>
              <w:szCs w:val="22"/>
              <w:lang w:val="en-US" w:bidi="ar-SA"/>
            </w:rPr>
          </w:pPr>
          <w:hyperlink w:anchor="_Toc211441815" w:history="1">
            <w:r w:rsidR="0055096F">
              <w:rPr>
                <w:rStyle w:val="Hyperlink"/>
                <w:noProof/>
              </w:rPr>
              <w:t>NHS Impact, Morbidity, and Mortality</w:t>
            </w:r>
            <w:r w:rsidR="0055096F">
              <w:rPr>
                <w:noProof/>
              </w:rPr>
              <w:tab/>
            </w:r>
            <w:r w:rsidR="0055096F">
              <w:rPr>
                <w:noProof/>
              </w:rPr>
              <w:fldChar w:fldCharType="begin"/>
            </w:r>
            <w:r w:rsidR="0055096F">
              <w:rPr>
                <w:noProof/>
              </w:rPr>
              <w:instrText xml:space="preserve"> PAGEREF _Toc211441815 \h </w:instrText>
            </w:r>
            <w:r w:rsidR="0055096F">
              <w:rPr>
                <w:noProof/>
              </w:rPr>
            </w:r>
            <w:r w:rsidR="0055096F">
              <w:rPr>
                <w:noProof/>
              </w:rPr>
              <w:fldChar w:fldCharType="separate"/>
            </w:r>
            <w:r w:rsidR="00A7538E">
              <w:rPr>
                <w:noProof/>
              </w:rPr>
              <w:t>4</w:t>
            </w:r>
            <w:r w:rsidR="0055096F">
              <w:rPr>
                <w:noProof/>
              </w:rPr>
              <w:fldChar w:fldCharType="end"/>
            </w:r>
          </w:hyperlink>
        </w:p>
        <w:p w14:paraId="062CAD92" w14:textId="1D3A56F5" w:rsidR="0099369D" w:rsidRDefault="00E87337">
          <w:pPr>
            <w:pStyle w:val="TOC2"/>
            <w:tabs>
              <w:tab w:val="right" w:leader="dot" w:pos="9350"/>
            </w:tabs>
            <w:rPr>
              <w:rFonts w:asciiTheme="minorHAnsi" w:eastAsiaTheme="minorEastAsia" w:hAnsiTheme="minorHAnsi" w:cstheme="minorBidi"/>
              <w:noProof/>
              <w:color w:val="auto"/>
              <w:szCs w:val="22"/>
              <w:lang w:val="en-US" w:bidi="ar-SA"/>
            </w:rPr>
          </w:pPr>
          <w:hyperlink w:anchor="_Toc211441816" w:history="1">
            <w:r w:rsidR="0055096F">
              <w:rPr>
                <w:rStyle w:val="Hyperlink"/>
                <w:noProof/>
                <w:lang w:val="en-US"/>
              </w:rPr>
              <w:t>2.2 Control and Management of Type 2 Diabetes</w:t>
            </w:r>
            <w:r w:rsidR="0055096F">
              <w:rPr>
                <w:noProof/>
              </w:rPr>
              <w:tab/>
            </w:r>
            <w:r w:rsidR="0055096F">
              <w:rPr>
                <w:noProof/>
              </w:rPr>
              <w:fldChar w:fldCharType="begin"/>
            </w:r>
            <w:r w:rsidR="0055096F">
              <w:rPr>
                <w:noProof/>
              </w:rPr>
              <w:instrText xml:space="preserve"> PAGEREF _Toc211441816 \h </w:instrText>
            </w:r>
            <w:r w:rsidR="0055096F">
              <w:rPr>
                <w:noProof/>
              </w:rPr>
            </w:r>
            <w:r w:rsidR="0055096F">
              <w:rPr>
                <w:noProof/>
              </w:rPr>
              <w:fldChar w:fldCharType="separate"/>
            </w:r>
            <w:r w:rsidR="00A7538E">
              <w:rPr>
                <w:noProof/>
              </w:rPr>
              <w:t>5</w:t>
            </w:r>
            <w:r w:rsidR="0055096F">
              <w:rPr>
                <w:noProof/>
              </w:rPr>
              <w:fldChar w:fldCharType="end"/>
            </w:r>
          </w:hyperlink>
        </w:p>
        <w:p w14:paraId="7B0B7D9F" w14:textId="59D88D24" w:rsidR="0099369D" w:rsidRDefault="00E87337">
          <w:pPr>
            <w:pStyle w:val="TOC3"/>
            <w:tabs>
              <w:tab w:val="right" w:leader="dot" w:pos="9350"/>
            </w:tabs>
            <w:rPr>
              <w:rFonts w:asciiTheme="minorHAnsi" w:eastAsiaTheme="minorEastAsia" w:hAnsiTheme="minorHAnsi" w:cstheme="minorBidi"/>
              <w:noProof/>
              <w:color w:val="auto"/>
              <w:szCs w:val="22"/>
              <w:lang w:val="en-US" w:bidi="ar-SA"/>
            </w:rPr>
          </w:pPr>
          <w:hyperlink w:anchor="_Toc211441817" w:history="1">
            <w:r w:rsidR="0055096F">
              <w:rPr>
                <w:rStyle w:val="Hyperlink"/>
                <w:noProof/>
              </w:rPr>
              <w:t>Public Health Control Measures</w:t>
            </w:r>
            <w:r w:rsidR="0055096F">
              <w:rPr>
                <w:noProof/>
              </w:rPr>
              <w:tab/>
            </w:r>
            <w:r w:rsidR="0055096F">
              <w:rPr>
                <w:noProof/>
              </w:rPr>
              <w:fldChar w:fldCharType="begin"/>
            </w:r>
            <w:r w:rsidR="0055096F">
              <w:rPr>
                <w:noProof/>
              </w:rPr>
              <w:instrText xml:space="preserve"> PAGEREF _Toc211441817 \h </w:instrText>
            </w:r>
            <w:r w:rsidR="0055096F">
              <w:rPr>
                <w:noProof/>
              </w:rPr>
            </w:r>
            <w:r w:rsidR="0055096F">
              <w:rPr>
                <w:noProof/>
              </w:rPr>
              <w:fldChar w:fldCharType="separate"/>
            </w:r>
            <w:r w:rsidR="00A7538E">
              <w:rPr>
                <w:noProof/>
              </w:rPr>
              <w:t>5</w:t>
            </w:r>
            <w:r w:rsidR="0055096F">
              <w:rPr>
                <w:noProof/>
              </w:rPr>
              <w:fldChar w:fldCharType="end"/>
            </w:r>
          </w:hyperlink>
        </w:p>
        <w:p w14:paraId="02DF36D3" w14:textId="78D95212" w:rsidR="0099369D" w:rsidRDefault="00E87337">
          <w:pPr>
            <w:pStyle w:val="TOC3"/>
            <w:tabs>
              <w:tab w:val="right" w:leader="dot" w:pos="9350"/>
            </w:tabs>
            <w:rPr>
              <w:rFonts w:asciiTheme="minorHAnsi" w:eastAsiaTheme="minorEastAsia" w:hAnsiTheme="minorHAnsi" w:cstheme="minorBidi"/>
              <w:noProof/>
              <w:color w:val="auto"/>
              <w:szCs w:val="22"/>
              <w:lang w:val="en-US" w:bidi="ar-SA"/>
            </w:rPr>
          </w:pPr>
          <w:hyperlink w:anchor="_Toc211441818" w:history="1">
            <w:r w:rsidR="0055096F">
              <w:rPr>
                <w:rStyle w:val="Hyperlink"/>
                <w:noProof/>
              </w:rPr>
              <w:t>Treatment Approaches</w:t>
            </w:r>
            <w:r w:rsidR="0055096F">
              <w:rPr>
                <w:noProof/>
              </w:rPr>
              <w:tab/>
            </w:r>
            <w:r w:rsidR="0055096F">
              <w:rPr>
                <w:noProof/>
              </w:rPr>
              <w:fldChar w:fldCharType="begin"/>
            </w:r>
            <w:r w:rsidR="0055096F">
              <w:rPr>
                <w:noProof/>
              </w:rPr>
              <w:instrText xml:space="preserve"> PAGEREF _Toc211441818 \h </w:instrText>
            </w:r>
            <w:r w:rsidR="0055096F">
              <w:rPr>
                <w:noProof/>
              </w:rPr>
            </w:r>
            <w:r w:rsidR="0055096F">
              <w:rPr>
                <w:noProof/>
              </w:rPr>
              <w:fldChar w:fldCharType="separate"/>
            </w:r>
            <w:r w:rsidR="00A7538E">
              <w:rPr>
                <w:noProof/>
              </w:rPr>
              <w:t>5</w:t>
            </w:r>
            <w:r w:rsidR="0055096F">
              <w:rPr>
                <w:noProof/>
              </w:rPr>
              <w:fldChar w:fldCharType="end"/>
            </w:r>
          </w:hyperlink>
        </w:p>
        <w:p w14:paraId="4846EC15" w14:textId="03F573C3" w:rsidR="0099369D" w:rsidRDefault="00E87337">
          <w:pPr>
            <w:pStyle w:val="TOC3"/>
            <w:tabs>
              <w:tab w:val="right" w:leader="dot" w:pos="9350"/>
            </w:tabs>
            <w:rPr>
              <w:rFonts w:asciiTheme="minorHAnsi" w:eastAsiaTheme="minorEastAsia" w:hAnsiTheme="minorHAnsi" w:cstheme="minorBidi"/>
              <w:noProof/>
              <w:color w:val="auto"/>
              <w:szCs w:val="22"/>
              <w:lang w:val="en-US" w:bidi="ar-SA"/>
            </w:rPr>
          </w:pPr>
          <w:hyperlink w:anchor="_Toc211441819" w:history="1">
            <w:r w:rsidR="0055096F">
              <w:rPr>
                <w:rStyle w:val="Hyperlink"/>
                <w:noProof/>
              </w:rPr>
              <w:t>Policy Framework and Effectiveness</w:t>
            </w:r>
            <w:r w:rsidR="0055096F">
              <w:rPr>
                <w:noProof/>
              </w:rPr>
              <w:tab/>
            </w:r>
            <w:r w:rsidR="0055096F">
              <w:rPr>
                <w:noProof/>
              </w:rPr>
              <w:fldChar w:fldCharType="begin"/>
            </w:r>
            <w:r w:rsidR="0055096F">
              <w:rPr>
                <w:noProof/>
              </w:rPr>
              <w:instrText xml:space="preserve"> PAGEREF _Toc211441819 \h </w:instrText>
            </w:r>
            <w:r w:rsidR="0055096F">
              <w:rPr>
                <w:noProof/>
              </w:rPr>
            </w:r>
            <w:r w:rsidR="0055096F">
              <w:rPr>
                <w:noProof/>
              </w:rPr>
              <w:fldChar w:fldCharType="separate"/>
            </w:r>
            <w:r w:rsidR="00A7538E">
              <w:rPr>
                <w:noProof/>
              </w:rPr>
              <w:t>5</w:t>
            </w:r>
            <w:r w:rsidR="0055096F">
              <w:rPr>
                <w:noProof/>
              </w:rPr>
              <w:fldChar w:fldCharType="end"/>
            </w:r>
          </w:hyperlink>
        </w:p>
        <w:p w14:paraId="63DBBAA5" w14:textId="178875F1" w:rsidR="0099369D" w:rsidRDefault="00E87337">
          <w:pPr>
            <w:pStyle w:val="TOC2"/>
            <w:tabs>
              <w:tab w:val="right" w:leader="dot" w:pos="9350"/>
            </w:tabs>
            <w:rPr>
              <w:rFonts w:asciiTheme="minorHAnsi" w:eastAsiaTheme="minorEastAsia" w:hAnsiTheme="minorHAnsi" w:cstheme="minorBidi"/>
              <w:noProof/>
              <w:color w:val="auto"/>
              <w:szCs w:val="22"/>
              <w:lang w:val="en-US" w:bidi="ar-SA"/>
            </w:rPr>
          </w:pPr>
          <w:hyperlink w:anchor="_Toc211441820" w:history="1">
            <w:r w:rsidR="0055096F">
              <w:rPr>
                <w:rStyle w:val="Hyperlink"/>
                <w:noProof/>
                <w:lang w:val="en-US"/>
              </w:rPr>
              <w:t>2.3 Factors Influencing Health and Well-being</w:t>
            </w:r>
            <w:r w:rsidR="0055096F">
              <w:rPr>
                <w:noProof/>
              </w:rPr>
              <w:tab/>
            </w:r>
            <w:r w:rsidR="0055096F">
              <w:rPr>
                <w:noProof/>
              </w:rPr>
              <w:fldChar w:fldCharType="begin"/>
            </w:r>
            <w:r w:rsidR="0055096F">
              <w:rPr>
                <w:noProof/>
              </w:rPr>
              <w:instrText xml:space="preserve"> PAGEREF _Toc211441820 \h </w:instrText>
            </w:r>
            <w:r w:rsidR="0055096F">
              <w:rPr>
                <w:noProof/>
              </w:rPr>
            </w:r>
            <w:r w:rsidR="0055096F">
              <w:rPr>
                <w:noProof/>
              </w:rPr>
              <w:fldChar w:fldCharType="separate"/>
            </w:r>
            <w:r w:rsidR="00A7538E">
              <w:rPr>
                <w:noProof/>
              </w:rPr>
              <w:t>6</w:t>
            </w:r>
            <w:r w:rsidR="0055096F">
              <w:rPr>
                <w:noProof/>
              </w:rPr>
              <w:fldChar w:fldCharType="end"/>
            </w:r>
          </w:hyperlink>
        </w:p>
        <w:p w14:paraId="7F9434B0" w14:textId="683461AB" w:rsidR="0099369D" w:rsidRDefault="00E87337">
          <w:pPr>
            <w:pStyle w:val="TOC1"/>
            <w:tabs>
              <w:tab w:val="right" w:leader="dot" w:pos="9350"/>
            </w:tabs>
            <w:rPr>
              <w:rFonts w:asciiTheme="minorHAnsi" w:eastAsiaTheme="minorEastAsia" w:hAnsiTheme="minorHAnsi" w:cstheme="minorBidi"/>
              <w:noProof/>
              <w:color w:val="auto"/>
              <w:szCs w:val="22"/>
              <w:lang w:val="en-US" w:bidi="ar-SA"/>
            </w:rPr>
          </w:pPr>
          <w:hyperlink w:anchor="_Toc211441821" w:history="1">
            <w:r w:rsidR="0055096F">
              <w:rPr>
                <w:rStyle w:val="Hyperlink"/>
                <w:noProof/>
              </w:rPr>
              <w:t>3. Conclusion</w:t>
            </w:r>
            <w:r w:rsidR="0055096F">
              <w:rPr>
                <w:noProof/>
              </w:rPr>
              <w:tab/>
            </w:r>
            <w:r w:rsidR="0055096F">
              <w:rPr>
                <w:noProof/>
              </w:rPr>
              <w:fldChar w:fldCharType="begin"/>
            </w:r>
            <w:r w:rsidR="0055096F">
              <w:rPr>
                <w:noProof/>
              </w:rPr>
              <w:instrText xml:space="preserve"> PAGEREF _Toc211441821 \h </w:instrText>
            </w:r>
            <w:r w:rsidR="0055096F">
              <w:rPr>
                <w:noProof/>
              </w:rPr>
            </w:r>
            <w:r w:rsidR="0055096F">
              <w:rPr>
                <w:noProof/>
              </w:rPr>
              <w:fldChar w:fldCharType="separate"/>
            </w:r>
            <w:r w:rsidR="00A7538E">
              <w:rPr>
                <w:noProof/>
              </w:rPr>
              <w:t>8</w:t>
            </w:r>
            <w:r w:rsidR="0055096F">
              <w:rPr>
                <w:noProof/>
              </w:rPr>
              <w:fldChar w:fldCharType="end"/>
            </w:r>
          </w:hyperlink>
        </w:p>
        <w:p w14:paraId="73B64197" w14:textId="73F20079" w:rsidR="0099369D" w:rsidRDefault="00E87337">
          <w:pPr>
            <w:pStyle w:val="TOC1"/>
            <w:tabs>
              <w:tab w:val="right" w:leader="dot" w:pos="9350"/>
            </w:tabs>
            <w:rPr>
              <w:rFonts w:asciiTheme="minorHAnsi" w:eastAsiaTheme="minorEastAsia" w:hAnsiTheme="minorHAnsi" w:cstheme="minorBidi"/>
              <w:noProof/>
              <w:color w:val="auto"/>
              <w:szCs w:val="22"/>
              <w:lang w:val="en-US" w:bidi="ar-SA"/>
            </w:rPr>
          </w:pPr>
          <w:hyperlink w:anchor="_Toc211441822" w:history="1">
            <w:r w:rsidR="0055096F">
              <w:rPr>
                <w:rStyle w:val="Hyperlink"/>
                <w:noProof/>
              </w:rPr>
              <w:t>4. Reference List</w:t>
            </w:r>
            <w:r w:rsidR="0055096F">
              <w:rPr>
                <w:noProof/>
              </w:rPr>
              <w:tab/>
            </w:r>
            <w:r w:rsidR="0055096F">
              <w:rPr>
                <w:noProof/>
              </w:rPr>
              <w:fldChar w:fldCharType="begin"/>
            </w:r>
            <w:r w:rsidR="0055096F">
              <w:rPr>
                <w:noProof/>
              </w:rPr>
              <w:instrText xml:space="preserve"> PAGEREF _Toc211441822 \h </w:instrText>
            </w:r>
            <w:r w:rsidR="0055096F">
              <w:rPr>
                <w:noProof/>
              </w:rPr>
            </w:r>
            <w:r w:rsidR="0055096F">
              <w:rPr>
                <w:noProof/>
              </w:rPr>
              <w:fldChar w:fldCharType="separate"/>
            </w:r>
            <w:r w:rsidR="00A7538E">
              <w:rPr>
                <w:noProof/>
              </w:rPr>
              <w:t>9</w:t>
            </w:r>
            <w:r w:rsidR="0055096F">
              <w:rPr>
                <w:noProof/>
              </w:rPr>
              <w:fldChar w:fldCharType="end"/>
            </w:r>
          </w:hyperlink>
        </w:p>
        <w:p w14:paraId="31FF2F39" w14:textId="77777777" w:rsidR="0099369D" w:rsidRDefault="0055096F">
          <w:r>
            <w:rPr>
              <w:b/>
              <w:bCs/>
            </w:rPr>
            <w:fldChar w:fldCharType="end"/>
          </w:r>
        </w:p>
      </w:sdtContent>
    </w:sdt>
    <w:p w14:paraId="25C370CE" w14:textId="77777777" w:rsidR="0099369D" w:rsidRDefault="0055096F">
      <w:pPr>
        <w:spacing w:line="276" w:lineRule="auto"/>
        <w:jc w:val="left"/>
        <w:rPr>
          <w:b/>
          <w:bCs/>
          <w:lang w:val="en-US"/>
        </w:rPr>
      </w:pPr>
      <w:r>
        <w:rPr>
          <w:b/>
          <w:bCs/>
          <w:lang w:val="en-US"/>
        </w:rPr>
        <w:br w:type="page"/>
      </w:r>
    </w:p>
    <w:p w14:paraId="55CB532B" w14:textId="77777777" w:rsidR="0099369D" w:rsidRDefault="0055096F">
      <w:pPr>
        <w:pStyle w:val="Heading1"/>
      </w:pPr>
      <w:bookmarkStart w:id="1" w:name="_Toc211441810"/>
      <w:r>
        <w:lastRenderedPageBreak/>
        <w:t>1. Introduction</w:t>
      </w:r>
      <w:bookmarkEnd w:id="1"/>
    </w:p>
    <w:p w14:paraId="74428BA2" w14:textId="1339AC37" w:rsidR="0099369D" w:rsidRDefault="0055096F">
      <w:pPr>
        <w:rPr>
          <w:lang w:val="en-US"/>
        </w:rPr>
      </w:pPr>
      <w:r>
        <w:rPr>
          <w:lang w:val="en-US"/>
        </w:rPr>
        <w:t>Type 2 Diabetes Mellitus (T2DM) is a long-lasting metabolic disease in which the body either becomes unresponsive to insulin or secretes inadequate quantities, causing a high level of blood sugar (</w:t>
      </w:r>
      <w:r>
        <w:t>NCBI, 2023</w:t>
      </w:r>
      <w:r>
        <w:rPr>
          <w:lang w:val="en-US"/>
        </w:rPr>
        <w:t xml:space="preserve">). Symptoms typical of it are frequent urination, excessive thirst, fatigue, and blurred vision. The World Health </w:t>
      </w:r>
      <w:proofErr w:type="spellStart"/>
      <w:r>
        <w:rPr>
          <w:lang w:val="en-US"/>
        </w:rPr>
        <w:t>Organisation</w:t>
      </w:r>
      <w:proofErr w:type="spellEnd"/>
      <w:r>
        <w:rPr>
          <w:lang w:val="en-US"/>
        </w:rPr>
        <w:t xml:space="preserve"> indicates that there are more than 460 million adults in the world who are affected by diabetes, and approximately 90% of them have T2DM (</w:t>
      </w:r>
      <w:r>
        <w:t>WHO, 2023</w:t>
      </w:r>
      <w:r>
        <w:rPr>
          <w:lang w:val="en-US"/>
        </w:rPr>
        <w:t>). In the UK, the number of people diagnosed is approximately 4.3 million, and the number of those who are undiagnosed is also 850,000</w:t>
      </w:r>
      <w:r w:rsidR="00192C03">
        <w:rPr>
          <w:lang w:val="en-US"/>
        </w:rPr>
        <w:t xml:space="preserve"> </w:t>
      </w:r>
      <w:r w:rsidR="00192C03" w:rsidRPr="00A7538E">
        <w:rPr>
          <w:color w:val="auto"/>
          <w:lang w:val="en-US"/>
        </w:rPr>
        <w:t>(drwf.org, 2025)</w:t>
      </w:r>
      <w:r w:rsidR="00574430" w:rsidRPr="00A7538E">
        <w:rPr>
          <w:color w:val="auto"/>
          <w:lang w:val="en-US"/>
        </w:rPr>
        <w:t xml:space="preserve"> (</w:t>
      </w:r>
      <w:proofErr w:type="spellStart"/>
      <w:r w:rsidR="00574430" w:rsidRPr="00A7538E">
        <w:rPr>
          <w:color w:val="auto"/>
          <w:lang w:val="en-US"/>
        </w:rPr>
        <w:t>futurehealth</w:t>
      </w:r>
      <w:proofErr w:type="spellEnd"/>
      <w:r w:rsidR="00574430" w:rsidRPr="00A7538E">
        <w:rPr>
          <w:color w:val="auto"/>
          <w:lang w:val="en-US"/>
        </w:rPr>
        <w:t>, 2025)</w:t>
      </w:r>
      <w:r w:rsidRPr="00A7538E">
        <w:rPr>
          <w:color w:val="auto"/>
          <w:lang w:val="en-US"/>
        </w:rPr>
        <w:t xml:space="preserve">. </w:t>
      </w:r>
      <w:r>
        <w:rPr>
          <w:lang w:val="en-US"/>
        </w:rPr>
        <w:t>The condition presents a significant threat to the overall health of the population as it is closely associated with obesity, sedentary living and the ageing population, which causes the associated healthcare implications and the imposed strain on the NHS.</w:t>
      </w:r>
    </w:p>
    <w:p w14:paraId="37F3BF16" w14:textId="77777777" w:rsidR="0099369D" w:rsidRDefault="0055096F">
      <w:pPr>
        <w:spacing w:line="276" w:lineRule="auto"/>
        <w:jc w:val="left"/>
        <w:rPr>
          <w:b/>
          <w:bCs/>
          <w:lang w:val="en-US"/>
        </w:rPr>
      </w:pPr>
      <w:r>
        <w:rPr>
          <w:b/>
          <w:bCs/>
          <w:lang w:val="en-US"/>
        </w:rPr>
        <w:br w:type="page"/>
      </w:r>
    </w:p>
    <w:p w14:paraId="1CF684F0" w14:textId="77777777" w:rsidR="0099369D" w:rsidRDefault="0055096F">
      <w:pPr>
        <w:pStyle w:val="Heading1"/>
      </w:pPr>
      <w:bookmarkStart w:id="2" w:name="_Toc211441811"/>
      <w:r>
        <w:lastRenderedPageBreak/>
        <w:t>2. Main Body</w:t>
      </w:r>
      <w:bookmarkEnd w:id="2"/>
    </w:p>
    <w:p w14:paraId="3856ABC7" w14:textId="77777777" w:rsidR="0099369D" w:rsidRDefault="0055096F">
      <w:pPr>
        <w:pStyle w:val="Heading2"/>
        <w:rPr>
          <w:lang w:val="en-US"/>
        </w:rPr>
      </w:pPr>
      <w:bookmarkStart w:id="3" w:name="_Toc211441812"/>
      <w:r>
        <w:rPr>
          <w:lang w:val="en-US"/>
        </w:rPr>
        <w:t>2.1 Consequences of Type 2 Diabetes for the Community and NHS</w:t>
      </w:r>
      <w:bookmarkEnd w:id="3"/>
    </w:p>
    <w:p w14:paraId="7008BACC" w14:textId="77777777" w:rsidR="0099369D" w:rsidRDefault="0055096F">
      <w:pPr>
        <w:pStyle w:val="Heading3"/>
      </w:pPr>
      <w:bookmarkStart w:id="4" w:name="_Toc211441813"/>
      <w:r>
        <w:t>Community Impact</w:t>
      </w:r>
      <w:bookmarkEnd w:id="4"/>
    </w:p>
    <w:p w14:paraId="19F30538" w14:textId="7A1BC67F" w:rsidR="0099369D" w:rsidRDefault="0055096F">
      <w:pPr>
        <w:rPr>
          <w:lang w:val="en-US"/>
        </w:rPr>
      </w:pPr>
      <w:r>
        <w:rPr>
          <w:lang w:val="en-US"/>
        </w:rPr>
        <w:t xml:space="preserve">Type 2 Diabetes Mellitus (T2DM) has a significant impact on individuals and communities. It can cause a poor quality of life, since it can be </w:t>
      </w:r>
      <w:proofErr w:type="spellStart"/>
      <w:r>
        <w:rPr>
          <w:lang w:val="en-US"/>
        </w:rPr>
        <w:t>characterised</w:t>
      </w:r>
      <w:proofErr w:type="spellEnd"/>
      <w:r>
        <w:rPr>
          <w:lang w:val="en-US"/>
        </w:rPr>
        <w:t xml:space="preserve"> by persistent symptoms including fatigue, nerve pain, and visual impairment, which restrict movement and other day-to-day activities (</w:t>
      </w:r>
      <w:proofErr w:type="spellStart"/>
      <w:r>
        <w:rPr>
          <w:shd w:val="clear" w:color="auto" w:fill="FFFFFF"/>
        </w:rPr>
        <w:t>Kuo</w:t>
      </w:r>
      <w:proofErr w:type="spellEnd"/>
      <w:r>
        <w:rPr>
          <w:shd w:val="clear" w:color="auto" w:fill="FFFFFF"/>
        </w:rPr>
        <w:t>, Huang and Garcia, 2022</w:t>
      </w:r>
      <w:r>
        <w:rPr>
          <w:lang w:val="en-US"/>
        </w:rPr>
        <w:t xml:space="preserve">). Social isolation and absenteeism may also be experienced as the condition also results in stigma and poor productivity at work and family. </w:t>
      </w:r>
    </w:p>
    <w:p w14:paraId="1B1BF868" w14:textId="77777777" w:rsidR="0099369D" w:rsidRDefault="0055096F">
      <w:pPr>
        <w:pStyle w:val="Heading3"/>
      </w:pPr>
      <w:bookmarkStart w:id="5" w:name="_Toc211441814"/>
      <w:r>
        <w:t>Economic Impact</w:t>
      </w:r>
      <w:bookmarkEnd w:id="5"/>
    </w:p>
    <w:p w14:paraId="1B157710" w14:textId="323F3439" w:rsidR="0099369D" w:rsidRDefault="0055096F">
      <w:pPr>
        <w:rPr>
          <w:lang w:val="en-US"/>
        </w:rPr>
      </w:pPr>
      <w:r>
        <w:rPr>
          <w:lang w:val="en-US"/>
        </w:rPr>
        <w:t>Economically, T2DM causes significant expenses in the form of low productivity, absenteeism and premature retirement because of kidney failure or heart disorder as a result of the complications. Lost working hours are detrimental to employers and the economy in general, whereas healthcare systems have to deal with lifelong diseases. About 10 per cent of the entire NHS expenditure of about PS10 billion every year is dedicated to the treatment of diabetes, and 80 per cent of such spending is on preventable complications such as amputations, heart diseases, and stroke (</w:t>
      </w:r>
      <w:r>
        <w:t>NHS England, 2022</w:t>
      </w:r>
      <w:r>
        <w:rPr>
          <w:lang w:val="en-US"/>
        </w:rPr>
        <w:t xml:space="preserve">). Besides, the indirect economic cost of burden does not solely lie in the healthcare expenditures because it also involves the social care expenditure and the welfare benefits to those who can no longer work. Medication, transportation to medical appointments, and special dieting are other financial burdens to families that are caused by the condition. </w:t>
      </w:r>
    </w:p>
    <w:p w14:paraId="21856D04" w14:textId="77777777" w:rsidR="0099369D" w:rsidRDefault="0055096F">
      <w:pPr>
        <w:pStyle w:val="Heading3"/>
      </w:pPr>
      <w:bookmarkStart w:id="6" w:name="_Toc211441815"/>
      <w:r>
        <w:t>NHS Impact, Morbidity, and Mortality</w:t>
      </w:r>
      <w:bookmarkEnd w:id="6"/>
    </w:p>
    <w:p w14:paraId="16B401E1" w14:textId="77777777" w:rsidR="0099369D" w:rsidRDefault="0055096F">
      <w:pPr>
        <w:rPr>
          <w:lang w:val="en-US"/>
        </w:rPr>
      </w:pPr>
      <w:r>
        <w:rPr>
          <w:lang w:val="en-US"/>
        </w:rPr>
        <w:t xml:space="preserve">The NHS has witnessed pressure from the expanding demand in terms of primary and secondary care to treat and monitor diabetes patients. Increased cases cause increased expenses in terms of insulin, dialysis and </w:t>
      </w:r>
      <w:proofErr w:type="spellStart"/>
      <w:r>
        <w:rPr>
          <w:lang w:val="en-US"/>
        </w:rPr>
        <w:t>hospitalisation</w:t>
      </w:r>
      <w:proofErr w:type="spellEnd"/>
      <w:r>
        <w:rPr>
          <w:lang w:val="en-US"/>
        </w:rPr>
        <w:t>. However, individuals with diabetes were found to die twice the rate of cardiovascular disease compared to other individuals. Moreover, diabetes is also known to cause more than 170 amputations and 500 strokes per week in the UK, which puts a lot of stress on the hospital facilities and the long-term care facilities (</w:t>
      </w:r>
      <w:r>
        <w:t>NHS England, 2022</w:t>
      </w:r>
      <w:r>
        <w:rPr>
          <w:lang w:val="en-US"/>
        </w:rPr>
        <w:t>). These results highlight the urgent importance of effective prevention, early diagnosis, and population health in order to reduce the increasing importance of T2DM on individuals and healthcare resources.</w:t>
      </w:r>
    </w:p>
    <w:p w14:paraId="12B8DCE6" w14:textId="77777777" w:rsidR="0099369D" w:rsidRDefault="0055096F">
      <w:pPr>
        <w:pStyle w:val="Heading2"/>
        <w:rPr>
          <w:lang w:val="en-US"/>
        </w:rPr>
      </w:pPr>
      <w:bookmarkStart w:id="7" w:name="_Toc211441816"/>
      <w:r>
        <w:rPr>
          <w:lang w:val="en-US"/>
        </w:rPr>
        <w:lastRenderedPageBreak/>
        <w:t>2.2 Control and Management of Type 2 Diabetes</w:t>
      </w:r>
      <w:bookmarkEnd w:id="7"/>
    </w:p>
    <w:p w14:paraId="58FF13F5" w14:textId="77777777" w:rsidR="0099369D" w:rsidRDefault="0055096F">
      <w:pPr>
        <w:pStyle w:val="Heading3"/>
      </w:pPr>
      <w:bookmarkStart w:id="8" w:name="_Toc211441817"/>
      <w:r>
        <w:t>Public Health Control Measures</w:t>
      </w:r>
      <w:bookmarkEnd w:id="8"/>
    </w:p>
    <w:p w14:paraId="4CAD84E1" w14:textId="77777777" w:rsidR="0099369D" w:rsidRDefault="0055096F">
      <w:pPr>
        <w:rPr>
          <w:lang w:val="en-US"/>
        </w:rPr>
      </w:pPr>
      <w:r>
        <w:rPr>
          <w:lang w:val="en-US"/>
        </w:rPr>
        <w:t xml:space="preserve">There is a need to adequately manage Type 2 Diabetes Mellitus (T2DM) using robust public health measures. The NHS Diabetes Prevention </w:t>
      </w:r>
      <w:proofErr w:type="spellStart"/>
      <w:r>
        <w:rPr>
          <w:lang w:val="en-US"/>
        </w:rPr>
        <w:t>Programme</w:t>
      </w:r>
      <w:proofErr w:type="spellEnd"/>
      <w:r>
        <w:rPr>
          <w:lang w:val="en-US"/>
        </w:rPr>
        <w:t xml:space="preserve"> (NDPP) was implemented in 2016 and targets people who are at extreme risk of the condition by promoting the adoption of lifestyle changes, including weight control, physical activity, and healthy dieting. The NDPP has been referred to more than 1.3 million individuals, and the participants have an average weight loss of 3.6 kilograms, which proves that it has a preventive purpose (</w:t>
      </w:r>
      <w:r>
        <w:t>NCBI, 2022</w:t>
      </w:r>
      <w:r>
        <w:rPr>
          <w:lang w:val="en-US"/>
        </w:rPr>
        <w:t>). Moreover, screening and early diagnosis of prediabetes using primary care services will enable healthcare service providers to detect prediabetes and put much-needed interventions in place. The public campaigns, including but not limited to One You and Better Health, are promoting healthy lifestyles, spreading national awareness of health matters (diet, exercise, and smoking cessation).</w:t>
      </w:r>
    </w:p>
    <w:p w14:paraId="37CF94A4" w14:textId="77777777" w:rsidR="0099369D" w:rsidRDefault="0055096F">
      <w:pPr>
        <w:pStyle w:val="Heading3"/>
      </w:pPr>
      <w:bookmarkStart w:id="9" w:name="_Toc211441818"/>
      <w:r>
        <w:t>Treatment Approaches</w:t>
      </w:r>
      <w:bookmarkEnd w:id="9"/>
    </w:p>
    <w:p w14:paraId="31861672" w14:textId="77777777" w:rsidR="0099369D" w:rsidRDefault="0055096F">
      <w:pPr>
        <w:rPr>
          <w:lang w:val="en-US"/>
        </w:rPr>
      </w:pPr>
      <w:r>
        <w:rPr>
          <w:lang w:val="en-US"/>
        </w:rPr>
        <w:t>T2DM management incorporates both the pharmacological and non-pharmacological methods of treatment. Metformin is usually used as first-line therapy to enhance insulin sensitivity to increase insulin sensitivity whereas in some cases, the insulin treatment is a necessity as the disease advances (</w:t>
      </w:r>
      <w:proofErr w:type="spellStart"/>
      <w:r>
        <w:rPr>
          <w:shd w:val="clear" w:color="auto" w:fill="FFFFFF"/>
        </w:rPr>
        <w:t>Agede</w:t>
      </w:r>
      <w:proofErr w:type="spellEnd"/>
      <w:r>
        <w:rPr>
          <w:shd w:val="clear" w:color="auto" w:fill="FFFFFF"/>
        </w:rPr>
        <w:t>, 2024</w:t>
      </w:r>
      <w:r>
        <w:rPr>
          <w:lang w:val="en-US"/>
        </w:rPr>
        <w:t xml:space="preserve">). Together with the medication, self-management education makes patients able to control the amount of glucose in the blood, adhere to diet plans as well and perform regular exercises. Support groups and diet workshops form part of the community-based </w:t>
      </w:r>
      <w:proofErr w:type="spellStart"/>
      <w:r>
        <w:rPr>
          <w:lang w:val="en-US"/>
        </w:rPr>
        <w:t>programmes</w:t>
      </w:r>
      <w:proofErr w:type="spellEnd"/>
      <w:r>
        <w:rPr>
          <w:lang w:val="en-US"/>
        </w:rPr>
        <w:t xml:space="preserve"> that are important in maintaining long-term </w:t>
      </w:r>
      <w:proofErr w:type="spellStart"/>
      <w:r>
        <w:rPr>
          <w:lang w:val="en-US"/>
        </w:rPr>
        <w:t>behavioural</w:t>
      </w:r>
      <w:proofErr w:type="spellEnd"/>
      <w:r>
        <w:rPr>
          <w:lang w:val="en-US"/>
        </w:rPr>
        <w:t xml:space="preserve"> changes and increasing quality of life.</w:t>
      </w:r>
    </w:p>
    <w:p w14:paraId="0017D61B" w14:textId="77777777" w:rsidR="0099369D" w:rsidRDefault="0055096F">
      <w:pPr>
        <w:pStyle w:val="Heading3"/>
      </w:pPr>
      <w:bookmarkStart w:id="10" w:name="_Toc211441819"/>
      <w:r>
        <w:t>Policy Framework and Effectiveness</w:t>
      </w:r>
      <w:bookmarkEnd w:id="10"/>
    </w:p>
    <w:p w14:paraId="2D7D7040" w14:textId="1483AC99" w:rsidR="0099369D" w:rsidRDefault="0055096F">
      <w:pPr>
        <w:rPr>
          <w:lang w:val="en-US"/>
        </w:rPr>
      </w:pPr>
      <w:r>
        <w:rPr>
          <w:lang w:val="en-US"/>
        </w:rPr>
        <w:t xml:space="preserve">In the NHS Long Term Plan, the prevention of diabetes and its early management is </w:t>
      </w:r>
      <w:proofErr w:type="spellStart"/>
      <w:r>
        <w:rPr>
          <w:lang w:val="en-US"/>
        </w:rPr>
        <w:t>prioritised</w:t>
      </w:r>
      <w:proofErr w:type="spellEnd"/>
      <w:r>
        <w:rPr>
          <w:lang w:val="en-US"/>
        </w:rPr>
        <w:t xml:space="preserve"> as a part of the main directions, combining primary, community, the specialist care (</w:t>
      </w:r>
      <w:r>
        <w:rPr>
          <w:shd w:val="clear" w:color="auto" w:fill="FFFFFF"/>
        </w:rPr>
        <w:t>Sachar, Breslin and Ng, 2023</w:t>
      </w:r>
      <w:r>
        <w:rPr>
          <w:lang w:val="en-US"/>
        </w:rPr>
        <w:t xml:space="preserve">). Predominantly, Public Health England campaigns have also led to lessening obesity and improving equity in health. </w:t>
      </w:r>
      <w:r w:rsidR="008134D5" w:rsidRPr="00A7538E">
        <w:rPr>
          <w:rFonts w:cs="Arial"/>
          <w:color w:val="auto"/>
          <w:shd w:val="clear" w:color="auto" w:fill="FFFFFF"/>
        </w:rPr>
        <w:t xml:space="preserve">Obesity is one of the strongest risk factors for Type 2 Diabetes because excess body fat—especially around the abdomen—causes insulin resistance, making it harder for the body to regulate blood glucose. This increases the likelihood of developing diabetes and accelerates complications such as heart disease and stroke. Therefore, reducing obesity is essential for lowering diabetes risk and improving long-term health outcomes. </w:t>
      </w:r>
      <w:r>
        <w:rPr>
          <w:lang w:val="en-US"/>
        </w:rPr>
        <w:t xml:space="preserve">Nevertheless, irrespective of these interventions, there are still hurdles in the process </w:t>
      </w:r>
      <w:r>
        <w:rPr>
          <w:lang w:val="en-US"/>
        </w:rPr>
        <w:lastRenderedPageBreak/>
        <w:t xml:space="preserve">of making lasting </w:t>
      </w:r>
      <w:proofErr w:type="spellStart"/>
      <w:r>
        <w:rPr>
          <w:lang w:val="en-US"/>
        </w:rPr>
        <w:t>behavioural</w:t>
      </w:r>
      <w:proofErr w:type="spellEnd"/>
      <w:r>
        <w:rPr>
          <w:lang w:val="en-US"/>
        </w:rPr>
        <w:t xml:space="preserve"> change and especially among the less privileged in society. The level of adherence to lifestyle interventions is not consistent, and the lack of regional equality influences the quality of access to support services. Thus, even though the existing strategies have </w:t>
      </w:r>
      <w:proofErr w:type="spellStart"/>
      <w:r>
        <w:rPr>
          <w:lang w:val="en-US"/>
        </w:rPr>
        <w:t>minimised</w:t>
      </w:r>
      <w:proofErr w:type="spellEnd"/>
      <w:r>
        <w:rPr>
          <w:lang w:val="en-US"/>
        </w:rPr>
        <w:t xml:space="preserve"> complications and raised awareness, community engagement, culturally-focused interventions, and digital health technologies are the key to a higher likelihood of better results in controlling diabetes over time and alleviating the pressure on the NHS.</w:t>
      </w:r>
    </w:p>
    <w:p w14:paraId="404801B2" w14:textId="77777777" w:rsidR="0099369D" w:rsidRDefault="0055096F">
      <w:pPr>
        <w:pStyle w:val="Heading2"/>
        <w:rPr>
          <w:lang w:val="en-US"/>
        </w:rPr>
      </w:pPr>
      <w:bookmarkStart w:id="11" w:name="_Toc211441820"/>
      <w:r>
        <w:rPr>
          <w:lang w:val="en-US"/>
        </w:rPr>
        <w:t>2.3 Factors Influencing Health and Well-being</w:t>
      </w:r>
      <w:bookmarkEnd w:id="11"/>
    </w:p>
    <w:p w14:paraId="2575E4DB" w14:textId="77777777" w:rsidR="0099369D" w:rsidRDefault="0055096F">
      <w:pPr>
        <w:rPr>
          <w:lang w:val="en-US"/>
        </w:rPr>
      </w:pPr>
      <w:r>
        <w:rPr>
          <w:b/>
          <w:i/>
          <w:lang w:val="en-US"/>
        </w:rPr>
        <w:t>Biological Factors:</w:t>
      </w:r>
      <w:r>
        <w:rPr>
          <w:lang w:val="en-US"/>
        </w:rPr>
        <w:t xml:space="preserve"> There are various biological reasons which lead to the emergence of Type 2 Diabetes Mellitus (T2DM). Old age leads to the risk of insulin resistance, and the genetic predisposition is high when one of the parents is diagnosed with diabetes. Some ethnic communities, especially South Asian, African-Caribbean and Black African peoples, are twice or even four times more vulnerable to developing T2DM in comparison with White British people (</w:t>
      </w:r>
      <w:r>
        <w:t>NCBI, 2021</w:t>
      </w:r>
      <w:r>
        <w:rPr>
          <w:lang w:val="en-US"/>
        </w:rPr>
        <w:t>). The intervention of these biological tendencies with those of the environment and lifestyles makes the whole risk.</w:t>
      </w:r>
    </w:p>
    <w:p w14:paraId="36D95B35" w14:textId="77777777" w:rsidR="0099369D" w:rsidRDefault="0055096F">
      <w:pPr>
        <w:rPr>
          <w:lang w:val="en-US"/>
        </w:rPr>
      </w:pPr>
      <w:r>
        <w:rPr>
          <w:b/>
          <w:i/>
          <w:lang w:val="en-US"/>
        </w:rPr>
        <w:t xml:space="preserve">Lifestyle and </w:t>
      </w:r>
      <w:proofErr w:type="spellStart"/>
      <w:r>
        <w:rPr>
          <w:b/>
          <w:i/>
          <w:lang w:val="en-US"/>
        </w:rPr>
        <w:t>Behavioural</w:t>
      </w:r>
      <w:proofErr w:type="spellEnd"/>
      <w:r>
        <w:rPr>
          <w:b/>
          <w:i/>
          <w:lang w:val="en-US"/>
        </w:rPr>
        <w:t xml:space="preserve"> Factors:</w:t>
      </w:r>
      <w:r>
        <w:rPr>
          <w:lang w:val="en-US"/>
        </w:rPr>
        <w:t xml:space="preserve"> Unhealthy lifestyle </w:t>
      </w:r>
      <w:proofErr w:type="spellStart"/>
      <w:r>
        <w:rPr>
          <w:lang w:val="en-US"/>
        </w:rPr>
        <w:t>behaviours</w:t>
      </w:r>
      <w:proofErr w:type="spellEnd"/>
      <w:r>
        <w:rPr>
          <w:lang w:val="en-US"/>
        </w:rPr>
        <w:t xml:space="preserve"> are considered to be some of the best predictors of T2DM. Consumption of foods rich in refined sugars, saturated fats and processed foods causes obesity, which is a significant cause of insulin resistance. Other causes of this are physical inactivity, which diminishes energy expenditure by inducing sedentary work and viewing screen-based leisure activities. Cases of cardiovascular complications are also increased by smoking and excessive consumption of alcohol. Statistical data of the UK population demonstrates that approximately 63 per cent of adults over 18 years old in the country are overweight and obese, which has a direct impact on the prevalence of diabetes (</w:t>
      </w:r>
      <w:r>
        <w:t>NHS Digital, 2022</w:t>
      </w:r>
      <w:r>
        <w:rPr>
          <w:lang w:val="en-US"/>
        </w:rPr>
        <w:t>).</w:t>
      </w:r>
    </w:p>
    <w:p w14:paraId="4B8CDC31" w14:textId="77777777" w:rsidR="0099369D" w:rsidRDefault="0055096F">
      <w:pPr>
        <w:rPr>
          <w:lang w:val="en-US"/>
        </w:rPr>
      </w:pPr>
      <w:r>
        <w:rPr>
          <w:b/>
          <w:i/>
          <w:lang w:val="en-US"/>
        </w:rPr>
        <w:t>Socioeconomic and Environmental Determinants:</w:t>
      </w:r>
      <w:r>
        <w:rPr>
          <w:lang w:val="en-US"/>
        </w:rPr>
        <w:t xml:space="preserve"> Access to healthy and nutritious food, a safe area to exercise, and health care services are often restricted due to low income and education, which supports health inequalities (</w:t>
      </w:r>
      <w:r>
        <w:rPr>
          <w:shd w:val="clear" w:color="auto" w:fill="FFFFFF"/>
        </w:rPr>
        <w:t>Lane and Davis, 2022</w:t>
      </w:r>
      <w:r>
        <w:rPr>
          <w:lang w:val="en-US"/>
        </w:rPr>
        <w:t>). The city boom and intensive food advertisement are encouraging poor diets, whereas the lack of green and recreational areas is a deterrent to physical exercise.</w:t>
      </w:r>
    </w:p>
    <w:p w14:paraId="75E818C4" w14:textId="77777777" w:rsidR="0099369D" w:rsidRDefault="0055096F">
      <w:pPr>
        <w:rPr>
          <w:lang w:val="en-US"/>
        </w:rPr>
      </w:pPr>
      <w:r>
        <w:rPr>
          <w:b/>
          <w:i/>
          <w:lang w:val="en-US"/>
        </w:rPr>
        <w:t>Psychological and Social Effects:</w:t>
      </w:r>
      <w:r>
        <w:rPr>
          <w:lang w:val="en-US"/>
        </w:rPr>
        <w:t xml:space="preserve"> A person with T2DM may experience stress, anxiety, and depression, and these conditions decrease the levels of self-management and treatment </w:t>
      </w:r>
      <w:r>
        <w:rPr>
          <w:lang w:val="en-US"/>
        </w:rPr>
        <w:lastRenderedPageBreak/>
        <w:t>adherence. Emotional stress due to caregiving and financial impacts (which reduce well-being) may be experienced within families.</w:t>
      </w:r>
    </w:p>
    <w:p w14:paraId="640B16A7" w14:textId="32C5733A" w:rsidR="0099369D" w:rsidRDefault="0055096F">
      <w:pPr>
        <w:rPr>
          <w:lang w:val="en-US"/>
        </w:rPr>
      </w:pPr>
      <w:r>
        <w:rPr>
          <w:b/>
          <w:i/>
          <w:lang w:val="en-US"/>
        </w:rPr>
        <w:t>Interlinking Impacts:</w:t>
      </w:r>
      <w:r>
        <w:rPr>
          <w:lang w:val="en-US"/>
        </w:rPr>
        <w:t xml:space="preserve"> These are biological, </w:t>
      </w:r>
      <w:proofErr w:type="spellStart"/>
      <w:r>
        <w:rPr>
          <w:lang w:val="en-US"/>
        </w:rPr>
        <w:t>behavioural</w:t>
      </w:r>
      <w:proofErr w:type="spellEnd"/>
      <w:r>
        <w:rPr>
          <w:lang w:val="en-US"/>
        </w:rPr>
        <w:t xml:space="preserve"> and social factors that work in a manner creating a risk cycle, affecting individuals and whole communities (</w:t>
      </w:r>
      <w:r>
        <w:rPr>
          <w:shd w:val="clear" w:color="auto" w:fill="FFFFFF"/>
        </w:rPr>
        <w:t xml:space="preserve">Khatri </w:t>
      </w:r>
      <w:r>
        <w:rPr>
          <w:i/>
          <w:shd w:val="clear" w:color="auto" w:fill="FFFFFF"/>
        </w:rPr>
        <w:t>et al.,</w:t>
      </w:r>
      <w:r>
        <w:rPr>
          <w:shd w:val="clear" w:color="auto" w:fill="FFFFFF"/>
        </w:rPr>
        <w:t xml:space="preserve"> 2024</w:t>
      </w:r>
      <w:r>
        <w:rPr>
          <w:lang w:val="en-US"/>
        </w:rPr>
        <w:t xml:space="preserve">). To prevent the spread of diabetes and enhance the well-being of the community, an effective public health strategy will have to deal with personal </w:t>
      </w:r>
      <w:proofErr w:type="spellStart"/>
      <w:r>
        <w:rPr>
          <w:lang w:val="en-US"/>
        </w:rPr>
        <w:t>behaviours</w:t>
      </w:r>
      <w:proofErr w:type="spellEnd"/>
      <w:r>
        <w:rPr>
          <w:lang w:val="en-US"/>
        </w:rPr>
        <w:t xml:space="preserve">, as well as the broader social determinants of health. Moreover, these factors are usually mutually reinforcing, such as a person with low income may be unwilling to buy healthy food due to lack of income, reducing the risk of obesity, and as a consequence, it leaves one more vulnerable to diabetes. </w:t>
      </w:r>
    </w:p>
    <w:p w14:paraId="187103D3" w14:textId="77777777" w:rsidR="0099369D" w:rsidRDefault="0099369D">
      <w:pPr>
        <w:rPr>
          <w:lang w:val="en-US"/>
        </w:rPr>
      </w:pPr>
    </w:p>
    <w:p w14:paraId="42AC727F" w14:textId="77777777" w:rsidR="0099369D" w:rsidRDefault="0055096F">
      <w:pPr>
        <w:spacing w:line="276" w:lineRule="auto"/>
        <w:jc w:val="left"/>
        <w:rPr>
          <w:b/>
          <w:bCs/>
          <w:sz w:val="28"/>
          <w:szCs w:val="28"/>
          <w:lang w:val="en-US"/>
        </w:rPr>
      </w:pPr>
      <w:r>
        <w:br w:type="page"/>
      </w:r>
    </w:p>
    <w:p w14:paraId="6CB1387E" w14:textId="77777777" w:rsidR="0099369D" w:rsidRDefault="0055096F">
      <w:pPr>
        <w:pStyle w:val="Heading1"/>
      </w:pPr>
      <w:bookmarkStart w:id="12" w:name="_Toc211441821"/>
      <w:r>
        <w:lastRenderedPageBreak/>
        <w:t>3. Conclusion</w:t>
      </w:r>
      <w:bookmarkEnd w:id="12"/>
    </w:p>
    <w:p w14:paraId="65D1291D" w14:textId="21408F2A" w:rsidR="0099369D" w:rsidRDefault="0055096F">
      <w:pPr>
        <w:rPr>
          <w:lang w:val="en-US"/>
        </w:rPr>
      </w:pPr>
      <w:r>
        <w:rPr>
          <w:lang w:val="en-US"/>
        </w:rPr>
        <w:t xml:space="preserve">In summary, Type 2 Diabetes Mellitus (T2DM) is among the most prominent problems in the area of public health, followed by biological, </w:t>
      </w:r>
      <w:proofErr w:type="spellStart"/>
      <w:r>
        <w:rPr>
          <w:lang w:val="en-US"/>
        </w:rPr>
        <w:t>behavioural</w:t>
      </w:r>
      <w:proofErr w:type="spellEnd"/>
      <w:r>
        <w:rPr>
          <w:lang w:val="en-US"/>
        </w:rPr>
        <w:t xml:space="preserve">, and socioeconomic predispositions. Prevention and management are pegged on the early detection, education and community-based interventions of preventing diabetes, such as the NHS Diabetes Prevention </w:t>
      </w:r>
      <w:proofErr w:type="spellStart"/>
      <w:r>
        <w:rPr>
          <w:lang w:val="en-US"/>
        </w:rPr>
        <w:t>Programme</w:t>
      </w:r>
      <w:proofErr w:type="spellEnd"/>
      <w:r>
        <w:rPr>
          <w:lang w:val="en-US"/>
        </w:rPr>
        <w:t xml:space="preserve">. The NHS Long Term Plan has led to increased awareness and care integration, and it still experiences several inequalities and </w:t>
      </w:r>
      <w:proofErr w:type="spellStart"/>
      <w:r>
        <w:rPr>
          <w:lang w:val="en-US"/>
        </w:rPr>
        <w:t>behavioural</w:t>
      </w:r>
      <w:proofErr w:type="spellEnd"/>
      <w:r>
        <w:rPr>
          <w:lang w:val="en-US"/>
        </w:rPr>
        <w:t xml:space="preserve"> obstacles when it comes to it. In its </w:t>
      </w:r>
      <w:proofErr w:type="spellStart"/>
      <w:r>
        <w:rPr>
          <w:lang w:val="en-US"/>
        </w:rPr>
        <w:t>endeavour</w:t>
      </w:r>
      <w:proofErr w:type="spellEnd"/>
      <w:r>
        <w:rPr>
          <w:lang w:val="en-US"/>
        </w:rPr>
        <w:t xml:space="preserve"> to be reinforced, prevention enhanced access to health education and environments that led to sustainable improvements. More investment and engagement in the NHS would be required in order to promote the prevalence of diabetes, complication avoidance, and the long-term health and well-being of the UK communities.</w:t>
      </w:r>
    </w:p>
    <w:p w14:paraId="24233ABE" w14:textId="77777777" w:rsidR="0099369D" w:rsidRDefault="0055096F">
      <w:pPr>
        <w:rPr>
          <w:lang w:val="en-US"/>
        </w:rPr>
      </w:pPr>
      <w:r>
        <w:br w:type="page"/>
      </w:r>
    </w:p>
    <w:p w14:paraId="76915281" w14:textId="77777777" w:rsidR="0099369D" w:rsidRDefault="0055096F">
      <w:pPr>
        <w:pStyle w:val="Heading1"/>
      </w:pPr>
      <w:bookmarkStart w:id="13" w:name="_Toc211441822"/>
      <w:r>
        <w:lastRenderedPageBreak/>
        <w:t>4. Reference List</w:t>
      </w:r>
      <w:bookmarkEnd w:id="13"/>
    </w:p>
    <w:p w14:paraId="72493E08" w14:textId="77777777" w:rsidR="002F4E16" w:rsidRPr="002F4E16" w:rsidRDefault="002F4E16">
      <w:pPr>
        <w:rPr>
          <w:rFonts w:cs="Arial"/>
        </w:rPr>
      </w:pPr>
      <w:proofErr w:type="spellStart"/>
      <w:r w:rsidRPr="002F4E16">
        <w:rPr>
          <w:rFonts w:cs="Arial"/>
          <w:shd w:val="clear" w:color="auto" w:fill="FFFFFF"/>
        </w:rPr>
        <w:t>Agede</w:t>
      </w:r>
      <w:proofErr w:type="spellEnd"/>
      <w:r w:rsidRPr="002F4E16">
        <w:rPr>
          <w:rFonts w:cs="Arial"/>
          <w:shd w:val="clear" w:color="auto" w:fill="FFFFFF"/>
        </w:rPr>
        <w:t>, O.A. (2024) Pharmacotherapy of Type 2 Diabetes Mellitus (T2DM) in Clinical Practice: a comprehensive review of the treatment options. </w:t>
      </w:r>
      <w:r w:rsidRPr="002F4E16">
        <w:rPr>
          <w:rFonts w:cs="Arial"/>
          <w:i/>
          <w:iCs/>
          <w:shd w:val="clear" w:color="auto" w:fill="FFFFFF"/>
        </w:rPr>
        <w:t>Nigerian Stethoscope</w:t>
      </w:r>
      <w:r w:rsidRPr="002F4E16">
        <w:rPr>
          <w:rFonts w:cs="Arial"/>
          <w:shd w:val="clear" w:color="auto" w:fill="FFFFFF"/>
        </w:rPr>
        <w:t>, </w:t>
      </w:r>
      <w:r w:rsidRPr="002F4E16">
        <w:rPr>
          <w:rFonts w:cs="Arial"/>
          <w:i/>
          <w:iCs/>
          <w:shd w:val="clear" w:color="auto" w:fill="FFFFFF"/>
        </w:rPr>
        <w:t>6</w:t>
      </w:r>
      <w:r w:rsidRPr="002F4E16">
        <w:rPr>
          <w:rFonts w:cs="Arial"/>
          <w:shd w:val="clear" w:color="auto" w:fill="FFFFFF"/>
        </w:rPr>
        <w:t>(2), pp.8-18.</w:t>
      </w:r>
    </w:p>
    <w:p w14:paraId="7EDDAE9D" w14:textId="77777777" w:rsidR="002F4E16" w:rsidRPr="002F4E16" w:rsidRDefault="002F4E16">
      <w:pPr>
        <w:rPr>
          <w:rFonts w:cs="Arial"/>
        </w:rPr>
      </w:pPr>
      <w:r w:rsidRPr="002F4E16">
        <w:rPr>
          <w:rFonts w:cs="Arial"/>
        </w:rPr>
        <w:t xml:space="preserve">drwf.org, (2025), </w:t>
      </w:r>
      <w:r w:rsidRPr="002F4E16">
        <w:rPr>
          <w:rFonts w:cs="Arial"/>
          <w:bCs/>
        </w:rPr>
        <w:t xml:space="preserve">Number of people living with diabetes in UK, (Online). Accessed from&lt;https://www.drwf.org.uk/news-and-events/news/number-of-people-living-with-diabetes-recorded-at-5-million-in-uk/&gt;accessed on 18-11-25. </w:t>
      </w:r>
    </w:p>
    <w:p w14:paraId="1980CB07" w14:textId="77777777" w:rsidR="002F4E16" w:rsidRPr="002F4E16" w:rsidRDefault="002F4E16" w:rsidP="00574430">
      <w:pPr>
        <w:rPr>
          <w:rFonts w:cs="Arial"/>
        </w:rPr>
      </w:pPr>
      <w:proofErr w:type="spellStart"/>
      <w:r w:rsidRPr="002F4E16">
        <w:rPr>
          <w:rFonts w:cs="Arial"/>
          <w:lang w:val="en-US"/>
        </w:rPr>
        <w:t>futurehealth</w:t>
      </w:r>
      <w:proofErr w:type="spellEnd"/>
      <w:r w:rsidRPr="002F4E16">
        <w:rPr>
          <w:rFonts w:cs="Arial"/>
          <w:lang w:val="en-US"/>
        </w:rPr>
        <w:t xml:space="preserve">, (2025), </w:t>
      </w:r>
      <w:r w:rsidRPr="002F4E16">
        <w:rPr>
          <w:rFonts w:cs="Arial"/>
        </w:rPr>
        <w:t xml:space="preserve">New report shows UK on track for over half a million undiagnosed, (Online). Accessed from&lt;https://www.futurehealth-research.com/new-report-shows-uk-on-track-for-over-half-a-million-undiagnosed-dementia-cases-by-2040/&gt; </w:t>
      </w:r>
      <w:proofErr w:type="spellStart"/>
      <w:r w:rsidRPr="002F4E16">
        <w:rPr>
          <w:rFonts w:cs="Arial"/>
        </w:rPr>
        <w:t>accessed</w:t>
      </w:r>
      <w:proofErr w:type="spellEnd"/>
      <w:r w:rsidRPr="002F4E16">
        <w:rPr>
          <w:rFonts w:cs="Arial"/>
        </w:rPr>
        <w:t xml:space="preserve"> on 18-11-25. </w:t>
      </w:r>
    </w:p>
    <w:p w14:paraId="7CF9871C" w14:textId="77777777" w:rsidR="002F4E16" w:rsidRPr="002F4E16" w:rsidRDefault="002F4E16">
      <w:pPr>
        <w:rPr>
          <w:rFonts w:cs="Arial"/>
        </w:rPr>
      </w:pPr>
      <w:r w:rsidRPr="002F4E16">
        <w:rPr>
          <w:rFonts w:cs="Arial"/>
          <w:shd w:val="clear" w:color="auto" w:fill="FFFFFF"/>
        </w:rPr>
        <w:t xml:space="preserve">Khatri, P., Kumar, P., Shakya, K.S., </w:t>
      </w:r>
      <w:proofErr w:type="spellStart"/>
      <w:r w:rsidRPr="002F4E16">
        <w:rPr>
          <w:rFonts w:cs="Arial"/>
          <w:shd w:val="clear" w:color="auto" w:fill="FFFFFF"/>
        </w:rPr>
        <w:t>Kirlas</w:t>
      </w:r>
      <w:proofErr w:type="spellEnd"/>
      <w:r w:rsidRPr="002F4E16">
        <w:rPr>
          <w:rFonts w:cs="Arial"/>
          <w:shd w:val="clear" w:color="auto" w:fill="FFFFFF"/>
        </w:rPr>
        <w:t>, M.C. and Tiwari, K.K. (2024) Understanding the intertwined nature of rising multiple risks in modern agriculture and food systems. </w:t>
      </w:r>
      <w:r w:rsidRPr="002F4E16">
        <w:rPr>
          <w:rFonts w:cs="Arial"/>
          <w:i/>
          <w:iCs/>
          <w:shd w:val="clear" w:color="auto" w:fill="FFFFFF"/>
        </w:rPr>
        <w:t>Environment, Development and Sustainability</w:t>
      </w:r>
      <w:r w:rsidRPr="002F4E16">
        <w:rPr>
          <w:rFonts w:cs="Arial"/>
          <w:shd w:val="clear" w:color="auto" w:fill="FFFFFF"/>
        </w:rPr>
        <w:t>, </w:t>
      </w:r>
      <w:r w:rsidRPr="002F4E16">
        <w:rPr>
          <w:rFonts w:cs="Arial"/>
          <w:i/>
          <w:iCs/>
          <w:shd w:val="clear" w:color="auto" w:fill="FFFFFF"/>
        </w:rPr>
        <w:t>26</w:t>
      </w:r>
      <w:r w:rsidRPr="002F4E16">
        <w:rPr>
          <w:rFonts w:cs="Arial"/>
          <w:shd w:val="clear" w:color="auto" w:fill="FFFFFF"/>
        </w:rPr>
        <w:t>(9), pp.24107-24150.</w:t>
      </w:r>
    </w:p>
    <w:p w14:paraId="0BC12686" w14:textId="77777777" w:rsidR="002F4E16" w:rsidRPr="002F4E16" w:rsidRDefault="002F4E16">
      <w:pPr>
        <w:rPr>
          <w:rFonts w:cs="Arial"/>
        </w:rPr>
      </w:pPr>
      <w:proofErr w:type="spellStart"/>
      <w:r w:rsidRPr="002F4E16">
        <w:rPr>
          <w:rFonts w:cs="Arial"/>
          <w:shd w:val="clear" w:color="auto" w:fill="FFFFFF"/>
        </w:rPr>
        <w:t>Kuo</w:t>
      </w:r>
      <w:proofErr w:type="spellEnd"/>
      <w:r w:rsidRPr="002F4E16">
        <w:rPr>
          <w:rFonts w:cs="Arial"/>
          <w:shd w:val="clear" w:color="auto" w:fill="FFFFFF"/>
        </w:rPr>
        <w:t>, H.J., Huang, Y.C. and Garcia, A.A. (2022) An integrative review of fatigue in adults with type 2 diabetes mellitus: Implications for self</w:t>
      </w:r>
      <w:r w:rsidRPr="002F4E16">
        <w:rPr>
          <w:rFonts w:ascii="Cambria Math" w:hAnsi="Cambria Math" w:cs="Cambria Math"/>
          <w:shd w:val="clear" w:color="auto" w:fill="FFFFFF"/>
        </w:rPr>
        <w:t>‐</w:t>
      </w:r>
      <w:r w:rsidRPr="002F4E16">
        <w:rPr>
          <w:rFonts w:cs="Arial"/>
          <w:shd w:val="clear" w:color="auto" w:fill="FFFFFF"/>
        </w:rPr>
        <w:t>management and quality of life. </w:t>
      </w:r>
      <w:r w:rsidRPr="002F4E16">
        <w:rPr>
          <w:rFonts w:cs="Arial"/>
          <w:i/>
          <w:iCs/>
          <w:shd w:val="clear" w:color="auto" w:fill="FFFFFF"/>
        </w:rPr>
        <w:t>Journal of Clinical Nursing</w:t>
      </w:r>
      <w:r w:rsidRPr="002F4E16">
        <w:rPr>
          <w:rFonts w:cs="Arial"/>
          <w:shd w:val="clear" w:color="auto" w:fill="FFFFFF"/>
        </w:rPr>
        <w:t>, </w:t>
      </w:r>
      <w:r w:rsidRPr="002F4E16">
        <w:rPr>
          <w:rFonts w:cs="Arial"/>
          <w:i/>
          <w:iCs/>
          <w:shd w:val="clear" w:color="auto" w:fill="FFFFFF"/>
        </w:rPr>
        <w:t>31</w:t>
      </w:r>
      <w:r w:rsidRPr="002F4E16">
        <w:rPr>
          <w:rFonts w:cs="Arial"/>
          <w:shd w:val="clear" w:color="auto" w:fill="FFFFFF"/>
        </w:rPr>
        <w:t>(11-12), pp.1409-1427.</w:t>
      </w:r>
    </w:p>
    <w:p w14:paraId="0BEFA525" w14:textId="77777777" w:rsidR="002F4E16" w:rsidRPr="002F4E16" w:rsidRDefault="002F4E16">
      <w:pPr>
        <w:rPr>
          <w:rFonts w:cs="Arial"/>
          <w:shd w:val="clear" w:color="auto" w:fill="FFFFFF"/>
        </w:rPr>
      </w:pPr>
      <w:r w:rsidRPr="002F4E16">
        <w:rPr>
          <w:rFonts w:cs="Arial"/>
          <w:shd w:val="clear" w:color="auto" w:fill="FFFFFF"/>
        </w:rPr>
        <w:t>Lane, J.M. and Davis, B.A. (2022) Food, physical activity, and health deserts in Alabama: the spatial link between healthy eating, exercise, and socioeconomic factors. </w:t>
      </w:r>
      <w:proofErr w:type="spellStart"/>
      <w:r w:rsidRPr="002F4E16">
        <w:rPr>
          <w:rFonts w:cs="Arial"/>
          <w:i/>
          <w:iCs/>
          <w:shd w:val="clear" w:color="auto" w:fill="FFFFFF"/>
        </w:rPr>
        <w:t>GeoJournal</w:t>
      </w:r>
      <w:proofErr w:type="spellEnd"/>
      <w:r w:rsidRPr="002F4E16">
        <w:rPr>
          <w:rFonts w:cs="Arial"/>
          <w:shd w:val="clear" w:color="auto" w:fill="FFFFFF"/>
        </w:rPr>
        <w:t>, </w:t>
      </w:r>
      <w:r w:rsidRPr="002F4E16">
        <w:rPr>
          <w:rFonts w:cs="Arial"/>
          <w:i/>
          <w:iCs/>
          <w:shd w:val="clear" w:color="auto" w:fill="FFFFFF"/>
        </w:rPr>
        <w:t>87</w:t>
      </w:r>
      <w:r w:rsidRPr="002F4E16">
        <w:rPr>
          <w:rFonts w:cs="Arial"/>
          <w:shd w:val="clear" w:color="auto" w:fill="FFFFFF"/>
        </w:rPr>
        <w:t>(6), pp.5229-5249.</w:t>
      </w:r>
    </w:p>
    <w:p w14:paraId="039F3458" w14:textId="77777777" w:rsidR="002F4E16" w:rsidRPr="002F4E16" w:rsidRDefault="002F4E16">
      <w:pPr>
        <w:rPr>
          <w:rFonts w:cs="Arial"/>
        </w:rPr>
      </w:pPr>
      <w:r w:rsidRPr="002F4E16">
        <w:rPr>
          <w:rFonts w:cs="Arial"/>
        </w:rPr>
        <w:t xml:space="preserve">NCBI (2021) </w:t>
      </w:r>
      <w:r w:rsidRPr="002F4E16">
        <w:rPr>
          <w:rFonts w:cs="Arial"/>
          <w:i/>
        </w:rPr>
        <w:t>Type 2 diabetes risks and determinants in second-generation migrants and mixed ethnicity people of South Asian and African Caribbean descent in the UK</w:t>
      </w:r>
      <w:r w:rsidRPr="002F4E16">
        <w:rPr>
          <w:rFonts w:cs="Arial"/>
        </w:rPr>
        <w:t>. Available at: https://pmc.ncbi.nlm.nih.gov/articles/PMC8660755/ [Accessed 15 Oct 2025].</w:t>
      </w:r>
    </w:p>
    <w:p w14:paraId="0DA7B46B" w14:textId="77777777" w:rsidR="002F4E16" w:rsidRPr="002F4E16" w:rsidRDefault="002F4E16">
      <w:pPr>
        <w:rPr>
          <w:rFonts w:cs="Arial"/>
        </w:rPr>
      </w:pPr>
      <w:r w:rsidRPr="002F4E16">
        <w:rPr>
          <w:rFonts w:cs="Arial"/>
        </w:rPr>
        <w:t xml:space="preserve">NCBI (2022) </w:t>
      </w:r>
      <w:r w:rsidRPr="002F4E16">
        <w:rPr>
          <w:rFonts w:cs="Arial"/>
          <w:i/>
        </w:rPr>
        <w:t>The English national health service diabetes prevention programme (NHS DPP): A scoping review of existing evidence.</w:t>
      </w:r>
      <w:r w:rsidRPr="002F4E16">
        <w:rPr>
          <w:rFonts w:cs="Arial"/>
        </w:rPr>
        <w:t xml:space="preserve"> Available at: https://pmc.ncbi.nlm.nih.gov/articles/PMC9321029/ [Accessed 15 Oct 2025].</w:t>
      </w:r>
    </w:p>
    <w:p w14:paraId="75C112EF" w14:textId="77777777" w:rsidR="002F4E16" w:rsidRPr="002F4E16" w:rsidRDefault="002F4E16">
      <w:pPr>
        <w:rPr>
          <w:rFonts w:cs="Arial"/>
        </w:rPr>
      </w:pPr>
      <w:r w:rsidRPr="002F4E16">
        <w:rPr>
          <w:rFonts w:cs="Arial"/>
        </w:rPr>
        <w:t xml:space="preserve">NCBI (2023) </w:t>
      </w:r>
      <w:r w:rsidRPr="002F4E16">
        <w:rPr>
          <w:rFonts w:cs="Arial"/>
          <w:i/>
        </w:rPr>
        <w:t>Type 2 Diabetes.</w:t>
      </w:r>
      <w:r w:rsidRPr="002F4E16">
        <w:rPr>
          <w:rFonts w:cs="Arial"/>
        </w:rPr>
        <w:t xml:space="preserve"> Available at: https://www.ncbi.nlm.nih.gov/books/NBK513253/ [Accessed 15 Oct 2025].</w:t>
      </w:r>
    </w:p>
    <w:p w14:paraId="0B003F28" w14:textId="77777777" w:rsidR="002F4E16" w:rsidRPr="002F4E16" w:rsidRDefault="002F4E16">
      <w:pPr>
        <w:rPr>
          <w:rFonts w:cs="Arial"/>
        </w:rPr>
      </w:pPr>
      <w:r w:rsidRPr="002F4E16">
        <w:rPr>
          <w:rFonts w:cs="Arial"/>
        </w:rPr>
        <w:t>NHS Digital (2022) Adult Overweight and Obesity. Available at: https://digital.nhs.uk/data-and-information/publications/statistical/health-survey-for-england/2022-part-2/adult-overweight-and-obesity [Accessed 15 Oct 2025].</w:t>
      </w:r>
    </w:p>
    <w:p w14:paraId="23839D67" w14:textId="77777777" w:rsidR="002F4E16" w:rsidRPr="002F4E16" w:rsidRDefault="002F4E16">
      <w:pPr>
        <w:rPr>
          <w:rFonts w:cs="Arial"/>
        </w:rPr>
      </w:pPr>
      <w:r w:rsidRPr="002F4E16">
        <w:rPr>
          <w:rFonts w:cs="Arial"/>
        </w:rPr>
        <w:lastRenderedPageBreak/>
        <w:t xml:space="preserve">NHS England (2022) </w:t>
      </w:r>
      <w:r w:rsidRPr="002F4E16">
        <w:rPr>
          <w:rFonts w:cs="Arial"/>
          <w:i/>
        </w:rPr>
        <w:t xml:space="preserve">NHS Prevention Programme Cuts Chances of Type 2 Diabetes for Thousands. </w:t>
      </w:r>
      <w:r w:rsidRPr="002F4E16">
        <w:rPr>
          <w:rFonts w:cs="Arial"/>
        </w:rPr>
        <w:t>Available at: https://www.england.nhs.uk/2022/03/nhs-prevention-programme-cuts-chances-of-type-2-diabetes-for-thousands/ [Accessed 15 Oct 2025].</w:t>
      </w:r>
    </w:p>
    <w:p w14:paraId="0B3A30EB" w14:textId="77777777" w:rsidR="002F4E16" w:rsidRPr="002F4E16" w:rsidRDefault="002F4E16">
      <w:pPr>
        <w:rPr>
          <w:rFonts w:cs="Arial"/>
        </w:rPr>
      </w:pPr>
      <w:r w:rsidRPr="002F4E16">
        <w:rPr>
          <w:rFonts w:cs="Arial"/>
          <w:shd w:val="clear" w:color="auto" w:fill="FFFFFF"/>
        </w:rPr>
        <w:t>Sachar, A., Breslin, N. and Ng, S.M. (2023) An integrated care model for mental health in diabetes: Recommendations for local implementation by the Diabetes and Mental Health Expert Working Group in England. </w:t>
      </w:r>
      <w:r w:rsidRPr="002F4E16">
        <w:rPr>
          <w:rFonts w:cs="Arial"/>
          <w:i/>
          <w:iCs/>
          <w:shd w:val="clear" w:color="auto" w:fill="FFFFFF"/>
        </w:rPr>
        <w:t>Diabetic Medicine</w:t>
      </w:r>
      <w:r w:rsidRPr="002F4E16">
        <w:rPr>
          <w:rFonts w:cs="Arial"/>
          <w:shd w:val="clear" w:color="auto" w:fill="FFFFFF"/>
        </w:rPr>
        <w:t>, </w:t>
      </w:r>
      <w:r w:rsidRPr="002F4E16">
        <w:rPr>
          <w:rFonts w:cs="Arial"/>
          <w:i/>
          <w:iCs/>
          <w:shd w:val="clear" w:color="auto" w:fill="FFFFFF"/>
        </w:rPr>
        <w:t>40</w:t>
      </w:r>
      <w:r w:rsidRPr="002F4E16">
        <w:rPr>
          <w:rFonts w:cs="Arial"/>
          <w:shd w:val="clear" w:color="auto" w:fill="FFFFFF"/>
        </w:rPr>
        <w:t xml:space="preserve">(4), </w:t>
      </w:r>
      <w:proofErr w:type="gramStart"/>
      <w:r w:rsidRPr="002F4E16">
        <w:rPr>
          <w:rFonts w:cs="Arial"/>
          <w:shd w:val="clear" w:color="auto" w:fill="FFFFFF"/>
        </w:rPr>
        <w:t>p.e</w:t>
      </w:r>
      <w:proofErr w:type="gramEnd"/>
      <w:r w:rsidRPr="002F4E16">
        <w:rPr>
          <w:rFonts w:cs="Arial"/>
          <w:shd w:val="clear" w:color="auto" w:fill="FFFFFF"/>
        </w:rPr>
        <w:t>15029.</w:t>
      </w:r>
    </w:p>
    <w:p w14:paraId="52735933" w14:textId="77777777" w:rsidR="002F4E16" w:rsidRPr="002F4E16" w:rsidRDefault="002F4E16">
      <w:pPr>
        <w:rPr>
          <w:rFonts w:cs="Arial"/>
        </w:rPr>
      </w:pPr>
      <w:r w:rsidRPr="002F4E16">
        <w:rPr>
          <w:rFonts w:cs="Arial"/>
        </w:rPr>
        <w:t>WHO (2023) Diabetes. Available at: https://www.who.int/news-room/fact-sheets/detail/diabetes [Accessed 15 Oct 2025].</w:t>
      </w:r>
    </w:p>
    <w:p w14:paraId="03B08467" w14:textId="040D8CE0" w:rsidR="00574430" w:rsidRDefault="00574430"/>
    <w:sectPr w:rsidR="0057443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CFD63" w14:textId="77777777" w:rsidR="00E87337" w:rsidRDefault="00E87337">
      <w:pPr>
        <w:spacing w:line="240" w:lineRule="auto"/>
      </w:pPr>
      <w:r>
        <w:separator/>
      </w:r>
    </w:p>
  </w:endnote>
  <w:endnote w:type="continuationSeparator" w:id="0">
    <w:p w14:paraId="5096E779" w14:textId="77777777" w:rsidR="00E87337" w:rsidRDefault="00E873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6028703"/>
      <w:docPartObj>
        <w:docPartGallery w:val="AutoText"/>
      </w:docPartObj>
    </w:sdtPr>
    <w:sdtEndPr/>
    <w:sdtContent>
      <w:p w14:paraId="62DB4098" w14:textId="28E92FAC" w:rsidR="0099369D" w:rsidRDefault="0055096F">
        <w:pPr>
          <w:pStyle w:val="Footer"/>
          <w:jc w:val="right"/>
        </w:pPr>
        <w:r>
          <w:fldChar w:fldCharType="begin"/>
        </w:r>
        <w:r>
          <w:instrText xml:space="preserve"> PAGE   \* MERGEFORMAT </w:instrText>
        </w:r>
        <w:r>
          <w:fldChar w:fldCharType="separate"/>
        </w:r>
        <w:r w:rsidR="006B524D">
          <w:rPr>
            <w:noProof/>
          </w:rPr>
          <w:t>4</w:t>
        </w:r>
        <w:r>
          <w:fldChar w:fldCharType="end"/>
        </w:r>
      </w:p>
    </w:sdtContent>
  </w:sdt>
  <w:p w14:paraId="104A0015" w14:textId="77777777" w:rsidR="0099369D" w:rsidRDefault="00993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0DFCB" w14:textId="77777777" w:rsidR="00E87337" w:rsidRDefault="00E87337">
      <w:pPr>
        <w:spacing w:after="0"/>
      </w:pPr>
      <w:r>
        <w:separator/>
      </w:r>
    </w:p>
  </w:footnote>
  <w:footnote w:type="continuationSeparator" w:id="0">
    <w:p w14:paraId="41670433" w14:textId="77777777" w:rsidR="00E87337" w:rsidRDefault="00E8733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663"/>
    <w:rsid w:val="00054A02"/>
    <w:rsid w:val="0006179B"/>
    <w:rsid w:val="00073A96"/>
    <w:rsid w:val="000B1E6A"/>
    <w:rsid w:val="00113A47"/>
    <w:rsid w:val="00192C03"/>
    <w:rsid w:val="00202DD9"/>
    <w:rsid w:val="002308C3"/>
    <w:rsid w:val="002356DC"/>
    <w:rsid w:val="00256E31"/>
    <w:rsid w:val="002712C1"/>
    <w:rsid w:val="0029067F"/>
    <w:rsid w:val="002F4E16"/>
    <w:rsid w:val="00315A33"/>
    <w:rsid w:val="00356143"/>
    <w:rsid w:val="00394899"/>
    <w:rsid w:val="00487DA3"/>
    <w:rsid w:val="004C1663"/>
    <w:rsid w:val="00501C99"/>
    <w:rsid w:val="00524239"/>
    <w:rsid w:val="00530601"/>
    <w:rsid w:val="0053364E"/>
    <w:rsid w:val="0055096F"/>
    <w:rsid w:val="00574430"/>
    <w:rsid w:val="005E6345"/>
    <w:rsid w:val="00635556"/>
    <w:rsid w:val="006B524D"/>
    <w:rsid w:val="006C3F26"/>
    <w:rsid w:val="006C7F3F"/>
    <w:rsid w:val="006D13A7"/>
    <w:rsid w:val="006F4AC2"/>
    <w:rsid w:val="0072474C"/>
    <w:rsid w:val="00795208"/>
    <w:rsid w:val="008134D5"/>
    <w:rsid w:val="00820C7B"/>
    <w:rsid w:val="008927F0"/>
    <w:rsid w:val="009112C9"/>
    <w:rsid w:val="00912D1E"/>
    <w:rsid w:val="00987021"/>
    <w:rsid w:val="0099369D"/>
    <w:rsid w:val="00A34C91"/>
    <w:rsid w:val="00A45F78"/>
    <w:rsid w:val="00A5640C"/>
    <w:rsid w:val="00A7538E"/>
    <w:rsid w:val="00A91339"/>
    <w:rsid w:val="00AA124E"/>
    <w:rsid w:val="00B44578"/>
    <w:rsid w:val="00B73170"/>
    <w:rsid w:val="00B80D5B"/>
    <w:rsid w:val="00B812B8"/>
    <w:rsid w:val="00C4203A"/>
    <w:rsid w:val="00CA5EAB"/>
    <w:rsid w:val="00D20AF6"/>
    <w:rsid w:val="00D4469D"/>
    <w:rsid w:val="00D51BDB"/>
    <w:rsid w:val="00E37B1E"/>
    <w:rsid w:val="00E87337"/>
    <w:rsid w:val="00E9532B"/>
    <w:rsid w:val="00EA6974"/>
    <w:rsid w:val="00F06834"/>
    <w:rsid w:val="00F16020"/>
    <w:rsid w:val="00F4409C"/>
    <w:rsid w:val="00F778D0"/>
    <w:rsid w:val="3BB432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B0EF29"/>
  <w15:docId w15:val="{F87BAA13-3341-4A50-8765-41D59230D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5">
    <w:lsdException w:name="Normal" w:uiPriority="0" w:qFormat="1"/>
    <w:lsdException w:name="heading 1" w:uiPriority="1" w:qFormat="1"/>
    <w:lsdException w:name="heading 2"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0" w:line="360" w:lineRule="auto"/>
      <w:jc w:val="both"/>
    </w:pPr>
    <w:rPr>
      <w:rFonts w:ascii="Arial" w:hAnsi="Arial"/>
      <w:color w:val="000000" w:themeColor="text1"/>
      <w:sz w:val="22"/>
      <w:lang w:val="en-GB" w:bidi="hi-IN"/>
    </w:rPr>
  </w:style>
  <w:style w:type="paragraph" w:styleId="Heading1">
    <w:name w:val="heading 1"/>
    <w:basedOn w:val="Normal"/>
    <w:link w:val="Heading1Char"/>
    <w:autoRedefine/>
    <w:uiPriority w:val="1"/>
    <w:qFormat/>
    <w:pPr>
      <w:spacing w:before="6"/>
      <w:ind w:left="360" w:hanging="360"/>
      <w:outlineLvl w:val="0"/>
    </w:pPr>
    <w:rPr>
      <w:b/>
      <w:bCs/>
      <w:szCs w:val="28"/>
      <w:lang w:val="en-US"/>
    </w:rPr>
  </w:style>
  <w:style w:type="paragraph" w:styleId="Heading2">
    <w:name w:val="heading 2"/>
    <w:basedOn w:val="Normal"/>
    <w:next w:val="Normal"/>
    <w:link w:val="Heading2Char"/>
    <w:autoRedefine/>
    <w:uiPriority w:val="9"/>
    <w:unhideWhenUsed/>
    <w:qFormat/>
    <w:pPr>
      <w:keepNext/>
      <w:keepLines/>
      <w:spacing w:before="200" w:after="240"/>
      <w:outlineLvl w:val="1"/>
    </w:pPr>
    <w:rPr>
      <w:rFonts w:eastAsiaTheme="majorEastAsia" w:cstheme="majorBidi"/>
      <w:b/>
      <w:bCs/>
      <w:szCs w:val="23"/>
      <w:u w:val="single"/>
      <w:lang w:bidi="ar-SA"/>
    </w:rPr>
  </w:style>
  <w:style w:type="paragraph" w:styleId="Heading3">
    <w:name w:val="heading 3"/>
    <w:basedOn w:val="Normal"/>
    <w:link w:val="Heading3Char"/>
    <w:uiPriority w:val="9"/>
    <w:qFormat/>
    <w:pPr>
      <w:spacing w:before="100" w:beforeAutospacing="1" w:after="100" w:afterAutospacing="1" w:line="240" w:lineRule="auto"/>
      <w:jc w:val="left"/>
      <w:outlineLvl w:val="2"/>
    </w:pPr>
    <w:rPr>
      <w:rFonts w:eastAsia="Times New Roman" w:cs="Times New Roman"/>
      <w:bCs/>
      <w:i/>
      <w:szCs w:val="27"/>
      <w:lang w:val="en-US" w:eastAsia="en-IN" w:bidi="ar-SA"/>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Mangal"/>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rPr>
      <w:rFonts w:cs="Mangal"/>
    </w:rPr>
  </w:style>
  <w:style w:type="paragraph" w:styleId="Header">
    <w:name w:val="header"/>
    <w:basedOn w:val="Normal"/>
    <w:link w:val="HeaderChar"/>
    <w:uiPriority w:val="99"/>
    <w:unhideWhenUsed/>
    <w:pPr>
      <w:tabs>
        <w:tab w:val="center" w:pos="4680"/>
        <w:tab w:val="right" w:pos="9360"/>
      </w:tabs>
      <w:spacing w:after="0" w:line="240" w:lineRule="auto"/>
    </w:pPr>
    <w:rPr>
      <w:rFonts w:cs="Mangal"/>
    </w:r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semiHidden/>
    <w:unhideWhenUsed/>
    <w:qFormat/>
    <w:rPr>
      <w:rFonts w:cs="Mangal"/>
      <w:szCs w:val="21"/>
    </w:rPr>
  </w:style>
  <w:style w:type="paragraph" w:styleId="Title">
    <w:name w:val="Title"/>
    <w:basedOn w:val="Normal"/>
    <w:next w:val="Normal"/>
    <w:link w:val="TitleChar"/>
    <w:uiPriority w:val="10"/>
    <w:qFormat/>
    <w:pPr>
      <w:pBdr>
        <w:bottom w:val="single" w:sz="8" w:space="4" w:color="4F81BD" w:themeColor="accent1"/>
      </w:pBdr>
      <w:spacing w:after="300"/>
      <w:contextualSpacing/>
      <w:jc w:val="center"/>
    </w:pPr>
    <w:rPr>
      <w:rFonts w:eastAsiaTheme="majorEastAsia" w:cstheme="majorBidi"/>
      <w:b/>
      <w:spacing w:val="5"/>
      <w:kern w:val="28"/>
      <w:sz w:val="52"/>
      <w:szCs w:val="52"/>
    </w:rPr>
  </w:style>
  <w:style w:type="paragraph" w:styleId="TOC1">
    <w:name w:val="toc 1"/>
    <w:basedOn w:val="Normal"/>
    <w:next w:val="Normal"/>
    <w:autoRedefine/>
    <w:uiPriority w:val="39"/>
    <w:unhideWhenUsed/>
    <w:qFormat/>
    <w:pPr>
      <w:spacing w:after="100"/>
    </w:pPr>
    <w:rPr>
      <w:rFonts w:cs="Mangal"/>
    </w:rPr>
  </w:style>
  <w:style w:type="paragraph" w:styleId="TOC2">
    <w:name w:val="toc 2"/>
    <w:basedOn w:val="Normal"/>
    <w:next w:val="Normal"/>
    <w:autoRedefine/>
    <w:uiPriority w:val="39"/>
    <w:unhideWhenUsed/>
    <w:qFormat/>
    <w:pPr>
      <w:spacing w:after="100"/>
      <w:ind w:left="240"/>
    </w:pPr>
    <w:rPr>
      <w:rFonts w:cs="Mangal"/>
    </w:rPr>
  </w:style>
  <w:style w:type="paragraph" w:styleId="TOC3">
    <w:name w:val="toc 3"/>
    <w:basedOn w:val="Normal"/>
    <w:next w:val="Normal"/>
    <w:autoRedefine/>
    <w:uiPriority w:val="39"/>
    <w:unhideWhenUsed/>
    <w:pPr>
      <w:spacing w:after="100"/>
      <w:ind w:left="480"/>
    </w:pPr>
    <w:rPr>
      <w:rFonts w:cs="Mangal"/>
    </w:rPr>
  </w:style>
  <w:style w:type="character" w:customStyle="1" w:styleId="Heading1Char">
    <w:name w:val="Heading 1 Char"/>
    <w:basedOn w:val="DefaultParagraphFont"/>
    <w:link w:val="Heading1"/>
    <w:uiPriority w:val="1"/>
    <w:qFormat/>
    <w:rPr>
      <w:rFonts w:ascii="Arial" w:hAnsi="Arial"/>
      <w:b/>
      <w:bCs/>
      <w:color w:val="000000" w:themeColor="text1"/>
      <w:szCs w:val="28"/>
      <w:lang w:bidi="hi-IN"/>
    </w:rPr>
  </w:style>
  <w:style w:type="character" w:customStyle="1" w:styleId="Heading2Char">
    <w:name w:val="Heading 2 Char"/>
    <w:basedOn w:val="DefaultParagraphFont"/>
    <w:link w:val="Heading2"/>
    <w:uiPriority w:val="9"/>
    <w:qFormat/>
    <w:rPr>
      <w:rFonts w:ascii="Arial" w:eastAsiaTheme="majorEastAsia" w:hAnsi="Arial" w:cstheme="majorBidi"/>
      <w:b/>
      <w:bCs/>
      <w:color w:val="000000" w:themeColor="text1"/>
      <w:szCs w:val="23"/>
      <w:u w:val="single"/>
      <w:lang w:val="en-GB"/>
    </w:rPr>
  </w:style>
  <w:style w:type="character" w:customStyle="1" w:styleId="Heading3Char">
    <w:name w:val="Heading 3 Char"/>
    <w:basedOn w:val="DefaultParagraphFont"/>
    <w:link w:val="Heading3"/>
    <w:uiPriority w:val="9"/>
    <w:qFormat/>
    <w:rPr>
      <w:rFonts w:ascii="Times New Roman" w:eastAsia="Times New Roman" w:hAnsi="Times New Roman" w:cs="Times New Roman"/>
      <w:bCs/>
      <w:i/>
      <w:color w:val="000000" w:themeColor="text1"/>
      <w:sz w:val="24"/>
      <w:szCs w:val="27"/>
      <w:lang w:eastAsia="en-IN"/>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5"/>
      <w:kern w:val="28"/>
      <w:sz w:val="52"/>
      <w:szCs w:val="52"/>
      <w:lang w:val="en-GB"/>
      <w14:ligatures w14:val="standardContextual"/>
    </w:rPr>
  </w:style>
  <w:style w:type="character" w:customStyle="1" w:styleId="Heading4Char">
    <w:name w:val="Heading 4 Char"/>
    <w:basedOn w:val="DefaultParagraphFont"/>
    <w:link w:val="Heading4"/>
    <w:uiPriority w:val="9"/>
    <w:semiHidden/>
    <w:rPr>
      <w:rFonts w:asciiTheme="majorHAnsi" w:eastAsiaTheme="majorEastAsia" w:hAnsiTheme="majorHAnsi" w:cs="Mangal"/>
      <w:i/>
      <w:iCs/>
      <w:color w:val="365F91" w:themeColor="accent1" w:themeShade="BF"/>
      <w:sz w:val="24"/>
      <w:szCs w:val="20"/>
      <w:lang w:val="en-GB" w:bidi="hi-IN"/>
    </w:rPr>
  </w:style>
  <w:style w:type="paragraph" w:customStyle="1" w:styleId="TOCHeading1">
    <w:name w:val="TOC Heading1"/>
    <w:basedOn w:val="Heading1"/>
    <w:next w:val="Normal"/>
    <w:uiPriority w:val="39"/>
    <w:unhideWhenUsed/>
    <w:qFormat/>
    <w:pPr>
      <w:keepNext/>
      <w:keepLines/>
      <w:spacing w:before="240" w:after="0" w:line="259" w:lineRule="auto"/>
      <w:ind w:left="0" w:firstLine="0"/>
      <w:jc w:val="left"/>
      <w:outlineLvl w:val="9"/>
    </w:pPr>
    <w:rPr>
      <w:rFonts w:asciiTheme="majorHAnsi" w:eastAsiaTheme="majorEastAsia" w:hAnsiTheme="majorHAnsi" w:cstheme="majorBidi"/>
      <w:b w:val="0"/>
      <w:bCs w:val="0"/>
      <w:color w:val="365F91" w:themeColor="accent1" w:themeShade="BF"/>
      <w:sz w:val="32"/>
      <w:szCs w:val="32"/>
      <w:lang w:bidi="ar-SA"/>
    </w:rPr>
  </w:style>
  <w:style w:type="character" w:customStyle="1" w:styleId="HeaderChar">
    <w:name w:val="Header Char"/>
    <w:basedOn w:val="DefaultParagraphFont"/>
    <w:link w:val="Header"/>
    <w:uiPriority w:val="99"/>
    <w:rPr>
      <w:rFonts w:ascii="Times New Roman" w:hAnsi="Times New Roman" w:cs="Mangal"/>
      <w:color w:val="000000" w:themeColor="text1"/>
      <w:sz w:val="24"/>
      <w:szCs w:val="20"/>
      <w:lang w:val="en-GB" w:bidi="hi-IN"/>
    </w:rPr>
  </w:style>
  <w:style w:type="character" w:customStyle="1" w:styleId="FooterChar">
    <w:name w:val="Footer Char"/>
    <w:basedOn w:val="DefaultParagraphFont"/>
    <w:link w:val="Footer"/>
    <w:uiPriority w:val="99"/>
    <w:rPr>
      <w:rFonts w:ascii="Times New Roman" w:hAnsi="Times New Roman" w:cs="Mangal"/>
      <w:color w:val="000000" w:themeColor="text1"/>
      <w:sz w:val="24"/>
      <w:szCs w:val="20"/>
      <w:lang w:val="en-GB" w:bidi="hi-IN"/>
    </w:rPr>
  </w:style>
  <w:style w:type="character" w:styleId="CommentReference">
    <w:name w:val="annotation reference"/>
    <w:basedOn w:val="DefaultParagraphFont"/>
    <w:uiPriority w:val="99"/>
    <w:semiHidden/>
    <w:unhideWhenUsed/>
    <w:rsid w:val="005E6345"/>
    <w:rPr>
      <w:sz w:val="16"/>
      <w:szCs w:val="16"/>
    </w:rPr>
  </w:style>
  <w:style w:type="paragraph" w:styleId="CommentText">
    <w:name w:val="annotation text"/>
    <w:basedOn w:val="Normal"/>
    <w:link w:val="CommentTextChar"/>
    <w:uiPriority w:val="99"/>
    <w:semiHidden/>
    <w:unhideWhenUsed/>
    <w:rsid w:val="005E6345"/>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5E6345"/>
    <w:rPr>
      <w:rFonts w:ascii="Arial" w:hAnsi="Arial" w:cs="Mangal"/>
      <w:color w:val="000000" w:themeColor="text1"/>
      <w:szCs w:val="18"/>
      <w:lang w:val="en-GB" w:bidi="hi-IN"/>
    </w:rPr>
  </w:style>
  <w:style w:type="paragraph" w:styleId="CommentSubject">
    <w:name w:val="annotation subject"/>
    <w:basedOn w:val="CommentText"/>
    <w:next w:val="CommentText"/>
    <w:link w:val="CommentSubjectChar"/>
    <w:uiPriority w:val="99"/>
    <w:semiHidden/>
    <w:unhideWhenUsed/>
    <w:rsid w:val="005E6345"/>
    <w:rPr>
      <w:b/>
      <w:bCs/>
    </w:rPr>
  </w:style>
  <w:style w:type="character" w:customStyle="1" w:styleId="CommentSubjectChar">
    <w:name w:val="Comment Subject Char"/>
    <w:basedOn w:val="CommentTextChar"/>
    <w:link w:val="CommentSubject"/>
    <w:uiPriority w:val="99"/>
    <w:semiHidden/>
    <w:rsid w:val="005E6345"/>
    <w:rPr>
      <w:rFonts w:ascii="Arial" w:hAnsi="Arial" w:cs="Mangal"/>
      <w:b/>
      <w:bCs/>
      <w:color w:val="000000" w:themeColor="text1"/>
      <w:szCs w:val="18"/>
      <w:lang w:val="en-GB" w:bidi="hi-IN"/>
    </w:rPr>
  </w:style>
  <w:style w:type="paragraph" w:styleId="BalloonText">
    <w:name w:val="Balloon Text"/>
    <w:basedOn w:val="Normal"/>
    <w:link w:val="BalloonTextChar"/>
    <w:uiPriority w:val="99"/>
    <w:semiHidden/>
    <w:unhideWhenUsed/>
    <w:rsid w:val="005E6345"/>
    <w:pPr>
      <w:spacing w:after="0" w:line="240" w:lineRule="auto"/>
    </w:pPr>
    <w:rPr>
      <w:rFonts w:ascii="Segoe UI" w:hAnsi="Segoe UI" w:cs="Mangal"/>
      <w:sz w:val="18"/>
      <w:szCs w:val="16"/>
    </w:rPr>
  </w:style>
  <w:style w:type="character" w:customStyle="1" w:styleId="BalloonTextChar">
    <w:name w:val="Balloon Text Char"/>
    <w:basedOn w:val="DefaultParagraphFont"/>
    <w:link w:val="BalloonText"/>
    <w:uiPriority w:val="99"/>
    <w:semiHidden/>
    <w:rsid w:val="005E6345"/>
    <w:rPr>
      <w:rFonts w:ascii="Segoe UI" w:hAnsi="Segoe UI" w:cs="Mangal"/>
      <w:color w:val="000000" w:themeColor="text1"/>
      <w:sz w:val="18"/>
      <w:szCs w:val="16"/>
      <w:lang w:val="en-GB"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462043">
      <w:bodyDiv w:val="1"/>
      <w:marLeft w:val="0"/>
      <w:marRight w:val="0"/>
      <w:marTop w:val="0"/>
      <w:marBottom w:val="0"/>
      <w:divBdr>
        <w:top w:val="none" w:sz="0" w:space="0" w:color="auto"/>
        <w:left w:val="none" w:sz="0" w:space="0" w:color="auto"/>
        <w:bottom w:val="none" w:sz="0" w:space="0" w:color="auto"/>
        <w:right w:val="none" w:sz="0" w:space="0" w:color="auto"/>
      </w:divBdr>
    </w:div>
    <w:div w:id="9313521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94828-AF24-4226-95B9-A14ABD08B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1879</Words>
  <Characters>11379</Characters>
  <DocSecurity>0</DocSecurity>
  <Lines>184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2025-11-18T12:52:00Z</dcterms:created>
  <dcterms:modified xsi:type="dcterms:W3CDTF">2025-11-18T12:52:00Z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8ede1405-5db4-4c97-bfdd-1d482cba67e1</vt:lpwstr>
  </property>
  <property fmtid="{D5CDD505-2E9C-101B-9397-08002B2CF9AE}" pid="3" name="KSOProductBuildVer">
    <vt:lpwstr>1033-12.2.0.23155</vt:lpwstr>
  </property>
  <property fmtid="{D5CDD505-2E9C-101B-9397-08002B2CF9AE}" pid="4" name="ICV">
    <vt:lpwstr>65BA6E7DB6724705B20E5DDF5A190E5A_13</vt:lpwstr>
  </property>
</Properties>
</file>